
<file path=[Content_Types].xml><?xml version="1.0" encoding="utf-8"?>
<ns0:Types xmlns:ns0="http://schemas.openxmlformats.org/package/2006/content-types">
  <ns0:Default Extension="jpeg" ContentType="image/jpeg"/>
  <ns0:Default Extension="JPG" ContentType="image/.jp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Default Extension="png" ContentType="image/png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p14">
  <w:body>
    <w:p ns2:paraId="114E3759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  <w:bookmarkStart w:id="0" w:name="_Toc14098"/>
      <w:r>
        <w:rPr>
          <w:rFonts w:ascii="Times New Roman" w:hAnsi="Times New Roman" w:eastAsia="宋体" w:cs="Times New Roman"/>
          <w:szCs w:val="21"/>
          <ns2:ligatures ns2:val="none"/>
        </w:rPr>
        <w:drawing>
          <wp:inline distT="0" distB="0" distL="0" distR="0">
            <wp:extent cx="1865630" cy="523240"/>
            <wp:effectExtent l="0" t="0" r="13970" b="10160"/>
            <wp:docPr id="33" name="图片 1" descr="内大logo加字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1" descr="内大logo加字黑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ns2:paraId="00AE1D63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32AA2074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43ABD28A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31B8D9A7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1B82B1D7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7FED343B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49F9C54D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0E12FD35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098892C1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5772A7F1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64A19A5F">
      <w:pPr>
        <w:ind w:firstLine="420" w:firstLineChars="200"/>
        <w:rPr>
          <w:rFonts w:ascii="Times New Roman" w:hAnsi="Times New Roman" w:eastAsia="宋体" w:cs="Times New Roman"/>
          <w:szCs w:val="21"/>
          <ns2:ligatures ns2:val="none"/>
        </w:rPr>
      </w:pPr>
    </w:p>
    <w:p ns2:paraId="26AC15D7">
      <w:pPr>
        <w:jc w:val="center"/>
        <w:rPr>
          <w:rFonts w:ascii="Times New Roman" w:hAnsi="Times New Roman" w:eastAsia="黑体" w:cs="Times New Roman"/>
          <w:b/>
          <w:bCs/>
          <w:sz w:val="72"/>
          <w:szCs w:val="72"/>
          <ns2:ligatures ns2:val="none"/>
        </w:rPr>
      </w:pPr>
      <w:r>
        <w:rPr>
          <w:rFonts w:ascii="Times New Roman" w:hAnsi="Times New Roman" w:eastAsia="黑体" w:cs="Times New Roman"/>
          <w:b/>
          <w:bCs/>
          <w:sz w:val="72"/>
          <w:szCs w:val="72"/>
          <ns2:ligatures ns2:val="none"/>
        </w:rPr>
        <w:t>《</w:t>
      </w:r>
      <w:r>
        <w:rPr>
          <w:rFonts w:hint="eastAsia" w:ascii="Times New Roman" w:hAnsi="Times New Roman" w:eastAsia="黑体" w:cs="Times New Roman"/>
          <w:b/>
          <w:bCs/>
          <w:sz w:val="72"/>
          <w:szCs w:val="72"/>
          <w:lang w:val="en-US" w:eastAsia="zh-CN"/>
          <ns2:ligatures ns2:val="none"/>
        </w:rPr>
        <w:t>深度学习</w:t>
      </w:r>
      <w:r>
        <w:rPr>
          <w:rFonts w:ascii="Times New Roman" w:hAnsi="Times New Roman" w:eastAsia="黑体" w:cs="Times New Roman"/>
          <w:b/>
          <w:bCs/>
          <w:sz w:val="72"/>
          <w:szCs w:val="72"/>
          <ns2:ligatures ns2:val="none"/>
        </w:rPr>
        <w:t>》</w:t>
      </w:r>
      <w:r>
        <w:rPr>
          <w:rFonts w:hint="eastAsia" w:ascii="Times New Roman" w:hAnsi="Times New Roman" w:eastAsia="黑体" w:cs="Times New Roman"/>
          <w:b/>
          <w:bCs/>
          <w:sz w:val="72"/>
          <w:szCs w:val="72"/>
          <w:lang w:val="en-US" w:eastAsia="zh-CN"/>
          <ns2:ligatures ns2:val="none"/>
        </w:rPr>
        <w:t>设计</w:t>
      </w:r>
      <w:r>
        <w:rPr>
          <w:rFonts w:ascii="Times New Roman" w:hAnsi="Times New Roman" w:eastAsia="黑体" w:cs="Times New Roman"/>
          <w:b/>
          <w:bCs/>
          <w:sz w:val="72"/>
          <w:szCs w:val="72"/>
          <ns2:ligatures ns2:val="none"/>
        </w:rPr>
        <w:t>报告</w:t>
      </w:r>
    </w:p>
    <w:p ns2:paraId="32CE9F17">
      <w:pPr>
        <w:ind w:firstLine="420" w:firstLineChars="200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3BBA01DC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69E619DB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3B7AC498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6FD4D37B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52C214D6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7AA63905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55E66881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03440817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63F70B0F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17701AD7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p ns2:paraId="42C27329">
      <w:pPr>
        <w:ind w:firstLine="420" w:firstLineChars="200"/>
        <w:jc w:val="center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</w:p>
    <w:tbl>
      <w:tblPr>
        <w:tblStyle w:val="3"/>
        <w:tblpPr w:leftFromText="180" w:rightFromText="180" w:vertAnchor="text" w:horzAnchor="page" w:tblpXSpec="center" w:tblpY="40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465"/>
        <w:gridCol w:w="3982"/>
      </w:tblGrid>
      <w:tr ns2:paraId="3EBBF29D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ns2:paraId="38C8C98E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学院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ns2:paraId="09E92860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：</w:t>
            </w:r>
          </w:p>
        </w:tc>
        <w:tc>
          <w:tcPr>
            <w:tcW w:w="398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ns2:paraId="50BEB1E8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电子信息工程学院</w:t>
            </w:r>
          </w:p>
        </w:tc>
      </w:tr>
      <w:tr ns2:paraId="658CDCE7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ns2:paraId="4B574900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年级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ns2:paraId="6E986847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ns2:paraId="67E55F7B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2023级</w:t>
            </w:r>
          </w:p>
        </w:tc>
      </w:tr>
      <w:tr ns2:paraId="73AC8EB3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ns2:paraId="68038759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专业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ns2:paraId="6A6C3DB7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ns2:paraId="55889442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通信工程（产教融合）</w:t>
            </w:r>
          </w:p>
        </w:tc>
      </w:tr>
      <w:tr ns2:paraId="03A2E894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ns2:paraId="3DEB6A5B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姓名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ns2:paraId="0B5BEC52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ns2:paraId="6085AF4C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</w:p>
        </w:tc>
      </w:tr>
      <w:tr ns2:paraId="004DA668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ns2:paraId="1BC133CF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学号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ns2:paraId="5DED4EF5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ns2:paraId="73FB0722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bookmarkStart w:id="1" w:name="_GoBack"/>
            <w:bookmarkEnd w:id="1"/>
          </w:p>
        </w:tc>
      </w:tr>
      <w:tr ns2:paraId="26992706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ns2:paraId="3DF58B6B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日期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ns2:paraId="0FF26516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：</w:t>
            </w:r>
          </w:p>
        </w:tc>
        <w:tc>
          <w:tcPr>
            <w:tcW w:w="39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ns2:paraId="611CBD5B">
            <w:pPr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  <ns2:ligatures ns2:val="none"/>
              </w:rPr>
              <w:t>2026年5月12日</w:t>
            </w:r>
          </w:p>
        </w:tc>
      </w:tr>
    </w:tbl>
    <w:p ns2:paraId="5C7AD849">
      <w:pPr>
        <w:ind w:firstLine="420" w:firstLineChars="200"/>
        <w:rPr>
          <w:rFonts w:ascii="Times New Roman" w:hAnsi="Times New Roman" w:eastAsia="黑体" w:cs="Times New Roman"/>
          <w:b/>
          <w:bCs/>
          <w:szCs w:val="21"/>
          <ns2:ligatures ns2:val="none"/>
        </w:rPr>
      </w:pPr>
      <w:r>
        <w:rPr>
          <w:rFonts w:ascii="Times New Roman" w:hAnsi="Times New Roman" w:eastAsia="黑体" w:cs="Times New Roman"/>
          <w:b/>
          <w:bCs/>
          <w:szCs w:val="21"/>
          <ns2:ligatures ns2:val="none"/>
        </w:rPr>
        <w:t xml:space="preserve">                                 </w:t>
      </w:r>
    </w:p>
    <w:p ns2:paraId="6FC850D1">
      <w:pPr>
        <w:widowControl/>
        <w:jc w:val="left"/>
        <w:rPr>
          <w:rFonts w:ascii="Times New Roman" w:hAnsi="Times New Roman" w:eastAsia="黑体" w:cs="Times New Roman"/>
          <w:b/>
          <w:bCs/>
          <w:szCs w:val="21"/>
          <ns2:ligatures ns2:val="none"/>
        </w:rPr>
        <w:sectPr>
          <w:pgSz w:w="11906" w:h="16838"/>
          <w:pgMar w:top="1440" w:right="1080" w:bottom="1440" w:left="1080" w:header="851" w:footer="992" w:gutter="0"/>
          <w:cols w:space="720" w:num="1"/>
          <w:docGrid w:type="lines" w:linePitch="312" w:charSpace="0"/>
        </w:sectPr>
      </w:pPr>
    </w:p>
    <w:bookmarkEnd w:id="0"/>
    <w:p ns2:paraId="6CE8120A"/>
    <w:p>
      <w:pPr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摘要与方法简介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本实验使用课程提供的 MNIST 数据，独立编写读取、分批近邻搜索、PCA、投票与评估程序，比较不同 k、图像特征、距离、Top-n 精度和运行时间。完整代码可在作业网页的“源代码”页面查看。</w:t>
      </w:r>
    </w:p>
    <w:p>
      <w:pPr>
        <w:spacing w:after="100" w:line="270" w:lineRule="auto"/>
        <w:jc w:val="left"/>
      </w:pPr>
      <w:r>
        <w:rPr>
          <w:rFonts w:ascii="Microsoft YaHei" w:hAnsi="Microsoft YaHei" w:eastAsia="Microsoft YaHei"/>
          <w:sz w:val="23"/>
          <w:szCs w:val="23"/>
          <w:color w:val="183D5D"/>
          <w:b/>
        </w:rPr>
        <w:t>核心方法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给定测试图像 x，计算它与训练样本 xᵢ 的距离，选出最近的 k 个邻居；按类别票数确定预测数字。欧氏距离采用平方形式 ||x||² + ||xᵢ||² − 2x·xᵢ，排序结果与欧氏距离一致。距离加权版本使用 1 / max(d, ε)，零距离样本优先。票数相同取数字较小的类别。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PCA 仅在训练集拟合中心和协方差特征向量，再映射验证集、测试集，避免信息泄漏。Top-n 依据各类别得票分数排序；同分时按类别数字升序。k=1 时未获票的类别分数都为零，因此 Top-3/5 受并列规则影响，应结合 Top-1 解读。</w:t>
      </w:r>
    </w:p>
    <w:p>
      <w:pPr>
        <w:spacing w:after="100" w:line="270" w:lineRule="auto"/>
        <w:jc w:val="left"/>
      </w:pPr>
      <w:r>
        <w:rPr>
          <w:rFonts w:ascii="Microsoft YaHei" w:hAnsi="Microsoft YaHei" w:eastAsia="Microsoft YaHei"/>
          <w:sz w:val="23"/>
          <w:szCs w:val="23"/>
          <w:color w:val="183D5D"/>
          <w:b/>
        </w:rPr>
        <w:t>主要结果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独立验证集选定 PCA 50 维、k=3、L2、均匀投票；完整 60,000 张训练图像和 10,000 张测试图像上的 Top-1、Top-3、Top-5 分别为 97.52%、99.05%、99.30%。这些是本次 kNN 实验实测结果。</w:t>
      </w:r>
    </w:p>
    <w:p>
      <w:pPr>
        <w:spacing w:after="60" w:line="270" w:lineRule="auto"/>
        <w:jc w:val="left"/>
      </w:pPr>
      <w:r>
        <w:rPr>
          <w:rFonts w:ascii="Microsoft YaHei" w:hAnsi="Microsoft YaHei" w:eastAsia="Microsoft YaHei"/>
          <w:sz w:val="18"/>
          <w:szCs w:val="18"/>
        </w:rPr>
        <w:t>关键词：MNIST；k 近邻；PCA；Top-n；图像分类</w:t>
      </w:r>
    </w:p>
    <w:p>
      <w:pPr>
        <w:pageBreakBefore/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数据、环境与评价设计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数据来自课程仓库 KNN.zip 的 IDX 文件。压缩包对同一数据提供两种路径，本实验仅读取各文件一份。训练集 60,000 张、测试集 10,000 张，每张 28×28 灰度图，标签为 0–9。训练集各类张数：5,923 / 6,742 / 5,958 / 6,131 / 5,842 / 5,421 / 5,918 / 6,265 / 5,851 / 5,949。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探索阶段用随机种子 42 从原训练集每类取 1,200 张，共 12,000 张训练；从剩余训练集每类取 200 张，共 2,000 张验证。所有配置共用这一次划分；测试集只用于选型后正式评估。最终模型使用完整训练集 60,000 张。</w:t>
      </w:r>
    </w:p>
    <w:p>
      <w:pPr>
        <w:spacing w:after="100" w:line="270" w:lineRule="auto"/>
        <w:jc w:val="left"/>
      </w:pPr>
      <w:r>
        <w:rPr>
          <w:rFonts w:ascii="Microsoft YaHei" w:hAnsi="Microsoft YaHei" w:eastAsia="Microsoft YaHei"/>
          <w:sz w:val="23"/>
          <w:szCs w:val="23"/>
          <w:color w:val="183D5D"/>
          <w:b/>
        </w:rPr>
        <w:t>运行环境与指标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Windows；NumPy、scikit-learn、scikit-image、Matplotlib；完整评估用 CUDA PyTorch 在 NVIDIA GeForce RTX 4080 Laptop GPU 上做分批距离计算。探索阶段用 CPU。原始像素统一除以 255；PCA 为自行实现的训练集协方差特征分解。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Top-1 为预测标签正确率；Top-3/5 为真实标签出现在按投票分数排序的前 3/5 类中的比例。混淆矩阵行是真实类别，列是预测类别；逐类准确率为该行对角元素除以该行总数。计时分别记录特征变换、数据保存式 fit、近邻搜索；k 扫描复用同一批 9 个近邻。</w:t>
      </w:r>
    </w:p>
    <w:p>
      <w:pPr>
        <w:spacing w:after="60" w:line="270" w:lineRule="auto"/>
        <w:jc w:val="left"/>
      </w:pPr>
      <w:r>
        <w:rPr>
          <w:rFonts w:ascii="Microsoft YaHei" w:hAnsi="Microsoft YaHei" w:eastAsia="Microsoft YaHei"/>
          <w:sz w:val="18"/>
          <w:szCs w:val="18"/>
        </w:rPr>
        <w:t>课程源码：IMUEEMM/DL-CLASS，pj1-KNN，提交 feec5b1b1bb93f7b70b369c74fd98a1bf7eaab91。</w:t>
      </w:r>
    </w:p>
    <w:p>
      <w:pPr>
        <w:pageBreakBefore/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基线与手写 kNN 实现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课程脚本给出数据读取、sklearn 基线和待实现模块的框架。本实验保留原脚本作为来源记录，重新编写 experiment.py；其中 kNN 与 PCA 均采用公开的标准数学方法，程序结构、分批计算和实验流程为本次实现。</w:t>
      </w:r>
    </w:p>
    <w:p>
      <w:pPr>
        <w:spacing w:after="100" w:line="270" w:lineRule="auto"/>
        <w:jc w:val="left"/>
      </w:pPr>
      <w:r>
        <w:rPr>
          <w:rFonts w:ascii="Microsoft YaHei" w:hAnsi="Microsoft YaHei" w:eastAsia="Microsoft YaHei"/>
          <w:sz w:val="23"/>
          <w:szCs w:val="23"/>
          <w:color w:val="183D5D"/>
          <w:b/>
        </w:rPr>
        <w:t>关键代码：分批搜索（experiment.py 摘录）</w:t>
      </w:r>
    </w:p>
    <w:tbl>
      <w:tblPr>
        <w:tblW w:w="8300" w:type="dxa"/>
        <w:tblLayout w:type="fixed"/>
        <w:tblBorders>
          <w:top w:val="single" w:sz="4" w:color="CBD8E3"/>
          <w:bottom w:val="single" w:sz="4" w:color="CBD8E3"/>
          <w:insideH w:val="single" w:sz="4" w:color="CBD8E3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050"/>
        <w:gridCol w:w="5550"/>
        <w:gridCol w:w="1700"/>
      </w:tblGrid>
      <w:tr>
        <w:tc>
          <w:tcPr>
            <w:tcW w:w="1050" w:type="dxa"/>
            <w:shd w:fill="244E6D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步骤</w:t>
            </w:r>
          </w:p>
        </w:tc>
        <w:tc>
          <w:tcPr>
            <w:tcW w:w="5550" w:type="dxa"/>
            <w:shd w:fill="244E6D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  <w:b/>
                <w:color w:val="FFFFFF"/>
              </w:rPr>
              <w:t>原代码</w:t>
            </w:r>
          </w:p>
        </w:tc>
        <w:tc>
          <w:tcPr>
            <w:tcW w:w="17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用途</w:t>
            </w:r>
          </w:p>
        </w:tc>
      </w:tr>
      <w:tr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距离</w:t>
            </w:r>
          </w:p>
        </w:tc>
        <w:tc>
          <w:tcPr>
            <w:tcW w:w="5550" w:type="dxa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</w:rPr>
              <w:t>d = ((b*b).sum(1)[:, None] + a2[None, :] - 2*b@a.T).clamp_min_(0)</w:t>
            </w:r>
          </w:p>
        </w:tc>
        <w:tc>
          <w:tcPr>
            <w:tcW w:w="17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GPU 分批计算平方欧氏距离</w:t>
            </w:r>
          </w:p>
        </w:tc>
      </w:tr>
      <w:tr>
        <w:tc>
          <w:tcPr>
            <w:tcW w:w="1050" w:type="dxa"/>
            <w:shd w:fill="F0F5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候选</w:t>
            </w:r>
          </w:p>
        </w:tc>
        <w:tc>
          <w:tcPr>
            <w:tcW w:w="5550" w:type="dxa"/>
            <w:shd w:fill="F0F5F8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</w:rPr>
              <w:t>part = np.argpartition(d, max_k-1, axis=1)[:, :max_k]</w:t>
            </w:r>
          </w:p>
        </w:tc>
        <w:tc>
          <w:tcPr>
            <w:tcW w:w="17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CPU 取前 k 个候选</w:t>
            </w:r>
          </w:p>
        </w:tc>
      </w:tr>
      <w:tr>
        <w:tc>
          <w:tcPr>
            <w:tcW w:w="1050" w:type="dxa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排序</w:t>
            </w:r>
          </w:p>
        </w:tc>
        <w:tc>
          <w:tcPr>
            <w:tcW w:w="5550" w:type="dxa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</w:rPr>
              <w:t>idx = np.take_along_axis(part, order, axis=1)</w:t>
            </w:r>
          </w:p>
        </w:tc>
        <w:tc>
          <w:tcPr>
            <w:tcW w:w="17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按距离恢复近邻顺序</w:t>
            </w:r>
          </w:p>
        </w:tc>
      </w:tr>
    </w:tbl>
    <w:p>
      <w:pPr>
        <w:spacing w:after="8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/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CPU 每批处理 64 张、GPU 每批处理 128 张测试图像，避免一次分配完整的 10,000×60,000 距离矩阵。上表来自实际运行的函数；完整实现见文末网页。</w:t>
      </w:r>
    </w:p>
    <w:p>
      <w:pPr>
        <w:spacing w:after="100" w:line="270" w:lineRule="auto"/>
        <w:jc w:val="left"/>
      </w:pPr>
      <w:r>
        <w:rPr>
          <w:rFonts w:ascii="Microsoft YaHei" w:hAnsi="Microsoft YaHei" w:eastAsia="Microsoft YaHei"/>
          <w:sz w:val="23"/>
          <w:szCs w:val="23"/>
          <w:color w:val="183D5D"/>
          <w:b/>
        </w:rPr>
        <w:t>同数据核对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相同的 12,000/2,000 训练与验证划分上，sklearn 暴力搜索和本次实现的 k=5 Top-1 均为 95.90%，2,000 条预测逐条一致。完整测试结果另在第 10 页报告。</w:t>
      </w:r>
    </w:p>
    <w:p>
      <w:pPr>
        <w:pageBreakBefore/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不同 k 对分类效果的影响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相同 12,000/2,000 验证划分下，比较 k=1、3、5、7、9。以下曲线均为真实运行的验证集 Top-1；像素、PCA-50、HOG 及 PCA-50 的 L1 距离均使用相同标签划分。</w:t>
      </w:r>
    </w:p>
    <w:p>
      <w:pPr>
        <w:spacing w:after="60" w:line="270" w:lineRule="auto"/>
        <w:jc w:val="center"/>
      </w:pPr>
      <w:r>
        <w:rPr>
          <w:rFonts w:ascii="Microsoft YaHei" w:hAnsi="Microsoft YaHei" w:eastAsia="Microsoft YaHei"/>
          <w:sz w:val="21"/>
          <w:szCs w:val="21"/>
        </w:rPr>
        <w:t/>
        <w:drawing>
          <wp:inline distT="0" distB="0" distL="0" distR="0">
            <wp:extent cx="5715000" cy="2530928"/>
            <wp:docPr id="101" name="validation_k.png"/>
            <a:graphic>
              <a:graphicData uri="http://schemas.openxmlformats.org/drawingml/2006/picture">
                <pic:pic>
                  <pic:nvPicPr>
                    <pic:cNvPr id="0" name="validation_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0" w:lineRule="auto"/>
        <w:jc w:val="left"/>
      </w:pPr>
      <w:r>
        <w:rPr>
          <w:rFonts w:ascii="Microsoft YaHei" w:hAnsi="Microsoft YaHei" w:eastAsia="Microsoft YaHei"/>
          <w:sz w:val="23"/>
          <w:szCs w:val="23"/>
          <w:color w:val="183D5D"/>
          <w:b/>
        </w:rPr>
        <w:t>原始像素的结果（Top-1）</w:t>
      </w:r>
    </w:p>
    <w:tbl>
      <w:tblPr>
        <w:tblW w:w="8300" w:type="dxa"/>
        <w:tblLayout w:type="fixed"/>
        <w:tblBorders>
          <w:top w:val="single" w:sz="4" w:color="CBD8E3"/>
          <w:bottom w:val="single" w:sz="4" w:color="CBD8E3"/>
          <w:insideH w:val="single" w:sz="4" w:color="CBD8E3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600"/>
        <w:gridCol w:w="1340"/>
        <w:gridCol w:w="1340"/>
        <w:gridCol w:w="1340"/>
        <w:gridCol w:w="1340"/>
        <w:gridCol w:w="1340"/>
      </w:tblGrid>
      <w:tr>
        <w:tc>
          <w:tcPr>
            <w:tcW w:w="1600" w:type="dxa"/>
            <w:shd w:fill="244E6D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k</w:t>
            </w:r>
          </w:p>
        </w:tc>
        <w:tc>
          <w:tcPr>
            <w:tcW w:w="134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1</w:t>
            </w:r>
          </w:p>
        </w:tc>
        <w:tc>
          <w:tcPr>
            <w:tcW w:w="134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3</w:t>
            </w:r>
          </w:p>
        </w:tc>
        <w:tc>
          <w:tcPr>
            <w:tcW w:w="134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5</w:t>
            </w:r>
          </w:p>
        </w:tc>
        <w:tc>
          <w:tcPr>
            <w:tcW w:w="134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7</w:t>
            </w:r>
          </w:p>
        </w:tc>
        <w:tc>
          <w:tcPr>
            <w:tcW w:w="134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9</w:t>
            </w:r>
          </w:p>
        </w:tc>
      </w:tr>
      <w:tr>
        <w:tc>
          <w:tcPr>
            <w:tcW w:w="1600" w:type="dxa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Top-1</w:t>
            </w:r>
          </w:p>
        </w:tc>
        <w:tc>
          <w:tcPr>
            <w:tcW w:w="134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96.05%</w:t>
            </w:r>
          </w:p>
        </w:tc>
        <w:tc>
          <w:tcPr>
            <w:tcW w:w="134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95.90%</w:t>
            </w:r>
          </w:p>
        </w:tc>
        <w:tc>
          <w:tcPr>
            <w:tcW w:w="134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95.90%</w:t>
            </w:r>
          </w:p>
        </w:tc>
        <w:tc>
          <w:tcPr>
            <w:tcW w:w="134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95.90%</w:t>
            </w:r>
          </w:p>
        </w:tc>
        <w:tc>
          <w:tcPr>
            <w:tcW w:w="134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95.50%</w:t>
            </w:r>
          </w:p>
        </w:tc>
      </w:tr>
    </w:tbl>
    <w:p>
      <w:pPr>
        <w:spacing w:after="8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/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较大 k 在本验证集上未持续改善 Top-1，说明邻域扩大可能引入相邻类别的票。PCA-50 在 k=1 和 k=3 均达到 96.80%；k=3 的 Top-3 更高，故在查看测试结果前选定 k=3。</w:t>
      </w:r>
    </w:p>
    <w:p>
      <w:pPr>
        <w:pageBreakBefore/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图像特征与 PCA 探索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比较三种输入：784 维归一化像素；自实现 PCA 降至 50 维；HOG 的 324 维局部梯度方向特征。PCA 在 12,000 张训练图像上保留 82.52% 的样本方差。</w:t>
      </w:r>
    </w:p>
    <w:p>
      <w:pPr>
        <w:spacing w:after="100" w:line="270" w:lineRule="auto"/>
        <w:jc w:val="left"/>
      </w:pPr>
      <w:r>
        <w:rPr>
          <w:rFonts w:ascii="Microsoft YaHei" w:hAnsi="Microsoft YaHei" w:eastAsia="Microsoft YaHei"/>
          <w:sz w:val="23"/>
          <w:szCs w:val="23"/>
          <w:color w:val="183D5D"/>
          <w:b/>
        </w:rPr>
        <w:t>验证集 Top-1（%）</w:t>
      </w:r>
    </w:p>
    <w:tbl>
      <w:tblPr>
        <w:tblW w:w="8300" w:type="dxa"/>
        <w:tblLayout w:type="fixed"/>
        <w:tblBorders>
          <w:top w:val="single" w:sz="4" w:color="CBD8E3"/>
          <w:bottom w:val="single" w:sz="4" w:color="CBD8E3"/>
          <w:insideH w:val="single" w:sz="4" w:color="CBD8E3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00"/>
        <w:gridCol w:w="1300"/>
        <w:gridCol w:w="1300"/>
        <w:gridCol w:w="1300"/>
        <w:gridCol w:w="1300"/>
        <w:gridCol w:w="1300"/>
      </w:tblGrid>
      <w:tr>
        <w:tc>
          <w:tcPr>
            <w:tcW w:w="1800" w:type="dxa"/>
            <w:shd w:fill="244E6D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特征 / k</w:t>
            </w:r>
          </w:p>
        </w:tc>
        <w:tc>
          <w:tcPr>
            <w:tcW w:w="13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1</w:t>
            </w:r>
          </w:p>
        </w:tc>
        <w:tc>
          <w:tcPr>
            <w:tcW w:w="13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3</w:t>
            </w:r>
          </w:p>
        </w:tc>
        <w:tc>
          <w:tcPr>
            <w:tcW w:w="13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5</w:t>
            </w:r>
          </w:p>
        </w:tc>
        <w:tc>
          <w:tcPr>
            <w:tcW w:w="13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7</w:t>
            </w:r>
          </w:p>
        </w:tc>
        <w:tc>
          <w:tcPr>
            <w:tcW w:w="13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9</w:t>
            </w:r>
          </w:p>
        </w:tc>
      </w:tr>
      <w:tr>
        <w:tc>
          <w:tcPr>
            <w:tcW w:w="1800" w:type="dxa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像素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96.05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95.90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95.90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95.90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95.50</w:t>
            </w:r>
          </w:p>
        </w:tc>
      </w:tr>
      <w:tr>
        <w:tc>
          <w:tcPr>
            <w:tcW w:w="1800" w:type="dxa"/>
            <w:shd w:fill="F0F5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PCA-50</w:t>
            </w:r>
          </w:p>
        </w:tc>
        <w:tc>
          <w:tcPr>
            <w:tcW w:w="13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96.80</w:t>
            </w:r>
          </w:p>
        </w:tc>
        <w:tc>
          <w:tcPr>
            <w:tcW w:w="13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96.80</w:t>
            </w:r>
          </w:p>
        </w:tc>
        <w:tc>
          <w:tcPr>
            <w:tcW w:w="13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96.50</w:t>
            </w:r>
          </w:p>
        </w:tc>
        <w:tc>
          <w:tcPr>
            <w:tcW w:w="13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96.40</w:t>
            </w:r>
          </w:p>
        </w:tc>
        <w:tc>
          <w:tcPr>
            <w:tcW w:w="13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96.30</w:t>
            </w:r>
          </w:p>
        </w:tc>
      </w:tr>
      <w:tr>
        <w:tc>
          <w:tcPr>
            <w:tcW w:w="1800" w:type="dxa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HOG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95.95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96.45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96.50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96.40</w:t>
            </w:r>
          </w:p>
        </w:tc>
        <w:tc>
          <w:tcPr>
            <w:tcW w:w="1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96.25</w:t>
            </w:r>
          </w:p>
        </w:tc>
      </w:tr>
    </w:tbl>
    <w:p>
      <w:pPr>
        <w:spacing w:after="8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/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PCA 在本次划分的多个 k 上提高了 Top-1，并把单样本维度从 784 降到 50。HOG 对轮廓方向敏感，在 k=5 达到 96.50%，但特征提取有额外开销。表内差异只描述本次固定划分，并非所有划分上的保证。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最终 PCA 在完整训练集重新拟合，50 个分量累计解释方差为 82.46%；验证集和测试集均不参与拟合。</w:t>
      </w:r>
    </w:p>
    <w:tbl>
      <w:tblPr>
        <w:tblW w:w="8300" w:type="dxa"/>
        <w:tblLayout w:type="fixed"/>
        <w:tblBorders>
          <w:top w:val="single" w:sz="4" w:color="CBD8E3"/>
          <w:bottom w:val="single" w:sz="4" w:color="CBD8E3"/>
          <w:insideH w:val="single" w:sz="4" w:color="CBD8E3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6000"/>
        <w:gridCol w:w="2300"/>
      </w:tblGrid>
      <w:tr>
        <w:tc>
          <w:tcPr>
            <w:tcW w:w="6000" w:type="dxa"/>
            <w:shd w:fill="244E6D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  <w:b/>
                <w:color w:val="FFFFFF"/>
              </w:rPr>
              <w:t>PCA 训练集拟合：experiment.py 摘录</w:t>
            </w:r>
          </w:p>
        </w:tc>
        <w:tc>
          <w:tcPr>
            <w:tcW w:w="23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含义</w:t>
            </w:r>
          </w:p>
        </w:tc>
      </w:tr>
      <w:tr>
        <w:tc>
          <w:tcPr>
            <w:tcW w:w="6000" w:type="dxa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</w:rPr>
              <w:t>cov = (centered.T @ centered) / (len(a) - 1)</w:t>
            </w:r>
          </w:p>
        </w:tc>
        <w:tc>
          <w:tcPr>
            <w:tcW w:w="2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训练集协方差</w:t>
            </w:r>
          </w:p>
        </w:tc>
      </w:tr>
      <w:tr>
        <w:tc>
          <w:tcPr>
            <w:tcW w:w="6000" w:type="dxa"/>
            <w:shd w:fill="F0F5F8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</w:rPr>
              <w:t>eigenvalues, vectors = np.linalg.eigh(cov)</w:t>
            </w:r>
          </w:p>
        </w:tc>
        <w:tc>
          <w:tcPr>
            <w:tcW w:w="23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特征分解</w:t>
            </w:r>
          </w:p>
        </w:tc>
      </w:tr>
    </w:tbl>
    <w:p>
      <w:pPr>
        <w:spacing w:after="8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/>
      </w:r>
    </w:p>
    <w:p>
      <w:pPr>
        <w:pageBreakBefore/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距离、投票权重与 Top-n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原始像素 L2 的均匀投票与距离加权投票共用近邻结果；在 k=3 时 Top-1 分别为 95.90% 和 96.20%。PCA-50 上 L1 与 L2 使用相同 12,000/2,000 样本，k=3 时分别为 96.65% 和 96.80%。因此选用 PCA-50、L2、均匀投票。</w:t>
      </w:r>
    </w:p>
    <w:p>
      <w:pPr>
        <w:spacing w:after="100" w:line="270" w:lineRule="auto"/>
        <w:jc w:val="left"/>
      </w:pPr>
      <w:r>
        <w:rPr>
          <w:rFonts w:ascii="Microsoft YaHei" w:hAnsi="Microsoft YaHei" w:eastAsia="Microsoft YaHei"/>
          <w:sz w:val="23"/>
          <w:szCs w:val="23"/>
          <w:color w:val="183D5D"/>
          <w:b/>
        </w:rPr>
        <w:t>验证集 Top-n：PCA-50、L2、均匀投票</w:t>
      </w:r>
    </w:p>
    <w:tbl>
      <w:tblPr>
        <w:tblW w:w="8300" w:type="dxa"/>
        <w:tblLayout w:type="fixed"/>
        <w:tblBorders>
          <w:top w:val="single" w:sz="4" w:color="CBD8E3"/>
          <w:bottom w:val="single" w:sz="4" w:color="CBD8E3"/>
          <w:insideH w:val="single" w:sz="4" w:color="CBD8E3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00"/>
        <w:gridCol w:w="2100"/>
        <w:gridCol w:w="2100"/>
        <w:gridCol w:w="2100"/>
      </w:tblGrid>
      <w:tr>
        <w:tc>
          <w:tcPr>
            <w:tcW w:w="2000" w:type="dxa"/>
            <w:shd w:fill="244E6D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k</w:t>
            </w:r>
          </w:p>
        </w:tc>
        <w:tc>
          <w:tcPr>
            <w:tcW w:w="21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Top-1</w:t>
            </w:r>
          </w:p>
        </w:tc>
        <w:tc>
          <w:tcPr>
            <w:tcW w:w="21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Top-3</w:t>
            </w:r>
          </w:p>
        </w:tc>
        <w:tc>
          <w:tcPr>
            <w:tcW w:w="21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Top-5</w:t>
            </w:r>
          </w:p>
        </w:tc>
      </w:tr>
      <w:tr>
        <w:tc>
          <w:tcPr>
            <w:tcW w:w="2000" w:type="dxa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96.80%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96.95%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97.80%</w:t>
            </w:r>
          </w:p>
        </w:tc>
      </w:tr>
      <w:tr>
        <w:tc>
          <w:tcPr>
            <w:tcW w:w="2000" w:type="dxa"/>
            <w:shd w:fill="F0F5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w="21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96.80%</w:t>
            </w:r>
          </w:p>
        </w:tc>
        <w:tc>
          <w:tcPr>
            <w:tcW w:w="21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98.65%</w:t>
            </w:r>
          </w:p>
        </w:tc>
        <w:tc>
          <w:tcPr>
            <w:tcW w:w="21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98.95%</w:t>
            </w:r>
          </w:p>
        </w:tc>
      </w:tr>
      <w:tr>
        <w:tc>
          <w:tcPr>
            <w:tcW w:w="2000" w:type="dxa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96.50%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98.85%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99.20%</w:t>
            </w:r>
          </w:p>
        </w:tc>
      </w:tr>
      <w:tr>
        <w:tc>
          <w:tcPr>
            <w:tcW w:w="2000" w:type="dxa"/>
            <w:shd w:fill="F0F5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w="21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96.40%</w:t>
            </w:r>
          </w:p>
        </w:tc>
        <w:tc>
          <w:tcPr>
            <w:tcW w:w="21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99.15%</w:t>
            </w:r>
          </w:p>
        </w:tc>
        <w:tc>
          <w:tcPr>
            <w:tcW w:w="21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99.45%</w:t>
            </w:r>
          </w:p>
        </w:tc>
      </w:tr>
      <w:tr>
        <w:tc>
          <w:tcPr>
            <w:tcW w:w="2000" w:type="dxa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96.30%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99.20%</w:t>
            </w:r>
          </w:p>
        </w:tc>
        <w:tc>
          <w:tcPr>
            <w:tcW w:w="21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99.45%</w:t>
            </w:r>
          </w:p>
        </w:tc>
      </w:tr>
    </w:tbl>
    <w:p>
      <w:pPr>
        <w:spacing w:after="8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/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选定 k=3 后，完整测试集 Top-1=97.52%、Top-3=99.05%、Top-5=99.30%。Top-n 依据邻居类别得票排序，未出现的类别票数为零；同票按数字升序。这一定义已在源码 vote() 中固定，便于复现。</w:t>
      </w:r>
    </w:p>
    <w:tbl>
      <w:tblPr>
        <w:tblW w:w="8300" w:type="dxa"/>
        <w:tblLayout w:type="fixed"/>
        <w:tblBorders>
          <w:top w:val="single" w:sz="4" w:color="CBD8E3"/>
          <w:bottom w:val="single" w:sz="4" w:color="CBD8E3"/>
          <w:insideH w:val="single" w:sz="4" w:color="CBD8E3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6000"/>
        <w:gridCol w:w="2300"/>
      </w:tblGrid>
      <w:tr>
        <w:tc>
          <w:tcPr>
            <w:tcW w:w="6000" w:type="dxa"/>
            <w:shd w:fill="244E6D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  <w:b/>
                <w:color w:val="FFFFFF"/>
              </w:rPr>
              <w:t>投票与排序：experiment.py 摘录</w:t>
            </w:r>
          </w:p>
        </w:tc>
        <w:tc>
          <w:tcPr>
            <w:tcW w:w="2300" w:type="dxa"/>
            <w:shd w:fill="244E6D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  <w:b/>
                <w:color w:val="FFFFFF"/>
              </w:rPr>
              <w:t>含义</w:t>
            </w:r>
          </w:p>
        </w:tc>
      </w:tr>
      <w:tr>
        <w:tc>
          <w:tcPr>
            <w:tcW w:w="6000" w:type="dxa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</w:rPr>
              <w:t>scores[:, c] = ((lab == c)*weights).sum(axis=1)</w:t>
            </w:r>
          </w:p>
        </w:tc>
        <w:tc>
          <w:tcPr>
            <w:tcW w:w="2300" w:type="dxa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汇总类别票数</w:t>
            </w:r>
          </w:p>
        </w:tc>
      </w:tr>
      <w:tr>
        <w:tc>
          <w:tcPr>
            <w:tcW w:w="6000" w:type="dxa"/>
            <w:shd w:fill="F0F5F8"/>
          </w:tcPr>
          <w:p>
            <w:pPr>
              <w:spacing w:after="0" w:before="0"/>
              <w:jc w:val="left"/>
            </w:pPr>
            <w:r>
              <w:rPr>
                <w:rFonts w:ascii="Consolas" w:hAnsi="Consolas" w:eastAsia="Microsoft YaHei"/>
                <w:sz w:val="16"/>
              </w:rPr>
              <w:t>ranking = np.argsort(-scores, axis=1, kind="stable")</w:t>
            </w:r>
          </w:p>
        </w:tc>
        <w:tc>
          <w:tcPr>
            <w:tcW w:w="2300" w:type="dxa"/>
            <w:shd w:fill="F0F5F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同分保留数字升序</w:t>
            </w:r>
          </w:p>
        </w:tc>
      </w:tr>
    </w:tbl>
    <w:p>
      <w:pPr>
        <w:spacing w:after="8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/>
      </w:r>
    </w:p>
    <w:p>
      <w:pPr>
        <w:pageBreakBefore/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运算效率与资源使用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下图是 CPU 上相同 12,000×2,000 个训练/验证样本的近邻搜索耗时；PCA-50 L1 距离使用分批广播，L2 使用矩阵乘法。该计时不包含各特征的变换，不能单独代表端到端耗时。</w:t>
      </w:r>
    </w:p>
    <w:p>
      <w:pPr>
        <w:spacing w:after="60" w:line="270" w:lineRule="auto"/>
        <w:jc w:val="center"/>
      </w:pPr>
      <w:r>
        <w:rPr>
          <w:rFonts w:ascii="Microsoft YaHei" w:hAnsi="Microsoft YaHei" w:eastAsia="Microsoft YaHei"/>
          <w:sz w:val="21"/>
          <w:szCs w:val="21"/>
        </w:rPr>
        <w:t/>
        <w:drawing>
          <wp:inline distT="0" distB="0" distL="0" distR="0">
            <wp:extent cx="5588000" cy="2579076"/>
            <wp:docPr id="102" name="timing.png"/>
            <a:graphic>
              <a:graphicData uri="http://schemas.openxmlformats.org/drawingml/2006/picture">
                <pic:pic>
                  <pic:nvPicPr>
                    <pic:cNvPr id="0" name="tim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7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像素归一化 0.002 秒；PCA 拟合及变换 0.202 秒，HOG 提取 1.684 秒。sklearn 基线 fit 0.004 秒、predict 2.586 秒；手写原始像素数据复制式 fit 约 0.000008 秒、近邻搜索 0.255 秒。实现、并行库及调用范围不同，速度对照仅反映本机本次配置。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正式模型的完整 PCA 变换 0.316 秒，CUDA 分批近邻搜索 1.500 秒，数据复制式 fit 约 0.000027 秒。GPU 计时包含设备传输和结果回传，并已同步；与上方 CPU 小样本时间不能直接作线性速度比较。</w:t>
      </w:r>
    </w:p>
    <w:p>
      <w:pPr>
        <w:pageBreakBefore/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每类 10 张真实测试样本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从固定种子 42 的测试集中，每类无放回选取 10 张，共 100 张。图中按真实数字 0–9 排成十行；每张上方为“真实/预测”，红色表示错误。该展示样本仅用于定性分析，正式指标来自全部 10,000 张测试图像。</w:t>
      </w:r>
    </w:p>
    <w:p>
      <w:pPr>
        <w:spacing w:after="60" w:line="270" w:lineRule="auto"/>
        <w:jc w:val="center"/>
      </w:pPr>
      <w:r>
        <w:rPr>
          <w:rFonts w:ascii="Microsoft YaHei" w:hAnsi="Microsoft YaHei" w:eastAsia="Microsoft YaHei"/>
          <w:sz w:val="21"/>
          <w:szCs w:val="21"/>
        </w:rPr>
        <w:t/>
        <w:drawing>
          <wp:inline distT="0" distB="0" distL="0" distR="0">
            <wp:extent cx="5715000" cy="5853906"/>
            <wp:docPr id="103" name="samples_100.png"/>
            <a:graphic>
              <a:graphicData uri="http://schemas.openxmlformats.org/drawingml/2006/picture">
                <pic:pic>
                  <pic:nvPicPr>
                    <pic:cNvPr id="0" name="samples_1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5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0" w:lineRule="auto"/>
        <w:jc w:val="left"/>
      </w:pPr>
      <w:r>
        <w:rPr>
          <w:rFonts w:ascii="Microsoft YaHei" w:hAnsi="Microsoft YaHei" w:eastAsia="Microsoft YaHei"/>
          <w:sz w:val="18"/>
          <w:szCs w:val="18"/>
        </w:rPr>
        <w:t>展示样本逐类正确数：0:10，1:10，2:10，3:10，4:9，5:8，6:9，7:10，8:10，9:10；合计 96/100。</w:t>
      </w:r>
    </w:p>
    <w:p>
      <w:pPr>
        <w:pageBreakBefore/>
        <w:spacing w:after="240" w:line="270" w:lineRule="auto"/>
        <w:jc w:val="left"/>
        <w:pBdr>
          <w:bottom w:val="single" w:sz="12" w:space="8" w:color="2B6B94"/>
        </w:pBdr>
      </w:pPr>
      <w:r>
        <w:rPr>
          <w:rFonts w:ascii="Microsoft YaHei" w:hAnsi="Microsoft YaHei" w:eastAsia="Microsoft YaHei"/>
          <w:sz w:val="34"/>
          <w:szCs w:val="34"/>
          <w:color w:val="183D5D"/>
          <w:b/>
        </w:rPr>
        <w:t>混淆矩阵、结论与来源</w:t>
      </w:r>
    </w:p>
    <w:p>
      <w:pPr>
        <w:spacing w:after="60" w:line="270" w:lineRule="auto"/>
        <w:jc w:val="center"/>
      </w:pPr>
      <w:r>
        <w:rPr>
          <w:rFonts w:ascii="Microsoft YaHei" w:hAnsi="Microsoft YaHei" w:eastAsia="Microsoft YaHei"/>
          <w:sz w:val="21"/>
          <w:szCs w:val="21"/>
        </w:rPr>
        <w:t/>
        <w:drawing>
          <wp:inline distT="0" distB="0" distL="0" distR="0">
            <wp:extent cx="4318000" cy="3838222"/>
            <wp:docPr id="104" name="confusion_matrix.png"/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8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完整测试集共正确 9,752/10,000 张。逐类准确率最低的是数字 8（95.38%），其次是 9（96.23%）；矩阵中 8→3 有 16 例、4→9 有 16 例。这提示笔画相近的类别仍易混淆。</w:t>
      </w:r>
    </w:p>
    <w:p>
      <w:pPr>
        <w:spacing w:after="120" w:line="270" w:lineRule="auto"/>
        <w:jc w:val="left"/>
      </w:pPr>
      <w:r>
        <w:rPr>
          <w:rFonts w:ascii="Microsoft YaHei" w:hAnsi="Microsoft YaHei" w:eastAsia="Microsoft YaHei"/>
          <w:sz w:val="21"/>
          <w:szCs w:val="21"/>
        </w:rPr>
        <w:t>训练集拟合的 PCA-50 与 k=3 在本次验证划分下表现较好。kNN、PCA、HOG 均为已有方法；本作业独立实现和比较这些方法，不提出新算法。</w:t>
      </w:r>
    </w:p>
    <w:p>
      <w:pPr>
        <w:spacing w:after="60" w:line="270" w:lineRule="auto"/>
        <w:jc w:val="left"/>
      </w:pPr>
      <w:r>
        <w:rPr>
          <w:rFonts w:ascii="Microsoft YaHei" w:hAnsi="Microsoft YaHei" w:eastAsia="Microsoft YaHei"/>
          <w:sz w:val="18"/>
          <w:szCs w:val="18"/>
        </w:rPr>
        <w:t>数据与教师脚本：https://github.com/IMUEEMM/DL-CLASS/tree/feec5b1b1bb93f7b70b369c74fd98a1bf7eaab91/pj1-KNN</w:t>
      </w:r>
    </w:p>
    <w:p>
      <w:pPr>
        <w:spacing w:after="60" w:line="270" w:lineRule="auto"/>
        <w:jc w:val="left"/>
      </w:pPr>
      <w:r>
        <w:rPr>
          <w:rFonts w:ascii="Microsoft YaHei" w:hAnsi="Microsoft YaHei" w:eastAsia="Microsoft YaHei"/>
          <w:sz w:val="18"/>
          <w:szCs w:val="18"/>
        </w:rPr>
        <w:t>算法参考：scikit-learn KNeighborsClassifier 文档；MNIST 原始数据来源见课程仓库。</w:t>
      </w:r>
    </w:p>
    <w:p>
      <w:pPr>
        <w:spacing w:after="60" w:line="270" w:lineRule="auto"/>
        <w:jc w:val="left"/>
      </w:pPr>
      <w:r>
        <w:rPr>
          <w:rFonts w:ascii="Microsoft YaHei" w:hAnsi="Microsoft YaHei" w:eastAsia="Microsoft YaHei"/>
          <w:sz w:val="18"/>
          <w:szCs w:val="18"/>
        </w:rPr>
        <w:t>在线查看完整程序与单文件 HTML 网页：</w:t>
      </w:r>
    </w:p>
    <w:p>
      <w:pPr>
        <w:spacing w:after="40" w:line="270" w:lineRule="auto"/>
        <w:jc w:val="left"/>
      </w:pPr>
      <w:r>
        <w:t>网页文件：</w:t>
      </w:r>
      <w:hyperlink r:id="rId10">
        <w:r>
          <w:rPr>
            <w:rFonts w:ascii="Consolas" w:hAnsi="Consolas"/>
            <w:sz w:val="18"/>
            <w:color w:val="126B88"/>
            <w:u w:val="single"/>
          </w:rPr>
          <w:t>https://github.com/lzcxvfs-maker/LZCXVFS/blob/main/docs/index.html</w:t>
        </w:r>
      </w:hyperlink>
    </w:p>
    <w:p>
      <w:pPr>
        <w:spacing w:after="40" w:line="270" w:lineRule="auto"/>
        <w:jc w:val="left"/>
      </w:pPr>
      <w:r>
        <w:t>实验源码：</w:t>
      </w:r>
      <w:hyperlink r:id="rId11">
        <w:r>
          <w:rPr>
            <w:rFonts w:ascii="Consolas" w:hAnsi="Consolas"/>
            <w:sz w:val="18"/>
            <w:color w:val="126B88"/>
            <w:u w:val="single"/>
          </w:rPr>
          <w:t>https://github.com/lzcxvfs-maker/LZCXVFS/blob/main/experiment.py</w:t>
        </w:r>
      </w:hyperlink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F6086"/>
    <w:rsid w:val="17CF6086"/>
    <w:rsid w:val="FCED8CC4"/>
  </w:rsids>
  <m:mathPr>
    <m:mathFont m:val="Times New Roman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?>
<ns0:Relationships xmlns:ns0="http://schemas.openxmlformats.org/package/2006/relationships"><ns0:Relationship Id="rId5" Type="http://schemas.openxmlformats.org/officeDocument/2006/relationships/fontTable" Target="fontTable.xml" /><ns0:Relationship Id="rId4" Type="http://schemas.openxmlformats.org/officeDocument/2006/relationships/image" Target="media/image1.jpeg" /><ns0:Relationship Id="rId3" Type="http://schemas.openxmlformats.org/officeDocument/2006/relationships/theme" Target="theme/theme1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6" Type="http://schemas.openxmlformats.org/officeDocument/2006/relationships/image" Target="media/image_knn_1.png" /><ns0:Relationship Id="rId7" Type="http://schemas.openxmlformats.org/officeDocument/2006/relationships/image" Target="media/image_knn_2.png" /><ns0:Relationship Id="rId8" Type="http://schemas.openxmlformats.org/officeDocument/2006/relationships/image" Target="media/image_knn_3.png" /><ns0:Relationship Id="rId9" Type="http://schemas.openxmlformats.org/officeDocument/2006/relationships/image" Target="media/image_knn_4.png" /><ns0:Relationship Id="rId10" Type="http://schemas.openxmlformats.org/officeDocument/2006/relationships/hyperlink" Target="https://github.com/lzcxvfs-maker/LZCXVFS/blob/main/docs/index.html" TargetMode="External" /><ns0:Relationship Id="rId11" Type="http://schemas.openxmlformats.org/officeDocument/2006/relationships/hyperlink" Target="https://github.com/lzcxvfs-maker/LZCXVFS/blob/main/experiment.py" TargetMode="Externa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2026-09-24T21:31:00Z</dcterms:created>
  <dc:creator>笑嘻嘻</dc:creator>
  <cp:lastModifiedBy>笑嘻嘻</cp:lastModifiedBy>
  <dcterms:modified xsi:type="dcterms:W3CDTF">2026-09-24T21:31:21Z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486CEDCB6E5A5D2FF509B56A30087EC5_41</vt:lpwstr>
  </property>
</Properties>
</file>