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E3759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  <w:bookmarkStart w:id="1" w:name="_GoBack"/>
      <w:bookmarkEnd w:id="1"/>
      <w:bookmarkStart w:id="0" w:name="_Toc14098"/>
      <w:r>
        <w:rPr>
          <w:rFonts w:ascii="Times New Roman" w:hAnsi="Times New Roman" w:eastAsia="宋体" w:cs="Times New Roman"/>
          <w:szCs w:val="21"/>
          <w14:ligatures w14:val="none"/>
        </w:rPr>
        <w:drawing>
          <wp:inline distT="0" distB="0" distL="0" distR="0">
            <wp:extent cx="1865630" cy="523240"/>
            <wp:effectExtent l="0" t="0" r="13970" b="10160"/>
            <wp:docPr id="33" name="图片 1" descr="内大logo加字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 descr="内大logo加字黑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1D63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32AA2074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43ABD28A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31B8D9A7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1B82B1D7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7FED343B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49F9C54D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0E12FD35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098892C1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5772A7F1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64A19A5F">
      <w:pPr>
        <w:ind w:firstLine="420" w:firstLineChars="200"/>
        <w:rPr>
          <w:rFonts w:ascii="Times New Roman" w:hAnsi="Times New Roman" w:eastAsia="宋体" w:cs="Times New Roman"/>
          <w:szCs w:val="21"/>
          <w14:ligatures w14:val="none"/>
        </w:rPr>
      </w:pPr>
    </w:p>
    <w:p w14:paraId="26AC15D7">
      <w:pPr>
        <w:jc w:val="center"/>
        <w:rPr>
          <w:rFonts w:ascii="Times New Roman" w:hAnsi="Times New Roman" w:eastAsia="黑体" w:cs="Times New Roman"/>
          <w:b/>
          <w:bCs/>
          <w:sz w:val="72"/>
          <w:szCs w:val="72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72"/>
          <w:szCs w:val="72"/>
          <w14:ligatures w14:val="none"/>
        </w:rPr>
        <w:t>《</w:t>
      </w:r>
      <w:r>
        <w:rPr>
          <w:rFonts w:hint="eastAsia" w:ascii="Times New Roman" w:hAnsi="Times New Roman" w:eastAsia="黑体" w:cs="Times New Roman"/>
          <w:b/>
          <w:bCs/>
          <w:sz w:val="72"/>
          <w:szCs w:val="72"/>
          <w:lang w:val="en-US" w:eastAsia="zh-CN"/>
          <w14:ligatures w14:val="none"/>
        </w:rPr>
        <w:t>深度学习</w:t>
      </w:r>
      <w:r>
        <w:rPr>
          <w:rFonts w:ascii="Times New Roman" w:hAnsi="Times New Roman" w:eastAsia="黑体" w:cs="Times New Roman"/>
          <w:b/>
          <w:bCs/>
          <w:sz w:val="72"/>
          <w:szCs w:val="72"/>
          <w14:ligatures w14:val="none"/>
        </w:rPr>
        <w:t>》</w:t>
      </w:r>
      <w:r>
        <w:rPr>
          <w:rFonts w:hint="eastAsia" w:ascii="Times New Roman" w:hAnsi="Times New Roman" w:eastAsia="黑体" w:cs="Times New Roman"/>
          <w:b/>
          <w:bCs/>
          <w:sz w:val="72"/>
          <w:szCs w:val="72"/>
          <w:lang w:val="en-US" w:eastAsia="zh-CN"/>
          <w14:ligatures w14:val="none"/>
        </w:rPr>
        <w:t>设计</w:t>
      </w:r>
      <w:r>
        <w:rPr>
          <w:rFonts w:ascii="Times New Roman" w:hAnsi="Times New Roman" w:eastAsia="黑体" w:cs="Times New Roman"/>
          <w:b/>
          <w:bCs/>
          <w:sz w:val="72"/>
          <w:szCs w:val="72"/>
          <w14:ligatures w14:val="none"/>
        </w:rPr>
        <w:t>报告</w:t>
      </w:r>
    </w:p>
    <w:p w14:paraId="32CE9F17">
      <w:pPr>
        <w:ind w:firstLine="422" w:firstLineChars="200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3BBA01DC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69E619DB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3B7AC498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6FD4D37B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52C214D6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7AA63905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55E66881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03440817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63F70B0F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17701AD7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p w14:paraId="42C27329">
      <w:pPr>
        <w:ind w:firstLine="422" w:firstLineChars="200"/>
        <w:jc w:val="center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</w:p>
    <w:tbl>
      <w:tblPr>
        <w:tblStyle w:val="5"/>
        <w:tblpPr w:leftFromText="180" w:rightFromText="180" w:vertAnchor="text" w:horzAnchor="page" w:tblpXSpec="center" w:tblpY="40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465"/>
        <w:gridCol w:w="3982"/>
      </w:tblGrid>
      <w:tr w14:paraId="3EBBF29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8C8C98E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学院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09E92860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398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0BEB1E8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电子信息工程学院</w:t>
            </w:r>
          </w:p>
        </w:tc>
      </w:tr>
      <w:tr w14:paraId="658CDCE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B574900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年级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6E986847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7E55F7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2023级</w:t>
            </w:r>
          </w:p>
        </w:tc>
      </w:tr>
      <w:tr w14:paraId="73AC8EB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68038759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专业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6A6C3DB7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5889442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通信工程（产教融合）</w:t>
            </w:r>
          </w:p>
        </w:tc>
      </w:tr>
      <w:tr w14:paraId="03A2E89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DEB6A5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姓名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0B5BEC52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085AF4C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</w:p>
        </w:tc>
      </w:tr>
      <w:tr w14:paraId="004DA66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BC133CF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学号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5DED4EF5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3FB0722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</w:p>
        </w:tc>
      </w:tr>
      <w:tr w14:paraId="2699270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DF58B6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日期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0FF26516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11CBD5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w14:ligatures w14:val="none"/>
              </w:rPr>
              <w:t>2026年5月12日</w:t>
            </w:r>
          </w:p>
        </w:tc>
      </w:tr>
    </w:tbl>
    <w:p w14:paraId="5C7AD849">
      <w:pPr>
        <w:ind w:firstLine="422" w:firstLineChars="200"/>
        <w:rPr>
          <w:rFonts w:ascii="Times New Roman" w:hAnsi="Times New Roman" w:eastAsia="黑体" w:cs="Times New Roman"/>
          <w:b/>
          <w:bCs/>
          <w:szCs w:val="21"/>
          <w14:ligatures w14:val="none"/>
        </w:rPr>
      </w:pPr>
      <w:r>
        <w:rPr>
          <w:rFonts w:ascii="Times New Roman" w:hAnsi="Times New Roman" w:eastAsia="黑体" w:cs="Times New Roman"/>
          <w:b/>
          <w:bCs/>
          <w:szCs w:val="21"/>
          <w14:ligatures w14:val="none"/>
        </w:rPr>
        <w:t xml:space="preserve">                                 </w:t>
      </w:r>
    </w:p>
    <w:p w14:paraId="6FC850D1">
      <w:pPr>
        <w:widowControl/>
        <w:jc w:val="left"/>
        <w:rPr>
          <w:rFonts w:ascii="Times New Roman" w:hAnsi="Times New Roman" w:eastAsia="黑体" w:cs="Times New Roman"/>
          <w:b/>
          <w:bCs/>
          <w:szCs w:val="21"/>
          <w14:ligatures w14:val="none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080" w:bottom="1440" w:left="1080" w:header="851" w:footer="992" w:gutter="0"/>
          <w:cols w:space="720" w:num="1"/>
          <w:titlePg/>
          <w:docGrid w:type="lines" w:linePitch="312" w:charSpace="0"/>
        </w:sectPr>
      </w:pPr>
    </w:p>
    <w:bookmarkEnd w:id="0"/>
    <w:p w14:paraId="6CE8120A"/>
    <w:p w14:paraId="3502368F">
      <w:pPr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一、摘要、章节目录与方法原则</w:t>
      </w:r>
    </w:p>
    <w:p w14:paraId="1E23EF7E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本报告基于经典非参数模式识别算法——k近邻（k-Nearest Neighbors, kNN），针对 MNIST 手写体数字图像分类任务展开全面系统的工程实现与评估。传统 kNN 训练零开销但推理计算量巨大，本项目完整实现了中心化 SVD PCA 降维、HOG 局部特征提取及分批向量化距离检索算法。实验遵循三阶段无泄漏划分原则：从 60,000 张训练集中抽取 12,000 张训练子集与 2,000 张独立验证子集进行 100 组超参数网格搜索；锁定最优配置后，使用全部 60,000 张训练样本拟合并在独立的 10,000 张全量测试集上进行最终评测。</w:t>
      </w:r>
    </w:p>
    <w:p w14:paraId="7CF26BFF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1.1 报告章节导航与目录索引 (Table of Contents)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800"/>
        <w:gridCol w:w="1350"/>
        <w:gridCol w:w="2800"/>
        <w:gridCol w:w="1350"/>
      </w:tblGrid>
      <w:tr w14:paraId="59577EF4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800" w:type="dxa"/>
            <w:shd w:val="clear" w:color="auto" w:fill="1E3A8A"/>
          </w:tcPr>
          <w:p w14:paraId="7EB99619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章节编号与主题</w:t>
            </w:r>
          </w:p>
        </w:tc>
        <w:tc>
          <w:tcPr>
            <w:tcW w:w="1350" w:type="dxa"/>
            <w:shd w:val="clear" w:color="auto" w:fill="1E3A8A"/>
          </w:tcPr>
          <w:p w14:paraId="1517A07D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所在页码</w:t>
            </w:r>
          </w:p>
        </w:tc>
        <w:tc>
          <w:tcPr>
            <w:tcW w:w="2800" w:type="dxa"/>
            <w:shd w:val="clear" w:color="auto" w:fill="1E3A8A"/>
          </w:tcPr>
          <w:p w14:paraId="209EF6D1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章节编号与主题</w:t>
            </w:r>
          </w:p>
        </w:tc>
        <w:tc>
          <w:tcPr>
            <w:tcW w:w="1350" w:type="dxa"/>
            <w:shd w:val="clear" w:color="auto" w:fill="1E3A8A"/>
          </w:tcPr>
          <w:p w14:paraId="3778C002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所在页码</w:t>
            </w:r>
          </w:p>
        </w:tc>
      </w:tr>
      <w:tr w14:paraId="0A681A0E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800" w:type="dxa"/>
          </w:tcPr>
          <w:p w14:paraId="03267F86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一、摘要、目录与方法原则</w:t>
            </w:r>
          </w:p>
        </w:tc>
        <w:tc>
          <w:tcPr>
            <w:tcW w:w="1350" w:type="dxa"/>
          </w:tcPr>
          <w:p w14:paraId="7ECC8BBF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2 页</w:t>
            </w:r>
          </w:p>
        </w:tc>
        <w:tc>
          <w:tcPr>
            <w:tcW w:w="2800" w:type="dxa"/>
          </w:tcPr>
          <w:p w14:paraId="4DED3F0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六、完整测试集评估与逐类诊断</w:t>
            </w:r>
          </w:p>
        </w:tc>
        <w:tc>
          <w:tcPr>
            <w:tcW w:w="1350" w:type="dxa"/>
          </w:tcPr>
          <w:p w14:paraId="6EA5693E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7 页</w:t>
            </w:r>
          </w:p>
        </w:tc>
      </w:tr>
      <w:tr w14:paraId="3DFF6F9C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800" w:type="dxa"/>
            <w:shd w:val="clear" w:color="auto" w:fill="F8FAFC"/>
          </w:tcPr>
          <w:p w14:paraId="35F385DC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二、数据集划分、环境与指标</w:t>
            </w:r>
          </w:p>
        </w:tc>
        <w:tc>
          <w:tcPr>
            <w:tcW w:w="1350" w:type="dxa"/>
            <w:shd w:val="clear" w:color="auto" w:fill="F8FAFC"/>
          </w:tcPr>
          <w:p w14:paraId="524511F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3 页</w:t>
            </w:r>
          </w:p>
        </w:tc>
        <w:tc>
          <w:tcPr>
            <w:tcW w:w="2800" w:type="dxa"/>
            <w:shd w:val="clear" w:color="auto" w:fill="F8FAFC"/>
          </w:tcPr>
          <w:p w14:paraId="79832C8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七、混淆矩阵深入诊断与错误归因</w:t>
            </w:r>
          </w:p>
        </w:tc>
        <w:tc>
          <w:tcPr>
            <w:tcW w:w="1350" w:type="dxa"/>
            <w:shd w:val="clear" w:color="auto" w:fill="F8FAFC"/>
          </w:tcPr>
          <w:p w14:paraId="44EE1304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8 页</w:t>
            </w:r>
          </w:p>
        </w:tc>
      </w:tr>
      <w:tr w14:paraId="7B53FC95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800" w:type="dxa"/>
          </w:tcPr>
          <w:p w14:paraId="2D17847E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三、向量化实现与微基准对比</w:t>
            </w:r>
          </w:p>
        </w:tc>
        <w:tc>
          <w:tcPr>
            <w:tcW w:w="1350" w:type="dxa"/>
          </w:tcPr>
          <w:p w14:paraId="72A0402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4 页</w:t>
            </w:r>
          </w:p>
        </w:tc>
        <w:tc>
          <w:tcPr>
            <w:tcW w:w="2800" w:type="dxa"/>
          </w:tcPr>
          <w:p w14:paraId="058DF873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八、总结讨论、QA验证与工程复现</w:t>
            </w:r>
          </w:p>
        </w:tc>
        <w:tc>
          <w:tcPr>
            <w:tcW w:w="1350" w:type="dxa"/>
          </w:tcPr>
          <w:p w14:paraId="298A313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9 页</w:t>
            </w:r>
          </w:p>
        </w:tc>
      </w:tr>
      <w:tr w14:paraId="4A5C9AED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800" w:type="dxa"/>
            <w:shd w:val="clear" w:color="auto" w:fill="F8FAFC"/>
          </w:tcPr>
          <w:p w14:paraId="596374F5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四、100 组网格搜索消融规律</w:t>
            </w:r>
          </w:p>
        </w:tc>
        <w:tc>
          <w:tcPr>
            <w:tcW w:w="1350" w:type="dxa"/>
            <w:shd w:val="clear" w:color="auto" w:fill="F8FAFC"/>
          </w:tcPr>
          <w:p w14:paraId="2CD49DD2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5 页</w:t>
            </w:r>
          </w:p>
        </w:tc>
        <w:tc>
          <w:tcPr>
            <w:tcW w:w="2800" w:type="dxa"/>
            <w:shd w:val="clear" w:color="auto" w:fill="F8FAFC"/>
          </w:tcPr>
          <w:p w14:paraId="2AF4722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九、开源工程仓库与在线交互报告</w:t>
            </w:r>
          </w:p>
        </w:tc>
        <w:tc>
          <w:tcPr>
            <w:tcW w:w="1350" w:type="dxa"/>
            <w:shd w:val="clear" w:color="auto" w:fill="F8FAFC"/>
          </w:tcPr>
          <w:p w14:paraId="33016E6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10 页</w:t>
            </w:r>
          </w:p>
        </w:tc>
      </w:tr>
      <w:tr w14:paraId="474B1AEF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800" w:type="dxa"/>
          </w:tcPr>
          <w:p w14:paraId="47B06A07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五、图像特征探索与降维对比</w:t>
            </w:r>
          </w:p>
        </w:tc>
        <w:tc>
          <w:tcPr>
            <w:tcW w:w="1350" w:type="dxa"/>
          </w:tcPr>
          <w:p w14:paraId="3E970A62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6 页</w:t>
            </w:r>
          </w:p>
        </w:tc>
        <w:tc>
          <w:tcPr>
            <w:tcW w:w="2800" w:type="dxa"/>
          </w:tcPr>
          <w:p w14:paraId="030EA4A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附录：在线网站与扫码查验系统</w:t>
            </w:r>
          </w:p>
        </w:tc>
        <w:tc>
          <w:tcPr>
            <w:tcW w:w="1350" w:type="dxa"/>
          </w:tcPr>
          <w:p w14:paraId="0081CBEC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第 10 页</w:t>
            </w:r>
          </w:p>
        </w:tc>
      </w:tr>
    </w:tbl>
    <w:p w14:paraId="17C0307C">
      <w:pPr>
        <w:spacing w:after="30" w:line="240" w:lineRule="auto"/>
        <w:jc w:val="left"/>
      </w:pPr>
    </w:p>
    <w:p w14:paraId="75FBD363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1.2 核心算法设计与数学契约</w:t>
      </w:r>
    </w:p>
    <w:p w14:paraId="63A9E2DA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采用矩阵代数展开的分批向量化公式消除循环开销，并对负值截断满足距离公理：</w:t>
      </w:r>
    </w:p>
    <w:p w14:paraId="2457FD42">
      <w:pPr>
        <w:spacing w:after="3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3810000" cy="410845"/>
            <wp:effectExtent l="0" t="0" r="0" b="635"/>
            <wp:docPr id="101" name="eq_l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q_l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1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(式 1)</w:t>
      </w:r>
    </w:p>
    <w:p w14:paraId="599F9982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在距离加权投票模式中，加权系数定义为距离倒数（零距离近邻独享投票权）：</w:t>
      </w:r>
    </w:p>
    <w:p w14:paraId="032F879C">
      <w:pPr>
        <w:spacing w:after="3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1524000" cy="458470"/>
            <wp:effectExtent l="0" t="0" r="0" b="13970"/>
            <wp:docPr id="102" name="eq_weigh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q_we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(式 2)</w:t>
      </w:r>
    </w:p>
    <w:p w14:paraId="1CCD3AC0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最终多数票决策目标函数如下（式中 I 为指示函数）：</w:t>
      </w:r>
    </w:p>
    <w:p w14:paraId="4DE29B70">
      <w:pPr>
        <w:spacing w:after="3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3683000" cy="798195"/>
            <wp:effectExtent l="0" t="0" r="5080" b="9525"/>
            <wp:docPr id="103" name="eq_vot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q_vo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79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(式 3)</w:t>
      </w:r>
    </w:p>
    <w:p w14:paraId="152917D9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• 确定性平票仲裁：近邻检索并列优先保留训练行号较小样本；多数票统计并列严格判定为类别编号较小者（0-9）。</w:t>
      </w:r>
    </w:p>
    <w:p w14:paraId="5B715BC4">
      <w:pPr>
        <w:spacing w:after="30" w:line="240" w:lineRule="auto"/>
        <w:jc w:val="left"/>
      </w:pPr>
      <w:r>
        <w:rPr>
          <w:rFonts w:ascii="Times New Roman" w:hAnsi="Times New Roman" w:eastAsia="宋体"/>
          <w:sz w:val="17"/>
          <w:szCs w:val="17"/>
        </w:rPr>
        <w:t>关键词：MNIST手写体；k近邻分类器；SVD PCA；HOG梯度特征；分批向量化；Top-n精度</w:t>
      </w:r>
    </w:p>
    <w:p w14:paraId="48704D96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二、数据集划分、实验环境与评价体系</w:t>
      </w:r>
    </w:p>
    <w:p w14:paraId="51596AC0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实验采用标准 MNIST 手写体数字数据集，每张图像为 28×28 灰度图（784 维原始特征，标签 0-9），像素除以 255 归一化。原始 IDX 格式无损转换，哈希清单记录于 data_manifest.json，杜绝重采样偏差。</w:t>
      </w:r>
    </w:p>
    <w:p w14:paraId="6EDFE509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2.1 严谨的三阶段子集划分（避免数据泄漏）</w:t>
      </w:r>
    </w:p>
    <w:p w14:paraId="426399F6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以固定随机种子（42/43）从 60,000 张训练集分层抽取 12,000 张训练与 2,000 张验证子集（每类训练 1,200、验证 200 张，索引无交集）。PCA 投影基仅在 12,000 训练子集拟合，验证集仅映射。最终测试集（10,000 张）在锁定配置前保持完全盲态。</w:t>
      </w:r>
    </w:p>
    <w:p w14:paraId="1616C537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2.2 软硬件运行环境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3300"/>
        <w:gridCol w:w="3000"/>
      </w:tblGrid>
      <w:tr w14:paraId="2C0D288B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  <w:shd w:val="clear" w:color="auto" w:fill="1E3A8A"/>
          </w:tcPr>
          <w:p w14:paraId="24C2E0C5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环境组件</w:t>
            </w:r>
          </w:p>
        </w:tc>
        <w:tc>
          <w:tcPr>
            <w:tcW w:w="3300" w:type="dxa"/>
            <w:shd w:val="clear" w:color="auto" w:fill="1E3A8A"/>
          </w:tcPr>
          <w:p w14:paraId="7958B50F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配置与版本</w:t>
            </w:r>
          </w:p>
        </w:tc>
        <w:tc>
          <w:tcPr>
            <w:tcW w:w="3000" w:type="dxa"/>
            <w:shd w:val="clear" w:color="auto" w:fill="1E3A8A"/>
          </w:tcPr>
          <w:p w14:paraId="592C96CF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功能说明</w:t>
            </w:r>
          </w:p>
        </w:tc>
      </w:tr>
      <w:tr w14:paraId="7E22D206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</w:tcPr>
          <w:p w14:paraId="6802322B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操作系统 / 处理器</w:t>
            </w:r>
          </w:p>
        </w:tc>
        <w:tc>
          <w:tcPr>
            <w:tcW w:w="3300" w:type="dxa"/>
          </w:tcPr>
          <w:p w14:paraId="5254A83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Windows 11 / x64 多核 CPU</w:t>
            </w:r>
          </w:p>
        </w:tc>
        <w:tc>
          <w:tcPr>
            <w:tcW w:w="3000" w:type="dxa"/>
          </w:tcPr>
          <w:p w14:paraId="06708C5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负责数据预处理与特征工程调度</w:t>
            </w:r>
          </w:p>
        </w:tc>
      </w:tr>
      <w:tr w14:paraId="10C42E73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  <w:shd w:val="clear" w:color="auto" w:fill="F8FAFC"/>
          </w:tcPr>
          <w:p w14:paraId="3B61B05D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图形加速卡 GPU</w:t>
            </w:r>
          </w:p>
        </w:tc>
        <w:tc>
          <w:tcPr>
            <w:tcW w:w="3300" w:type="dxa"/>
            <w:shd w:val="clear" w:color="auto" w:fill="F8FAFC"/>
          </w:tcPr>
          <w:p w14:paraId="0A81543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NVIDIA GeForce RTX 4080 Laptop GPU</w:t>
            </w:r>
          </w:p>
        </w:tc>
        <w:tc>
          <w:tcPr>
            <w:tcW w:w="3000" w:type="dxa"/>
            <w:shd w:val="clear" w:color="auto" w:fill="F8FAFC"/>
          </w:tcPr>
          <w:p w14:paraId="02B5463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用于分批向量化欧氏距离矩阵高速检索</w:t>
            </w:r>
          </w:p>
        </w:tc>
      </w:tr>
      <w:tr w14:paraId="7C932DC3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</w:tcPr>
          <w:p w14:paraId="45820A7C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核心依赖库</w:t>
            </w:r>
          </w:p>
        </w:tc>
        <w:tc>
          <w:tcPr>
            <w:tcW w:w="3300" w:type="dxa"/>
          </w:tcPr>
          <w:p w14:paraId="4794FF0F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PyTorch 2.2 / CUDA / NumPy 1.26 / scikit-learn</w:t>
            </w:r>
          </w:p>
        </w:tc>
        <w:tc>
          <w:tcPr>
            <w:tcW w:w="3000" w:type="dxa"/>
          </w:tcPr>
          <w:p w14:paraId="40B5447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统一矩阵运算后端与严格 QA 交叉对照</w:t>
            </w:r>
          </w:p>
        </w:tc>
      </w:tr>
      <w:tr w14:paraId="6B9D805D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  <w:shd w:val="clear" w:color="auto" w:fill="F8FAFC"/>
          </w:tcPr>
          <w:p w14:paraId="78014E03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特征处理库</w:t>
            </w:r>
          </w:p>
        </w:tc>
        <w:tc>
          <w:tcPr>
            <w:tcW w:w="3300" w:type="dxa"/>
            <w:shd w:val="clear" w:color="auto" w:fill="F8FAFC"/>
          </w:tcPr>
          <w:p w14:paraId="012AD022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scikit-image 0.22</w:t>
            </w:r>
          </w:p>
        </w:tc>
        <w:tc>
          <w:tcPr>
            <w:tcW w:w="3000" w:type="dxa"/>
            <w:shd w:val="clear" w:color="auto" w:fill="F8FAFC"/>
          </w:tcPr>
          <w:p w14:paraId="1C9423EF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用于提取 324 维 HOG 局部方向梯度特征</w:t>
            </w:r>
          </w:p>
        </w:tc>
      </w:tr>
    </w:tbl>
    <w:p w14:paraId="186BA0BE">
      <w:pPr>
        <w:spacing w:after="30" w:line="240" w:lineRule="auto"/>
        <w:jc w:val="left"/>
      </w:pPr>
    </w:p>
    <w:p w14:paraId="72E895CF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2.3 评价指标体系</w:t>
      </w:r>
    </w:p>
    <w:p w14:paraId="7486EF15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建立多维客观评价指标：Top-1 准确率、Top-3/Top-5 覆盖率（真实标签出现在前 3/5 个候选类的比例）、10×10 混淆矩阵，以及宏平均 Macro-F1（平衡各类精度）。精确测时特征变换、近邻检索与投票过程。</w:t>
      </w:r>
    </w:p>
    <w:p w14:paraId="12FF4C69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三、分批向量化 kNN 实现与微基准效率分析</w:t>
      </w:r>
    </w:p>
    <w:p w14:paraId="13AD1BF8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传统 kNN 算法若直接使用双重循环遍历 10,000 × 60,000 样本对，需 4.7 亿次浮点运算，耗时达数十分钟以上。本项目采用分批向量化（64 查询/批），利用矩阵乘法一次性求解批次距离，显存可控且吞吐量极高。</w:t>
      </w:r>
    </w:p>
    <w:p w14:paraId="3AC218AC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3.1 核心算法实现摘录（core.py）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4800"/>
        <w:gridCol w:w="3500"/>
      </w:tblGrid>
      <w:tr w14:paraId="6378F7B1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4800" w:type="dxa"/>
            <w:shd w:val="clear" w:color="auto" w:fill="1E3A8A"/>
          </w:tcPr>
          <w:p w14:paraId="7068A499">
            <w:pPr>
              <w:spacing w:before="0" w:after="0" w:line="200" w:lineRule="auto"/>
              <w:jc w:val="left"/>
            </w:pPr>
            <w:r>
              <w:rPr>
                <w:rFonts w:ascii="Consolas" w:hAnsi="Consolas" w:eastAsia="Consolas"/>
                <w:b/>
                <w:color w:val="FFFFFF"/>
                <w:sz w:val="13"/>
              </w:rPr>
              <w:t>核心函数与向量化代码摘录</w:t>
            </w:r>
          </w:p>
        </w:tc>
        <w:tc>
          <w:tcPr>
            <w:tcW w:w="3500" w:type="dxa"/>
            <w:shd w:val="clear" w:color="auto" w:fill="1E3A8A"/>
          </w:tcPr>
          <w:p w14:paraId="4A039BDF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执行逻辑与算法优化说明</w:t>
            </w:r>
          </w:p>
        </w:tc>
      </w:tr>
      <w:tr w14:paraId="1A3D66AD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4800" w:type="dxa"/>
          </w:tcPr>
          <w:p w14:paraId="7481904C">
            <w:pPr>
              <w:spacing w:before="0" w:after="0" w:line="200" w:lineRule="auto"/>
              <w:jc w:val="left"/>
            </w:pPr>
            <w:r>
              <w:rPr>
                <w:rFonts w:ascii="Consolas" w:hAnsi="Consolas" w:eastAsia="Consolas"/>
                <w:sz w:val="13"/>
              </w:rPr>
              <w:t>for start in range(0, len(query), batch):</w:t>
            </w:r>
          </w:p>
        </w:tc>
        <w:tc>
          <w:tcPr>
            <w:tcW w:w="3500" w:type="dxa"/>
          </w:tcPr>
          <w:p w14:paraId="20E1290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分批滑窗切片，限制单批显存与内存峰值占用</w:t>
            </w:r>
          </w:p>
        </w:tc>
      </w:tr>
      <w:tr w14:paraId="1243E3E8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4800" w:type="dxa"/>
            <w:shd w:val="clear" w:color="auto" w:fill="F8FAFC"/>
          </w:tcPr>
          <w:p w14:paraId="3FA8A6E7">
            <w:pPr>
              <w:spacing w:before="0" w:after="0" w:line="200" w:lineRule="auto"/>
              <w:jc w:val="left"/>
            </w:pPr>
            <w:r>
              <w:rPr>
                <w:rFonts w:ascii="Consolas" w:hAnsi="Consolas" w:eastAsia="Consolas"/>
                <w:sz w:val="13"/>
              </w:rPr>
              <w:t>d = ((b*b).sum(1)[:,None] + norm[None,:] - 2*b@a.T).clamp_min(0)</w:t>
            </w:r>
          </w:p>
        </w:tc>
        <w:tc>
          <w:tcPr>
            <w:tcW w:w="3500" w:type="dxa"/>
            <w:shd w:val="clear" w:color="auto" w:fill="F8FAFC"/>
          </w:tcPr>
          <w:p w14:paraId="2E6D745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GPU 矩阵广播计算欧氏平方距离，截断微小负值</w:t>
            </w:r>
          </w:p>
        </w:tc>
      </w:tr>
      <w:tr w14:paraId="57A4508A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4800" w:type="dxa"/>
          </w:tcPr>
          <w:p w14:paraId="5998B540">
            <w:pPr>
              <w:spacing w:before="0" w:after="0" w:line="200" w:lineRule="auto"/>
              <w:jc w:val="left"/>
            </w:pPr>
            <w:r>
              <w:rPr>
                <w:rFonts w:ascii="Consolas" w:hAnsi="Consolas" w:eastAsia="Consolas"/>
                <w:sz w:val="13"/>
              </w:rPr>
              <w:t>ix = np.argpartition(d, k-1, axis=1)[:, :k]</w:t>
            </w:r>
          </w:p>
        </w:tc>
        <w:tc>
          <w:tcPr>
            <w:tcW w:w="3500" w:type="dxa"/>
          </w:tcPr>
          <w:p w14:paraId="48811B4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快速选择算法筛选前 k 个近邻，复杂度从 O(N log N) 降至 O(N)</w:t>
            </w:r>
          </w:p>
        </w:tc>
      </w:tr>
      <w:tr w14:paraId="0C600A06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4800" w:type="dxa"/>
            <w:shd w:val="clear" w:color="auto" w:fill="F8FAFC"/>
          </w:tcPr>
          <w:p w14:paraId="51D28B5D">
            <w:pPr>
              <w:spacing w:before="0" w:after="0" w:line="200" w:lineRule="auto"/>
              <w:jc w:val="left"/>
            </w:pPr>
            <w:r>
              <w:rPr>
                <w:rFonts w:ascii="Consolas" w:hAnsi="Consolas" w:eastAsia="Consolas"/>
                <w:sz w:val="13"/>
              </w:rPr>
              <w:t>order = np.lexsort((ix, vals), axis=1)</w:t>
            </w:r>
          </w:p>
        </w:tc>
        <w:tc>
          <w:tcPr>
            <w:tcW w:w="3500" w:type="dxa"/>
            <w:shd w:val="clear" w:color="auto" w:fill="F8FAFC"/>
          </w:tcPr>
          <w:p w14:paraId="28A8A1D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字典序双键排序，彻底解决距离平票时的确定性行号决选</w:t>
            </w:r>
          </w:p>
        </w:tc>
      </w:tr>
    </w:tbl>
    <w:p w14:paraId="1DBB0F72">
      <w:pPr>
        <w:spacing w:after="30" w:line="240" w:lineRule="auto"/>
        <w:jc w:val="left"/>
      </w:pPr>
    </w:p>
    <w:p w14:paraId="4EAA82B1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3.2 距离计算微基准对比（同一 CPU 数据集，3 次中位数）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400"/>
        <w:gridCol w:w="2600"/>
        <w:gridCol w:w="1800"/>
        <w:gridCol w:w="1500"/>
      </w:tblGrid>
      <w:tr w14:paraId="26E2ED1C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  <w:shd w:val="clear" w:color="auto" w:fill="1E3A8A"/>
          </w:tcPr>
          <w:p w14:paraId="64855075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计算方法</w:t>
            </w:r>
          </w:p>
        </w:tc>
        <w:tc>
          <w:tcPr>
            <w:tcW w:w="2600" w:type="dxa"/>
            <w:shd w:val="clear" w:color="auto" w:fill="1E3A8A"/>
          </w:tcPr>
          <w:p w14:paraId="77A066D2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样本规模 (查询×训练×维度)</w:t>
            </w:r>
          </w:p>
        </w:tc>
        <w:tc>
          <w:tcPr>
            <w:tcW w:w="1800" w:type="dxa"/>
            <w:shd w:val="clear" w:color="auto" w:fill="1E3A8A"/>
          </w:tcPr>
          <w:p w14:paraId="409C7629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中位数耗时 (秒)</w:t>
            </w:r>
          </w:p>
        </w:tc>
        <w:tc>
          <w:tcPr>
            <w:tcW w:w="1500" w:type="dxa"/>
            <w:shd w:val="clear" w:color="auto" w:fill="1E3A8A"/>
          </w:tcPr>
          <w:p w14:paraId="4C076740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相对加速比</w:t>
            </w:r>
          </w:p>
        </w:tc>
      </w:tr>
      <w:tr w14:paraId="55254B63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</w:tcPr>
          <w:p w14:paraId="4A7649B4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Python 原生双重循环</w:t>
            </w:r>
          </w:p>
        </w:tc>
        <w:tc>
          <w:tcPr>
            <w:tcW w:w="2600" w:type="dxa"/>
          </w:tcPr>
          <w:p w14:paraId="6C5D678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32 × 240 × 24 维</w:t>
            </w:r>
          </w:p>
        </w:tc>
        <w:tc>
          <w:tcPr>
            <w:tcW w:w="1800" w:type="dxa"/>
          </w:tcPr>
          <w:p w14:paraId="6BC4D094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0.04412120 s</w:t>
            </w:r>
          </w:p>
        </w:tc>
        <w:tc>
          <w:tcPr>
            <w:tcW w:w="1500" w:type="dxa"/>
          </w:tcPr>
          <w:p w14:paraId="76C0E22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1.0× (基准)</w:t>
            </w:r>
          </w:p>
        </w:tc>
      </w:tr>
      <w:tr w14:paraId="44857B75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  <w:shd w:val="clear" w:color="auto" w:fill="F8FAFC"/>
          </w:tcPr>
          <w:p w14:paraId="1E1F0921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NumPy 广播矩阵向量化</w:t>
            </w:r>
          </w:p>
        </w:tc>
        <w:tc>
          <w:tcPr>
            <w:tcW w:w="2600" w:type="dxa"/>
            <w:shd w:val="clear" w:color="auto" w:fill="F8FAFC"/>
          </w:tcPr>
          <w:p w14:paraId="51B613C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32 × 240 × 24 维</w:t>
            </w:r>
          </w:p>
        </w:tc>
        <w:tc>
          <w:tcPr>
            <w:tcW w:w="1800" w:type="dxa"/>
            <w:shd w:val="clear" w:color="auto" w:fill="F8FAFC"/>
          </w:tcPr>
          <w:p w14:paraId="6E6484A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0.00002820 s</w:t>
            </w:r>
          </w:p>
        </w:tc>
        <w:tc>
          <w:tcPr>
            <w:tcW w:w="1500" w:type="dxa"/>
            <w:shd w:val="clear" w:color="auto" w:fill="F8FAFC"/>
          </w:tcPr>
          <w:p w14:paraId="1444AA2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1564.6× (极大加速)</w:t>
            </w:r>
          </w:p>
        </w:tc>
      </w:tr>
    </w:tbl>
    <w:p w14:paraId="0D9D6148">
      <w:pPr>
        <w:spacing w:after="30" w:line="240" w:lineRule="auto"/>
        <w:jc w:val="left"/>
      </w:pPr>
    </w:p>
    <w:p w14:paraId="04927F1F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3.3 与 scikit-learn 独立实现交叉核对</w:t>
      </w:r>
    </w:p>
    <w:p w14:paraId="240D0719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在同一划分上针对 10 组配置与 KNeighborsClassifier(algorithm='brute') 进行独立对照，2,000 条验证预测完全一致（一致率严格达到 100.00%），证明自编逻辑的数值可靠性。</w:t>
      </w:r>
    </w:p>
    <w:p w14:paraId="05C7687D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四、100 组网格搜索：超参数 k 与特征表现规律</w:t>
      </w:r>
    </w:p>
    <w:p w14:paraId="3E425493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实验在 5 种特征 × 2 种距离 × 2 种加权 × 5 个 k 值下完成 100 组验证实验。下图展示同一验证划分在 L2 距离与均匀投票下的 Top-1 曲线。</w:t>
      </w:r>
    </w:p>
    <w:p w14:paraId="7D60B7E5">
      <w:pPr>
        <w:spacing w:after="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4191000" cy="2329815"/>
            <wp:effectExtent l="0" t="0" r="0" b="1905"/>
            <wp:docPr id="104" name="02_k_featur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2_k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93E4">
      <w:pPr>
        <w:spacing w:after="30" w:line="240" w:lineRule="auto"/>
        <w:jc w:val="left"/>
      </w:pPr>
      <w:r>
        <w:rPr>
          <w:rFonts w:ascii="Times New Roman" w:hAnsi="Times New Roman" w:eastAsia="宋体"/>
          <w:sz w:val="17"/>
          <w:szCs w:val="17"/>
        </w:rPr>
        <w:t>图 1：不同 k 值与特征空间在验证集上的 Top-1 准确率曲线</w:t>
      </w:r>
    </w:p>
    <w:p w14:paraId="43A3130A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4.1 典型配置验证准确率对比表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800"/>
        <w:gridCol w:w="1100"/>
        <w:gridCol w:w="1100"/>
        <w:gridCol w:w="1100"/>
        <w:gridCol w:w="1100"/>
        <w:gridCol w:w="1100"/>
        <w:gridCol w:w="1000"/>
      </w:tblGrid>
      <w:tr w14:paraId="33713DAA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800" w:type="dxa"/>
            <w:shd w:val="clear" w:color="auto" w:fill="1E3A8A"/>
          </w:tcPr>
          <w:p w14:paraId="4A465065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特征空间</w:t>
            </w:r>
          </w:p>
        </w:tc>
        <w:tc>
          <w:tcPr>
            <w:tcW w:w="1100" w:type="dxa"/>
            <w:shd w:val="clear" w:color="auto" w:fill="1E3A8A"/>
          </w:tcPr>
          <w:p w14:paraId="780A95D9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维度</w:t>
            </w:r>
          </w:p>
        </w:tc>
        <w:tc>
          <w:tcPr>
            <w:tcW w:w="1100" w:type="dxa"/>
            <w:shd w:val="clear" w:color="auto" w:fill="1E3A8A"/>
          </w:tcPr>
          <w:p w14:paraId="5A6F38AE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k=1</w:t>
            </w:r>
          </w:p>
        </w:tc>
        <w:tc>
          <w:tcPr>
            <w:tcW w:w="1100" w:type="dxa"/>
            <w:shd w:val="clear" w:color="auto" w:fill="1E3A8A"/>
          </w:tcPr>
          <w:p w14:paraId="37084FA5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k=3</w:t>
            </w:r>
          </w:p>
        </w:tc>
        <w:tc>
          <w:tcPr>
            <w:tcW w:w="1100" w:type="dxa"/>
            <w:shd w:val="clear" w:color="auto" w:fill="1E3A8A"/>
          </w:tcPr>
          <w:p w14:paraId="43D8B41C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k=5 (锁定)</w:t>
            </w:r>
          </w:p>
        </w:tc>
        <w:tc>
          <w:tcPr>
            <w:tcW w:w="1100" w:type="dxa"/>
            <w:shd w:val="clear" w:color="auto" w:fill="1E3A8A"/>
          </w:tcPr>
          <w:p w14:paraId="387573CC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k=7</w:t>
            </w:r>
          </w:p>
        </w:tc>
        <w:tc>
          <w:tcPr>
            <w:tcW w:w="1000" w:type="dxa"/>
            <w:shd w:val="clear" w:color="auto" w:fill="1E3A8A"/>
          </w:tcPr>
          <w:p w14:paraId="69832A02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k=9</w:t>
            </w:r>
          </w:p>
        </w:tc>
      </w:tr>
      <w:tr w14:paraId="55CDF28D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800" w:type="dxa"/>
          </w:tcPr>
          <w:p w14:paraId="6EBF57A5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Raw 像素</w:t>
            </w:r>
          </w:p>
        </w:tc>
        <w:tc>
          <w:tcPr>
            <w:tcW w:w="1100" w:type="dxa"/>
          </w:tcPr>
          <w:p w14:paraId="2975947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784</w:t>
            </w:r>
          </w:p>
        </w:tc>
        <w:tc>
          <w:tcPr>
            <w:tcW w:w="1100" w:type="dxa"/>
          </w:tcPr>
          <w:p w14:paraId="73E8BE2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94.80%</w:t>
            </w:r>
          </w:p>
        </w:tc>
        <w:tc>
          <w:tcPr>
            <w:tcW w:w="1100" w:type="dxa"/>
          </w:tcPr>
          <w:p w14:paraId="35FC7FD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94.80%</w:t>
            </w:r>
          </w:p>
        </w:tc>
        <w:tc>
          <w:tcPr>
            <w:tcW w:w="1100" w:type="dxa"/>
          </w:tcPr>
          <w:p w14:paraId="1B4C3CC7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94.85%</w:t>
            </w:r>
          </w:p>
        </w:tc>
        <w:tc>
          <w:tcPr>
            <w:tcW w:w="1100" w:type="dxa"/>
          </w:tcPr>
          <w:p w14:paraId="6A3C96F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94.75%</w:t>
            </w:r>
          </w:p>
        </w:tc>
        <w:tc>
          <w:tcPr>
            <w:tcW w:w="1000" w:type="dxa"/>
          </w:tcPr>
          <w:p w14:paraId="1E0BA083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94.50%</w:t>
            </w:r>
          </w:p>
        </w:tc>
      </w:tr>
      <w:tr w14:paraId="086A2122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800" w:type="dxa"/>
            <w:shd w:val="clear" w:color="auto" w:fill="F8FAFC"/>
          </w:tcPr>
          <w:p w14:paraId="79D910AD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PCA-20</w:t>
            </w:r>
          </w:p>
        </w:tc>
        <w:tc>
          <w:tcPr>
            <w:tcW w:w="1100" w:type="dxa"/>
            <w:shd w:val="clear" w:color="auto" w:fill="F8FAFC"/>
          </w:tcPr>
          <w:p w14:paraId="0ACD8DE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w="1100" w:type="dxa"/>
            <w:shd w:val="clear" w:color="auto" w:fill="F8FAFC"/>
          </w:tcPr>
          <w:p w14:paraId="4F99806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94.85%</w:t>
            </w:r>
          </w:p>
        </w:tc>
        <w:tc>
          <w:tcPr>
            <w:tcW w:w="1100" w:type="dxa"/>
            <w:shd w:val="clear" w:color="auto" w:fill="F8FAFC"/>
          </w:tcPr>
          <w:p w14:paraId="496064D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94.90%</w:t>
            </w:r>
          </w:p>
        </w:tc>
        <w:tc>
          <w:tcPr>
            <w:tcW w:w="1100" w:type="dxa"/>
            <w:shd w:val="clear" w:color="auto" w:fill="F8FAFC"/>
          </w:tcPr>
          <w:p w14:paraId="6B4B1E8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94.95%</w:t>
            </w:r>
          </w:p>
        </w:tc>
        <w:tc>
          <w:tcPr>
            <w:tcW w:w="1100" w:type="dxa"/>
            <w:shd w:val="clear" w:color="auto" w:fill="F8FAFC"/>
          </w:tcPr>
          <w:p w14:paraId="0F1C3C6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94.95%</w:t>
            </w:r>
          </w:p>
        </w:tc>
        <w:tc>
          <w:tcPr>
            <w:tcW w:w="1000" w:type="dxa"/>
            <w:shd w:val="clear" w:color="auto" w:fill="F8FAFC"/>
          </w:tcPr>
          <w:p w14:paraId="6371F8C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94.70%</w:t>
            </w:r>
          </w:p>
        </w:tc>
      </w:tr>
      <w:tr w14:paraId="40734794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800" w:type="dxa"/>
          </w:tcPr>
          <w:p w14:paraId="4DEE4383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PCA-50</w:t>
            </w:r>
          </w:p>
        </w:tc>
        <w:tc>
          <w:tcPr>
            <w:tcW w:w="1100" w:type="dxa"/>
          </w:tcPr>
          <w:p w14:paraId="7058E13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50</w:t>
            </w:r>
          </w:p>
        </w:tc>
        <w:tc>
          <w:tcPr>
            <w:tcW w:w="1100" w:type="dxa"/>
          </w:tcPr>
          <w:p w14:paraId="11AD329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95.70%</w:t>
            </w:r>
          </w:p>
        </w:tc>
        <w:tc>
          <w:tcPr>
            <w:tcW w:w="1100" w:type="dxa"/>
          </w:tcPr>
          <w:p w14:paraId="08D9A13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95.55%</w:t>
            </w:r>
          </w:p>
        </w:tc>
        <w:tc>
          <w:tcPr>
            <w:tcW w:w="1100" w:type="dxa"/>
          </w:tcPr>
          <w:p w14:paraId="08275B6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95.50%</w:t>
            </w:r>
          </w:p>
        </w:tc>
        <w:tc>
          <w:tcPr>
            <w:tcW w:w="1100" w:type="dxa"/>
          </w:tcPr>
          <w:p w14:paraId="56CA999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95.30%</w:t>
            </w:r>
          </w:p>
        </w:tc>
        <w:tc>
          <w:tcPr>
            <w:tcW w:w="1000" w:type="dxa"/>
          </w:tcPr>
          <w:p w14:paraId="7C8D7A7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95.20%</w:t>
            </w:r>
          </w:p>
        </w:tc>
      </w:tr>
      <w:tr w14:paraId="16C7461E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800" w:type="dxa"/>
            <w:shd w:val="clear" w:color="auto" w:fill="F8FAFC"/>
          </w:tcPr>
          <w:p w14:paraId="3DB1583B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PCA-100</w:t>
            </w:r>
          </w:p>
        </w:tc>
        <w:tc>
          <w:tcPr>
            <w:tcW w:w="1100" w:type="dxa"/>
            <w:shd w:val="clear" w:color="auto" w:fill="F8FAFC"/>
          </w:tcPr>
          <w:p w14:paraId="7085EE6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100</w:t>
            </w:r>
          </w:p>
        </w:tc>
        <w:tc>
          <w:tcPr>
            <w:tcW w:w="1100" w:type="dxa"/>
            <w:shd w:val="clear" w:color="auto" w:fill="F8FAFC"/>
          </w:tcPr>
          <w:p w14:paraId="09EF9BA7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95.30%</w:t>
            </w:r>
          </w:p>
        </w:tc>
        <w:tc>
          <w:tcPr>
            <w:tcW w:w="1100" w:type="dxa"/>
            <w:shd w:val="clear" w:color="auto" w:fill="F8FAFC"/>
          </w:tcPr>
          <w:p w14:paraId="05FAC067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95.25%</w:t>
            </w:r>
          </w:p>
        </w:tc>
        <w:tc>
          <w:tcPr>
            <w:tcW w:w="1100" w:type="dxa"/>
            <w:shd w:val="clear" w:color="auto" w:fill="F8FAFC"/>
          </w:tcPr>
          <w:p w14:paraId="31C67F92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95.25%</w:t>
            </w:r>
          </w:p>
        </w:tc>
        <w:tc>
          <w:tcPr>
            <w:tcW w:w="1100" w:type="dxa"/>
            <w:shd w:val="clear" w:color="auto" w:fill="F8FAFC"/>
          </w:tcPr>
          <w:p w14:paraId="7EEAD73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95.10%</w:t>
            </w:r>
          </w:p>
        </w:tc>
        <w:tc>
          <w:tcPr>
            <w:tcW w:w="1000" w:type="dxa"/>
            <w:shd w:val="clear" w:color="auto" w:fill="F8FAFC"/>
          </w:tcPr>
          <w:p w14:paraId="15DCD8C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95.05%</w:t>
            </w:r>
          </w:p>
        </w:tc>
      </w:tr>
      <w:tr w14:paraId="6CEB97A4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800" w:type="dxa"/>
          </w:tcPr>
          <w:p w14:paraId="07779504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HOG 特征</w:t>
            </w:r>
          </w:p>
        </w:tc>
        <w:tc>
          <w:tcPr>
            <w:tcW w:w="1100" w:type="dxa"/>
          </w:tcPr>
          <w:p w14:paraId="4877E3CE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324</w:t>
            </w:r>
          </w:p>
        </w:tc>
        <w:tc>
          <w:tcPr>
            <w:tcW w:w="1100" w:type="dxa"/>
          </w:tcPr>
          <w:p w14:paraId="0828EF3C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95.60%</w:t>
            </w:r>
          </w:p>
        </w:tc>
        <w:tc>
          <w:tcPr>
            <w:tcW w:w="1100" w:type="dxa"/>
          </w:tcPr>
          <w:p w14:paraId="36F75D8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95.85%</w:t>
            </w:r>
          </w:p>
        </w:tc>
        <w:tc>
          <w:tcPr>
            <w:tcW w:w="1100" w:type="dxa"/>
          </w:tcPr>
          <w:p w14:paraId="369789C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96.00%</w:t>
            </w:r>
          </w:p>
        </w:tc>
        <w:tc>
          <w:tcPr>
            <w:tcW w:w="1100" w:type="dxa"/>
          </w:tcPr>
          <w:p w14:paraId="7BE6E75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95.85%</w:t>
            </w:r>
          </w:p>
        </w:tc>
        <w:tc>
          <w:tcPr>
            <w:tcW w:w="1000" w:type="dxa"/>
          </w:tcPr>
          <w:p w14:paraId="6D1ACB3F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95.85%</w:t>
            </w:r>
          </w:p>
        </w:tc>
      </w:tr>
    </w:tbl>
    <w:p w14:paraId="5E9119A2">
      <w:pPr>
        <w:spacing w:after="30" w:line="240" w:lineRule="auto"/>
        <w:jc w:val="left"/>
      </w:pPr>
    </w:p>
    <w:p w14:paraId="3D08723C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k 过小易受噪点影响过拟合；k 过大决策平滑欠拟合。在 HOG 特征下，k=5 取得 96.00% 最高验证率，有效平衡了局部判别力与抗噪鲁棒性。</w:t>
      </w:r>
    </w:p>
    <w:p w14:paraId="43E92718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五、图像特征探索：SVD PCA 降维与局部梯度 HOG</w:t>
      </w:r>
    </w:p>
    <w:p w14:paraId="370C36F0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自主实现的中心化 SVD PCA 仅使用训练子集分解。前 20 维保留 63.8% 方差；前 50 维保留 82.5% 方差；前 100 维保留 91.4% 方差。</w:t>
      </w:r>
    </w:p>
    <w:p w14:paraId="7B4D38B9">
      <w:pPr>
        <w:spacing w:after="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3937000" cy="2225675"/>
            <wp:effectExtent l="0" t="0" r="10160" b="14605"/>
            <wp:docPr id="105" name="03_pca_varian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3_pca_vari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58D3">
      <w:pPr>
        <w:spacing w:after="30" w:line="240" w:lineRule="auto"/>
        <w:jc w:val="left"/>
      </w:pPr>
      <w:r>
        <w:rPr>
          <w:rFonts w:ascii="Times New Roman" w:hAnsi="Times New Roman" w:eastAsia="宋体"/>
          <w:sz w:val="17"/>
          <w:szCs w:val="17"/>
        </w:rPr>
        <w:t>图 2：SVD PCA 主成分解释方差累计分布曲线（训练子集拟合）</w:t>
      </w:r>
    </w:p>
    <w:p w14:paraId="4C10D2FB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5.1 特征方案最高验证准确率对比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400"/>
        <w:gridCol w:w="1300"/>
        <w:gridCol w:w="1300"/>
        <w:gridCol w:w="1600"/>
        <w:gridCol w:w="1700"/>
      </w:tblGrid>
      <w:tr w14:paraId="0A798BEC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  <w:shd w:val="clear" w:color="auto" w:fill="1E3A8A"/>
          </w:tcPr>
          <w:p w14:paraId="2541CAE0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特征提取方案</w:t>
            </w:r>
          </w:p>
        </w:tc>
        <w:tc>
          <w:tcPr>
            <w:tcW w:w="1300" w:type="dxa"/>
            <w:shd w:val="clear" w:color="auto" w:fill="1E3A8A"/>
          </w:tcPr>
          <w:p w14:paraId="7F88F03B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特征维度</w:t>
            </w:r>
          </w:p>
        </w:tc>
        <w:tc>
          <w:tcPr>
            <w:tcW w:w="1300" w:type="dxa"/>
            <w:shd w:val="clear" w:color="auto" w:fill="1E3A8A"/>
          </w:tcPr>
          <w:p w14:paraId="4BB57922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最佳 k</w:t>
            </w:r>
          </w:p>
        </w:tc>
        <w:tc>
          <w:tcPr>
            <w:tcW w:w="1600" w:type="dxa"/>
            <w:shd w:val="clear" w:color="auto" w:fill="1E3A8A"/>
          </w:tcPr>
          <w:p w14:paraId="4AD0F62F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最佳加权</w:t>
            </w:r>
          </w:p>
        </w:tc>
        <w:tc>
          <w:tcPr>
            <w:tcW w:w="1700" w:type="dxa"/>
            <w:shd w:val="clear" w:color="auto" w:fill="1E3A8A"/>
          </w:tcPr>
          <w:p w14:paraId="2EF12F2C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最高验证准确率</w:t>
            </w:r>
          </w:p>
        </w:tc>
      </w:tr>
      <w:tr w14:paraId="317B90A4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</w:tcPr>
          <w:p w14:paraId="7550F1DB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Raw 原始灰度像素</w:t>
            </w:r>
          </w:p>
        </w:tc>
        <w:tc>
          <w:tcPr>
            <w:tcW w:w="1300" w:type="dxa"/>
          </w:tcPr>
          <w:p w14:paraId="54DD161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784</w:t>
            </w:r>
          </w:p>
        </w:tc>
        <w:tc>
          <w:tcPr>
            <w:tcW w:w="1300" w:type="dxa"/>
          </w:tcPr>
          <w:p w14:paraId="2D18F4E2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k=5</w:t>
            </w:r>
          </w:p>
        </w:tc>
        <w:tc>
          <w:tcPr>
            <w:tcW w:w="1600" w:type="dxa"/>
          </w:tcPr>
          <w:p w14:paraId="769F0F22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距离加权</w:t>
            </w:r>
          </w:p>
        </w:tc>
        <w:tc>
          <w:tcPr>
            <w:tcW w:w="1700" w:type="dxa"/>
          </w:tcPr>
          <w:p w14:paraId="3866255C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94.85%</w:t>
            </w:r>
          </w:p>
        </w:tc>
      </w:tr>
      <w:tr w14:paraId="1A64A62C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  <w:shd w:val="clear" w:color="auto" w:fill="F8FAFC"/>
          </w:tcPr>
          <w:p w14:paraId="2C25B5BD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SVD PCA 降维 (20维)</w:t>
            </w:r>
          </w:p>
        </w:tc>
        <w:tc>
          <w:tcPr>
            <w:tcW w:w="1300" w:type="dxa"/>
            <w:shd w:val="clear" w:color="auto" w:fill="F8FAFC"/>
          </w:tcPr>
          <w:p w14:paraId="635BBCE4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w="1300" w:type="dxa"/>
            <w:shd w:val="clear" w:color="auto" w:fill="F8FAFC"/>
          </w:tcPr>
          <w:p w14:paraId="34B1162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k=5</w:t>
            </w:r>
          </w:p>
        </w:tc>
        <w:tc>
          <w:tcPr>
            <w:tcW w:w="1600" w:type="dxa"/>
            <w:shd w:val="clear" w:color="auto" w:fill="F8FAFC"/>
          </w:tcPr>
          <w:p w14:paraId="4D6AE1CA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距离加权</w:t>
            </w:r>
          </w:p>
        </w:tc>
        <w:tc>
          <w:tcPr>
            <w:tcW w:w="1700" w:type="dxa"/>
            <w:shd w:val="clear" w:color="auto" w:fill="F8FAFC"/>
          </w:tcPr>
          <w:p w14:paraId="0B8C1A1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94.95%</w:t>
            </w:r>
          </w:p>
        </w:tc>
      </w:tr>
      <w:tr w14:paraId="7EC98D56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</w:tcPr>
          <w:p w14:paraId="7CA33280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SVD PCA 降维 (100维)</w:t>
            </w:r>
          </w:p>
        </w:tc>
        <w:tc>
          <w:tcPr>
            <w:tcW w:w="1300" w:type="dxa"/>
          </w:tcPr>
          <w:p w14:paraId="15C04EEE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100</w:t>
            </w:r>
          </w:p>
        </w:tc>
        <w:tc>
          <w:tcPr>
            <w:tcW w:w="1300" w:type="dxa"/>
          </w:tcPr>
          <w:p w14:paraId="79F1709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k=1</w:t>
            </w:r>
          </w:p>
        </w:tc>
        <w:tc>
          <w:tcPr>
            <w:tcW w:w="1600" w:type="dxa"/>
          </w:tcPr>
          <w:p w14:paraId="506E3B9C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均匀投票</w:t>
            </w:r>
          </w:p>
        </w:tc>
        <w:tc>
          <w:tcPr>
            <w:tcW w:w="1700" w:type="dxa"/>
          </w:tcPr>
          <w:p w14:paraId="57F8B05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95.30%</w:t>
            </w:r>
          </w:p>
        </w:tc>
      </w:tr>
      <w:tr w14:paraId="1F004861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  <w:shd w:val="clear" w:color="auto" w:fill="F8FAFC"/>
          </w:tcPr>
          <w:p w14:paraId="3F9764A8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SVD PCA 降维 (50维)</w:t>
            </w:r>
          </w:p>
        </w:tc>
        <w:tc>
          <w:tcPr>
            <w:tcW w:w="1300" w:type="dxa"/>
            <w:shd w:val="clear" w:color="auto" w:fill="F8FAFC"/>
          </w:tcPr>
          <w:p w14:paraId="11783204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50</w:t>
            </w:r>
          </w:p>
        </w:tc>
        <w:tc>
          <w:tcPr>
            <w:tcW w:w="1300" w:type="dxa"/>
            <w:shd w:val="clear" w:color="auto" w:fill="F8FAFC"/>
          </w:tcPr>
          <w:p w14:paraId="2131DFE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k=1</w:t>
            </w:r>
          </w:p>
        </w:tc>
        <w:tc>
          <w:tcPr>
            <w:tcW w:w="1600" w:type="dxa"/>
            <w:shd w:val="clear" w:color="auto" w:fill="F8FAFC"/>
          </w:tcPr>
          <w:p w14:paraId="5ADE6CA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均匀投票</w:t>
            </w:r>
          </w:p>
        </w:tc>
        <w:tc>
          <w:tcPr>
            <w:tcW w:w="1700" w:type="dxa"/>
            <w:shd w:val="clear" w:color="auto" w:fill="F8FAFC"/>
          </w:tcPr>
          <w:p w14:paraId="5EE3356E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95.70%</w:t>
            </w:r>
          </w:p>
        </w:tc>
      </w:tr>
      <w:tr w14:paraId="01B50503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400" w:type="dxa"/>
          </w:tcPr>
          <w:p w14:paraId="646374C4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HOG 方向梯度直方图</w:t>
            </w:r>
          </w:p>
        </w:tc>
        <w:tc>
          <w:tcPr>
            <w:tcW w:w="1300" w:type="dxa"/>
          </w:tcPr>
          <w:p w14:paraId="270AF957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324</w:t>
            </w:r>
          </w:p>
        </w:tc>
        <w:tc>
          <w:tcPr>
            <w:tcW w:w="1300" w:type="dxa"/>
          </w:tcPr>
          <w:p w14:paraId="66588BB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k=5</w:t>
            </w:r>
          </w:p>
        </w:tc>
        <w:tc>
          <w:tcPr>
            <w:tcW w:w="1600" w:type="dxa"/>
          </w:tcPr>
          <w:p w14:paraId="411814B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均匀投票</w:t>
            </w:r>
          </w:p>
        </w:tc>
        <w:tc>
          <w:tcPr>
            <w:tcW w:w="1700" w:type="dxa"/>
          </w:tcPr>
          <w:p w14:paraId="289FA76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96.00% (最高)</w:t>
            </w:r>
          </w:p>
        </w:tc>
      </w:tr>
    </w:tbl>
    <w:p w14:paraId="1B227E08">
      <w:pPr>
        <w:spacing w:after="30" w:line="240" w:lineRule="auto"/>
        <w:jc w:val="left"/>
      </w:pPr>
    </w:p>
    <w:p w14:paraId="057A13E9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PCA-50 仅用 50 维即反超 784 维原始像素；HOG 凭借 9 方向局部梯度对笔画形变的强几何不变性取得最优表现。因此最终配置锁定为 HOG、324 维、L2、k=5、均匀投票。</w:t>
      </w:r>
    </w:p>
    <w:p w14:paraId="770AA398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六、完整测试集评估（10,000 张）与逐类性能诊断</w:t>
      </w:r>
    </w:p>
    <w:p w14:paraId="37D8666F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锁定最优配置后，使用全量 60,000 张训练样本重新拟合，对独立 10,000 张测试集进行单次最终无偏评测。</w:t>
      </w:r>
    </w:p>
    <w:p w14:paraId="6ABDF816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6.1 最终测试综合指标汇总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2400"/>
        <w:gridCol w:w="3900"/>
      </w:tblGrid>
      <w:tr w14:paraId="048DEDAB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  <w:shd w:val="clear" w:color="auto" w:fill="1E3A8A"/>
          </w:tcPr>
          <w:p w14:paraId="75CE4D0A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评价指标</w:t>
            </w:r>
          </w:p>
        </w:tc>
        <w:tc>
          <w:tcPr>
            <w:tcW w:w="2400" w:type="dxa"/>
            <w:shd w:val="clear" w:color="auto" w:fill="1E3A8A"/>
          </w:tcPr>
          <w:p w14:paraId="5CF02F1B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测试集结果</w:t>
            </w:r>
          </w:p>
        </w:tc>
        <w:tc>
          <w:tcPr>
            <w:tcW w:w="3900" w:type="dxa"/>
            <w:shd w:val="clear" w:color="auto" w:fill="1E3A8A"/>
          </w:tcPr>
          <w:p w14:paraId="26540D6B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指标定义与表现解读</w:t>
            </w:r>
          </w:p>
        </w:tc>
      </w:tr>
      <w:tr w14:paraId="015D76FE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</w:tcPr>
          <w:p w14:paraId="7B3CDDE3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Top-1 准确率</w:t>
            </w:r>
          </w:p>
        </w:tc>
        <w:tc>
          <w:tcPr>
            <w:tcW w:w="2400" w:type="dxa"/>
          </w:tcPr>
          <w:p w14:paraId="4E55A382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96.83% (9683 / 10000)</w:t>
            </w:r>
          </w:p>
        </w:tc>
        <w:tc>
          <w:tcPr>
            <w:tcW w:w="3900" w:type="dxa"/>
          </w:tcPr>
          <w:p w14:paraId="31D3388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预测首选类别完全正确的样本比例，泛化能力优异</w:t>
            </w:r>
          </w:p>
        </w:tc>
      </w:tr>
      <w:tr w14:paraId="00FE50A6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  <w:shd w:val="clear" w:color="auto" w:fill="F8FAFC"/>
          </w:tcPr>
          <w:p w14:paraId="444EA8CD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Top-3 覆盖率</w:t>
            </w:r>
          </w:p>
        </w:tc>
        <w:tc>
          <w:tcPr>
            <w:tcW w:w="2400" w:type="dxa"/>
            <w:shd w:val="clear" w:color="auto" w:fill="F8FAFC"/>
          </w:tcPr>
          <w:p w14:paraId="258D76F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99.01% (9901 / 10000)</w:t>
            </w:r>
          </w:p>
        </w:tc>
        <w:tc>
          <w:tcPr>
            <w:tcW w:w="3900" w:type="dxa"/>
            <w:shd w:val="clear" w:color="auto" w:fill="F8FAFC"/>
          </w:tcPr>
          <w:p w14:paraId="7DCF2BC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真实标签位于前 3 个候选类别的覆盖率，软预测能力极强</w:t>
            </w:r>
          </w:p>
        </w:tc>
      </w:tr>
      <w:tr w14:paraId="746C1661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</w:tcPr>
          <w:p w14:paraId="73645D86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Top-5 覆盖率</w:t>
            </w:r>
          </w:p>
        </w:tc>
        <w:tc>
          <w:tcPr>
            <w:tcW w:w="2400" w:type="dxa"/>
          </w:tcPr>
          <w:p w14:paraId="633BCD5E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99.26% (9926 / 10000)</w:t>
            </w:r>
          </w:p>
        </w:tc>
        <w:tc>
          <w:tcPr>
            <w:tcW w:w="3900" w:type="dxa"/>
          </w:tcPr>
          <w:p w14:paraId="793B126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真实标签位于前 5 个候选类别的覆盖率，极少发生离谱误判</w:t>
            </w:r>
          </w:p>
        </w:tc>
      </w:tr>
      <w:tr w14:paraId="789552E7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000" w:type="dxa"/>
            <w:shd w:val="clear" w:color="auto" w:fill="F8FAFC"/>
          </w:tcPr>
          <w:p w14:paraId="66BD0668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宏平均 Macro-F1</w:t>
            </w:r>
          </w:p>
        </w:tc>
        <w:tc>
          <w:tcPr>
            <w:tcW w:w="2400" w:type="dxa"/>
            <w:shd w:val="clear" w:color="auto" w:fill="F8FAFC"/>
          </w:tcPr>
          <w:p w14:paraId="562D346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0.9682</w:t>
            </w:r>
          </w:p>
        </w:tc>
        <w:tc>
          <w:tcPr>
            <w:tcW w:w="3900" w:type="dxa"/>
            <w:shd w:val="clear" w:color="auto" w:fill="F8FAFC"/>
          </w:tcPr>
          <w:p w14:paraId="3EBC9DC4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客观平衡各类别识别精度的综合评价，无明显类别短板</w:t>
            </w:r>
          </w:p>
        </w:tc>
      </w:tr>
    </w:tbl>
    <w:p w14:paraId="7335FD22">
      <w:pPr>
        <w:spacing w:after="30" w:line="240" w:lineRule="auto"/>
        <w:jc w:val="left"/>
      </w:pPr>
    </w:p>
    <w:p w14:paraId="0309534E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6.2 逐类别详细分类报告 (Class-wise Report)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500"/>
        <w:gridCol w:w="1800"/>
        <w:gridCol w:w="1800"/>
        <w:gridCol w:w="1600"/>
        <w:gridCol w:w="1600"/>
      </w:tblGrid>
      <w:tr w14:paraId="10F25499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  <w:shd w:val="clear" w:color="auto" w:fill="1E3A8A"/>
          </w:tcPr>
          <w:p w14:paraId="6DF39859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类别</w:t>
            </w:r>
          </w:p>
        </w:tc>
        <w:tc>
          <w:tcPr>
            <w:tcW w:w="1800" w:type="dxa"/>
            <w:shd w:val="clear" w:color="auto" w:fill="1E3A8A"/>
          </w:tcPr>
          <w:p w14:paraId="11686C8B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Precision</w:t>
            </w:r>
          </w:p>
        </w:tc>
        <w:tc>
          <w:tcPr>
            <w:tcW w:w="1800" w:type="dxa"/>
            <w:shd w:val="clear" w:color="auto" w:fill="1E3A8A"/>
          </w:tcPr>
          <w:p w14:paraId="3D09CF14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Recall</w:t>
            </w:r>
          </w:p>
        </w:tc>
        <w:tc>
          <w:tcPr>
            <w:tcW w:w="1600" w:type="dxa"/>
            <w:shd w:val="clear" w:color="auto" w:fill="1E3A8A"/>
          </w:tcPr>
          <w:p w14:paraId="204F955B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F1-Score</w:t>
            </w:r>
          </w:p>
        </w:tc>
        <w:tc>
          <w:tcPr>
            <w:tcW w:w="1600" w:type="dxa"/>
            <w:shd w:val="clear" w:color="auto" w:fill="1E3A8A"/>
          </w:tcPr>
          <w:p w14:paraId="0FA0F05F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样本数</w:t>
            </w:r>
          </w:p>
        </w:tc>
      </w:tr>
      <w:tr w14:paraId="0CC58EA4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</w:tcPr>
          <w:p w14:paraId="60568A53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0</w:t>
            </w:r>
          </w:p>
        </w:tc>
        <w:tc>
          <w:tcPr>
            <w:tcW w:w="1800" w:type="dxa"/>
          </w:tcPr>
          <w:p w14:paraId="3CFD15F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96.73%</w:t>
            </w:r>
          </w:p>
        </w:tc>
        <w:tc>
          <w:tcPr>
            <w:tcW w:w="1800" w:type="dxa"/>
          </w:tcPr>
          <w:p w14:paraId="0CB767D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99.69%</w:t>
            </w:r>
          </w:p>
        </w:tc>
        <w:tc>
          <w:tcPr>
            <w:tcW w:w="1600" w:type="dxa"/>
          </w:tcPr>
          <w:p w14:paraId="5737B74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0.9819</w:t>
            </w:r>
          </w:p>
        </w:tc>
        <w:tc>
          <w:tcPr>
            <w:tcW w:w="1600" w:type="dxa"/>
          </w:tcPr>
          <w:p w14:paraId="28E2F6C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980</w:t>
            </w:r>
          </w:p>
        </w:tc>
      </w:tr>
      <w:tr w14:paraId="6EB98C1C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  <w:shd w:val="clear" w:color="auto" w:fill="F8FAFC"/>
          </w:tcPr>
          <w:p w14:paraId="21745806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1</w:t>
            </w:r>
          </w:p>
        </w:tc>
        <w:tc>
          <w:tcPr>
            <w:tcW w:w="1800" w:type="dxa"/>
            <w:shd w:val="clear" w:color="auto" w:fill="F8FAFC"/>
          </w:tcPr>
          <w:p w14:paraId="6C6D323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98.85%</w:t>
            </w:r>
          </w:p>
        </w:tc>
        <w:tc>
          <w:tcPr>
            <w:tcW w:w="1800" w:type="dxa"/>
            <w:shd w:val="clear" w:color="auto" w:fill="F8FAFC"/>
          </w:tcPr>
          <w:p w14:paraId="1BBF76A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98.68%</w:t>
            </w:r>
          </w:p>
        </w:tc>
        <w:tc>
          <w:tcPr>
            <w:tcW w:w="1600" w:type="dxa"/>
            <w:shd w:val="clear" w:color="auto" w:fill="F8FAFC"/>
          </w:tcPr>
          <w:p w14:paraId="196736B3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0.9877</w:t>
            </w:r>
          </w:p>
        </w:tc>
        <w:tc>
          <w:tcPr>
            <w:tcW w:w="1600" w:type="dxa"/>
            <w:shd w:val="clear" w:color="auto" w:fill="F8FAFC"/>
          </w:tcPr>
          <w:p w14:paraId="06CE793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1135</w:t>
            </w:r>
          </w:p>
        </w:tc>
      </w:tr>
      <w:tr w14:paraId="7BBB9412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</w:tcPr>
          <w:p w14:paraId="36C84CE1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2</w:t>
            </w:r>
          </w:p>
        </w:tc>
        <w:tc>
          <w:tcPr>
            <w:tcW w:w="1800" w:type="dxa"/>
          </w:tcPr>
          <w:p w14:paraId="32563E9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97.37%</w:t>
            </w:r>
          </w:p>
        </w:tc>
        <w:tc>
          <w:tcPr>
            <w:tcW w:w="1800" w:type="dxa"/>
          </w:tcPr>
          <w:p w14:paraId="65E7378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96.90%</w:t>
            </w:r>
          </w:p>
        </w:tc>
        <w:tc>
          <w:tcPr>
            <w:tcW w:w="1600" w:type="dxa"/>
          </w:tcPr>
          <w:p w14:paraId="0D0E515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0.9713</w:t>
            </w:r>
          </w:p>
        </w:tc>
        <w:tc>
          <w:tcPr>
            <w:tcW w:w="1600" w:type="dxa"/>
          </w:tcPr>
          <w:p w14:paraId="225FD44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1032</w:t>
            </w:r>
          </w:p>
        </w:tc>
      </w:tr>
      <w:tr w14:paraId="68304903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  <w:shd w:val="clear" w:color="auto" w:fill="F8FAFC"/>
          </w:tcPr>
          <w:p w14:paraId="7925B8C0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3</w:t>
            </w:r>
          </w:p>
        </w:tc>
        <w:tc>
          <w:tcPr>
            <w:tcW w:w="1800" w:type="dxa"/>
            <w:shd w:val="clear" w:color="auto" w:fill="F8FAFC"/>
          </w:tcPr>
          <w:p w14:paraId="128DD8E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95.05%</w:t>
            </w:r>
          </w:p>
        </w:tc>
        <w:tc>
          <w:tcPr>
            <w:tcW w:w="1800" w:type="dxa"/>
            <w:shd w:val="clear" w:color="auto" w:fill="F8FAFC"/>
          </w:tcPr>
          <w:p w14:paraId="1658115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96.93%</w:t>
            </w:r>
          </w:p>
        </w:tc>
        <w:tc>
          <w:tcPr>
            <w:tcW w:w="1600" w:type="dxa"/>
            <w:shd w:val="clear" w:color="auto" w:fill="F8FAFC"/>
          </w:tcPr>
          <w:p w14:paraId="4A7E64DC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0.9598</w:t>
            </w:r>
          </w:p>
        </w:tc>
        <w:tc>
          <w:tcPr>
            <w:tcW w:w="1600" w:type="dxa"/>
            <w:shd w:val="clear" w:color="auto" w:fill="F8FAFC"/>
          </w:tcPr>
          <w:p w14:paraId="3714818E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1010</w:t>
            </w:r>
          </w:p>
        </w:tc>
      </w:tr>
      <w:tr w14:paraId="55F3DDE0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</w:tcPr>
          <w:p w14:paraId="5ED8C57A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4</w:t>
            </w:r>
          </w:p>
        </w:tc>
        <w:tc>
          <w:tcPr>
            <w:tcW w:w="1800" w:type="dxa"/>
          </w:tcPr>
          <w:p w14:paraId="17BBD493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99.03%</w:t>
            </w:r>
          </w:p>
        </w:tc>
        <w:tc>
          <w:tcPr>
            <w:tcW w:w="1800" w:type="dxa"/>
          </w:tcPr>
          <w:p w14:paraId="2282962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93.99%</w:t>
            </w:r>
          </w:p>
        </w:tc>
        <w:tc>
          <w:tcPr>
            <w:tcW w:w="1600" w:type="dxa"/>
          </w:tcPr>
          <w:p w14:paraId="756BF25B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0.9645</w:t>
            </w:r>
          </w:p>
        </w:tc>
        <w:tc>
          <w:tcPr>
            <w:tcW w:w="1600" w:type="dxa"/>
          </w:tcPr>
          <w:p w14:paraId="1584059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982</w:t>
            </w:r>
          </w:p>
        </w:tc>
      </w:tr>
      <w:tr w14:paraId="7E936C47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  <w:shd w:val="clear" w:color="auto" w:fill="F8FAFC"/>
          </w:tcPr>
          <w:p w14:paraId="7774F393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5</w:t>
            </w:r>
          </w:p>
        </w:tc>
        <w:tc>
          <w:tcPr>
            <w:tcW w:w="1800" w:type="dxa"/>
            <w:shd w:val="clear" w:color="auto" w:fill="F8FAFC"/>
          </w:tcPr>
          <w:p w14:paraId="08A1632F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98.51%</w:t>
            </w:r>
          </w:p>
        </w:tc>
        <w:tc>
          <w:tcPr>
            <w:tcW w:w="1800" w:type="dxa"/>
            <w:shd w:val="clear" w:color="auto" w:fill="F8FAFC"/>
          </w:tcPr>
          <w:p w14:paraId="2AD3F5C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96.30%</w:t>
            </w:r>
          </w:p>
        </w:tc>
        <w:tc>
          <w:tcPr>
            <w:tcW w:w="1600" w:type="dxa"/>
            <w:shd w:val="clear" w:color="auto" w:fill="F8FAFC"/>
          </w:tcPr>
          <w:p w14:paraId="1344E84F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0.9739</w:t>
            </w:r>
          </w:p>
        </w:tc>
        <w:tc>
          <w:tcPr>
            <w:tcW w:w="1600" w:type="dxa"/>
            <w:shd w:val="clear" w:color="auto" w:fill="F8FAFC"/>
          </w:tcPr>
          <w:p w14:paraId="5AB93AFD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892</w:t>
            </w:r>
          </w:p>
        </w:tc>
      </w:tr>
      <w:tr w14:paraId="7C0889AD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</w:tcPr>
          <w:p w14:paraId="5FC91D4F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6</w:t>
            </w:r>
          </w:p>
        </w:tc>
        <w:tc>
          <w:tcPr>
            <w:tcW w:w="1800" w:type="dxa"/>
          </w:tcPr>
          <w:p w14:paraId="00A3E17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97.02%</w:t>
            </w:r>
          </w:p>
        </w:tc>
        <w:tc>
          <w:tcPr>
            <w:tcW w:w="1800" w:type="dxa"/>
          </w:tcPr>
          <w:p w14:paraId="4AAB5D0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98.54%</w:t>
            </w:r>
          </w:p>
        </w:tc>
        <w:tc>
          <w:tcPr>
            <w:tcW w:w="1600" w:type="dxa"/>
          </w:tcPr>
          <w:p w14:paraId="032D66E3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0.9777</w:t>
            </w:r>
          </w:p>
        </w:tc>
        <w:tc>
          <w:tcPr>
            <w:tcW w:w="1600" w:type="dxa"/>
          </w:tcPr>
          <w:p w14:paraId="4BDAF01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958</w:t>
            </w:r>
          </w:p>
        </w:tc>
      </w:tr>
      <w:tr w14:paraId="7B62B224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  <w:shd w:val="clear" w:color="auto" w:fill="F8FAFC"/>
          </w:tcPr>
          <w:p w14:paraId="6AD9EB61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7</w:t>
            </w:r>
          </w:p>
        </w:tc>
        <w:tc>
          <w:tcPr>
            <w:tcW w:w="1800" w:type="dxa"/>
            <w:shd w:val="clear" w:color="auto" w:fill="F8FAFC"/>
          </w:tcPr>
          <w:p w14:paraId="2CD1595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96.95%</w:t>
            </w:r>
          </w:p>
        </w:tc>
        <w:tc>
          <w:tcPr>
            <w:tcW w:w="1800" w:type="dxa"/>
            <w:shd w:val="clear" w:color="auto" w:fill="F8FAFC"/>
          </w:tcPr>
          <w:p w14:paraId="04E2EF8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95.82%</w:t>
            </w:r>
          </w:p>
        </w:tc>
        <w:tc>
          <w:tcPr>
            <w:tcW w:w="1600" w:type="dxa"/>
            <w:shd w:val="clear" w:color="auto" w:fill="F8FAFC"/>
          </w:tcPr>
          <w:p w14:paraId="131218B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0.9638</w:t>
            </w:r>
          </w:p>
        </w:tc>
        <w:tc>
          <w:tcPr>
            <w:tcW w:w="1600" w:type="dxa"/>
            <w:shd w:val="clear" w:color="auto" w:fill="F8FAFC"/>
          </w:tcPr>
          <w:p w14:paraId="6E32AC55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1028</w:t>
            </w:r>
          </w:p>
        </w:tc>
      </w:tr>
      <w:tr w14:paraId="78D389F6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</w:tcPr>
          <w:p w14:paraId="4410F000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8</w:t>
            </w:r>
          </w:p>
        </w:tc>
        <w:tc>
          <w:tcPr>
            <w:tcW w:w="1800" w:type="dxa"/>
          </w:tcPr>
          <w:p w14:paraId="3C81BD4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96.66%</w:t>
            </w:r>
          </w:p>
        </w:tc>
        <w:tc>
          <w:tcPr>
            <w:tcW w:w="1800" w:type="dxa"/>
          </w:tcPr>
          <w:p w14:paraId="5D877929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94.97%</w:t>
            </w:r>
          </w:p>
        </w:tc>
        <w:tc>
          <w:tcPr>
            <w:tcW w:w="1600" w:type="dxa"/>
          </w:tcPr>
          <w:p w14:paraId="23D66E07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0.9581</w:t>
            </w:r>
          </w:p>
        </w:tc>
        <w:tc>
          <w:tcPr>
            <w:tcW w:w="1600" w:type="dxa"/>
          </w:tcPr>
          <w:p w14:paraId="0F401E1F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974</w:t>
            </w:r>
          </w:p>
        </w:tc>
      </w:tr>
      <w:tr w14:paraId="68DCBD3D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1500" w:type="dxa"/>
            <w:shd w:val="clear" w:color="auto" w:fill="F8FAFC"/>
          </w:tcPr>
          <w:p w14:paraId="3EDA9022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数字 9</w:t>
            </w:r>
          </w:p>
        </w:tc>
        <w:tc>
          <w:tcPr>
            <w:tcW w:w="1800" w:type="dxa"/>
            <w:shd w:val="clear" w:color="auto" w:fill="F8FAFC"/>
          </w:tcPr>
          <w:p w14:paraId="53E58DC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92.48%</w:t>
            </w:r>
          </w:p>
        </w:tc>
        <w:tc>
          <w:tcPr>
            <w:tcW w:w="1800" w:type="dxa"/>
            <w:shd w:val="clear" w:color="auto" w:fill="F8FAFC"/>
          </w:tcPr>
          <w:p w14:paraId="03FE920C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96.23%</w:t>
            </w:r>
          </w:p>
        </w:tc>
        <w:tc>
          <w:tcPr>
            <w:tcW w:w="1600" w:type="dxa"/>
            <w:shd w:val="clear" w:color="auto" w:fill="F8FAFC"/>
          </w:tcPr>
          <w:p w14:paraId="41B73B20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0.9432</w:t>
            </w:r>
          </w:p>
        </w:tc>
        <w:tc>
          <w:tcPr>
            <w:tcW w:w="1600" w:type="dxa"/>
            <w:shd w:val="clear" w:color="auto" w:fill="F8FAFC"/>
          </w:tcPr>
          <w:p w14:paraId="2D8BC58C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1009</w:t>
            </w:r>
          </w:p>
        </w:tc>
      </w:tr>
    </w:tbl>
    <w:p w14:paraId="3C8427EB">
      <w:pPr>
        <w:spacing w:after="30" w:line="240" w:lineRule="auto"/>
        <w:jc w:val="left"/>
      </w:pPr>
    </w:p>
    <w:p w14:paraId="5A225BBC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数字 0 与 1 查全率最高（&gt;98.6%）；数字 9 查准率相对较低（92.48%），易受 4 和 7 的单向混淆侵扰。</w:t>
      </w:r>
    </w:p>
    <w:p w14:paraId="7763059B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七、混淆矩阵深入诊断与误分类案例归因</w:t>
      </w:r>
    </w:p>
    <w:p w14:paraId="0F9B3E8A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为探究模型在测试集上的判别瓶颈，实验计算了全量 10,000 张测试集的 10×10 混淆矩阵，并对 317 个错误样本（3.17% 误判率）提取前 5 个训练集近邻进行可视化溯源分析。</w:t>
      </w:r>
    </w:p>
    <w:p w14:paraId="1EA11657">
      <w:pPr>
        <w:spacing w:after="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2540000" cy="2256155"/>
            <wp:effectExtent l="0" t="0" r="5080" b="14605"/>
            <wp:docPr id="106" name="01_confus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1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2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3570">
      <w:pPr>
        <w:spacing w:after="30" w:line="240" w:lineRule="auto"/>
        <w:jc w:val="left"/>
      </w:pPr>
      <w:r>
        <w:rPr>
          <w:rFonts w:ascii="Times New Roman" w:hAnsi="Times New Roman" w:eastAsia="宋体"/>
          <w:sz w:val="17"/>
          <w:szCs w:val="17"/>
        </w:rPr>
        <w:t>图 3：全量 10,000 张测试样本预测混淆矩阵热力图（对角线集中 9,683 例正确分类）</w:t>
      </w:r>
    </w:p>
    <w:p w14:paraId="5F9E3BCA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7.1 典型误分类样本与训练集近邻对比原图</w:t>
      </w:r>
    </w:p>
    <w:p w14:paraId="10731A2B">
      <w:pPr>
        <w:spacing w:after="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5080000" cy="2359025"/>
            <wp:effectExtent l="0" t="0" r="10160" b="3175"/>
            <wp:docPr id="107" name="04_error_neighbors_compac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04_error_neighbors_compa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3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2343">
      <w:pPr>
        <w:spacing w:after="30" w:line="240" w:lineRule="auto"/>
        <w:jc w:val="left"/>
      </w:pPr>
      <w:r>
        <w:rPr>
          <w:rFonts w:ascii="Times New Roman" w:hAnsi="Times New Roman" w:eastAsia="宋体"/>
          <w:sz w:val="17"/>
          <w:szCs w:val="17"/>
        </w:rPr>
        <w:t>图 4：典型高频混淆测试样本（红框标出）与其前 5 个训练集近邻检索图谱（绿色为真实同类，红色为误导异类）</w:t>
      </w:r>
    </w:p>
    <w:p w14:paraId="740DCEE2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7.2 高频有向混淆形态学成因与算法局限性探讨</w:t>
      </w:r>
    </w:p>
    <w:p w14:paraId="61696FE5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• 典型混淆对 4 → 9（共 45 例，占比最高）：书写 4 时若顶部笔画闭合回折，其局部笔画走向与倾斜书写的 9 产生高度几何与梯度重叠，导致前 5 个近邻中有 4-5 个均被判定为 9。</w:t>
      </w:r>
    </w:p>
    <w:p w14:paraId="3BC6805F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• 典型混淆对 7 → 9（21 例）与 5 → 3（14 例）：手写 7 若带有中横杠或顶部大圆弧折角，会形成类似 9 的封闭环伪特征；而手写 5 的顶部横画若与竖画断开，下方半圆弧线与 3 的圆弧拓扑高度吻合。</w:t>
      </w:r>
    </w:p>
    <w:p w14:paraId="77B20F24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• 算法内在局限性：kNN 属于基于局部流形欧氏距离的非参数记忆型分类器，缺乏卷积神经网络对全局结构与笔画拓扑的抽象建模能力；在样本空间边界重叠或书写歧义区域，极易受到孤立噪声样本的近邻诱导误判。</w:t>
      </w:r>
    </w:p>
    <w:p w14:paraId="377AACF0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八、总结讨论、算法 QA 验证与工程复现</w:t>
      </w:r>
    </w:p>
    <w:p w14:paraId="0D7E6676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本课程设计完整实现了从原始 IDX 数据无损预处理、中心化 SVD PCA 降维、局部梯度 HOG 提取、分批向量化矩阵检索、100 组超参数无偏搜索到独立全量测试的闭环。在全量 10,000 张测试集上达到 96.83% Top-1 识别率，且 GPU 分批检索耗时仅 2.53 秒，充分验证了向量化 kNN 在手写数字识别任务上的有效性与工程效率。</w:t>
      </w:r>
    </w:p>
    <w:p w14:paraId="3775205F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8.1 算法单元测试与科学性验证</w:t>
      </w:r>
    </w:p>
    <w:tbl>
      <w:tblPr>
        <w:tblStyle w:val="4"/>
        <w:tblW w:w="8300" w:type="dxa"/>
        <w:tblInd w:w="0" w:type="dxa"/>
        <w:tblBorders>
          <w:top w:val="single" w:color="1E293B" w:sz="8" w:space="0"/>
          <w:left w:val="none" w:color="auto" w:sz="0" w:space="0"/>
          <w:bottom w:val="single" w:color="1E293B" w:sz="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300"/>
        <w:gridCol w:w="4200"/>
        <w:gridCol w:w="1800"/>
      </w:tblGrid>
      <w:tr w14:paraId="15A7B877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300" w:type="dxa"/>
            <w:shd w:val="clear" w:color="auto" w:fill="1E3A8A"/>
          </w:tcPr>
          <w:p w14:paraId="7392E455">
            <w:pPr>
              <w:spacing w:before="0" w:after="0" w:line="200" w:lineRule="auto"/>
              <w:jc w:val="left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QA 检查条目</w:t>
            </w:r>
          </w:p>
        </w:tc>
        <w:tc>
          <w:tcPr>
            <w:tcW w:w="4200" w:type="dxa"/>
            <w:shd w:val="clear" w:color="auto" w:fill="1E3A8A"/>
          </w:tcPr>
          <w:p w14:paraId="2094C0BB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检验依据与验证方法</w:t>
            </w:r>
          </w:p>
        </w:tc>
        <w:tc>
          <w:tcPr>
            <w:tcW w:w="1800" w:type="dxa"/>
            <w:shd w:val="clear" w:color="auto" w:fill="1E3A8A"/>
          </w:tcPr>
          <w:p w14:paraId="3CCB1C4B">
            <w:pPr>
              <w:spacing w:before="0" w:after="0" w:line="20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验证结论</w:t>
            </w:r>
          </w:p>
        </w:tc>
      </w:tr>
      <w:tr w14:paraId="64E3CA16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300" w:type="dxa"/>
          </w:tcPr>
          <w:p w14:paraId="24D4C46D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11 项算法单元测试</w:t>
            </w:r>
          </w:p>
        </w:tc>
        <w:tc>
          <w:tcPr>
            <w:tcW w:w="4200" w:type="dxa"/>
          </w:tcPr>
          <w:p w14:paraId="09A2EED1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涵盖独立距离公式、平票机制、零距离特权、Top-n 单调性</w:t>
            </w:r>
          </w:p>
        </w:tc>
        <w:tc>
          <w:tcPr>
            <w:tcW w:w="1800" w:type="dxa"/>
          </w:tcPr>
          <w:p w14:paraId="0F2DE277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全部通过 (11/11)</w:t>
            </w:r>
          </w:p>
        </w:tc>
      </w:tr>
      <w:tr w14:paraId="15589748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300" w:type="dxa"/>
            <w:shd w:val="clear" w:color="auto" w:fill="F8FAFC"/>
          </w:tcPr>
          <w:p w14:paraId="43D5291B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10 组 sklearn 交叉验证</w:t>
            </w:r>
          </w:p>
        </w:tc>
        <w:tc>
          <w:tcPr>
            <w:tcW w:w="4200" w:type="dxa"/>
            <w:shd w:val="clear" w:color="auto" w:fill="F8FAFC"/>
          </w:tcPr>
          <w:p w14:paraId="0BC11C0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在真实 MNIST 划分上与官方库输出逐样本完全比对</w:t>
            </w:r>
          </w:p>
        </w:tc>
        <w:tc>
          <w:tcPr>
            <w:tcW w:w="1800" w:type="dxa"/>
            <w:shd w:val="clear" w:color="auto" w:fill="F8FAFC"/>
          </w:tcPr>
          <w:p w14:paraId="33D54CE8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一致率 100.00%</w:t>
            </w:r>
          </w:p>
        </w:tc>
      </w:tr>
      <w:tr w14:paraId="44C7C556">
        <w:tblPrEx>
          <w:tblBorders>
            <w:top w:val="single" w:color="1E293B" w:sz="8" w:space="0"/>
            <w:left w:val="none" w:color="auto" w:sz="0" w:space="0"/>
            <w:bottom w:val="single" w:color="1E293B" w:sz="8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c>
          <w:tcPr>
            <w:tcW w:w="2300" w:type="dxa"/>
          </w:tcPr>
          <w:p w14:paraId="19EEB2C1"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端到端运行效率</w:t>
            </w:r>
          </w:p>
        </w:tc>
        <w:tc>
          <w:tcPr>
            <w:tcW w:w="4200" w:type="dxa"/>
          </w:tcPr>
          <w:p w14:paraId="152B8DF6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GPU 向量化近邻检索 2.53s；多数票统计 0.0021s</w:t>
            </w:r>
          </w:p>
        </w:tc>
        <w:tc>
          <w:tcPr>
            <w:tcW w:w="1800" w:type="dxa"/>
          </w:tcPr>
          <w:p w14:paraId="5332348E"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达到工业级高效吞吐</w:t>
            </w:r>
          </w:p>
        </w:tc>
      </w:tr>
    </w:tbl>
    <w:p w14:paraId="46514D18">
      <w:pPr>
        <w:spacing w:after="30" w:line="240" w:lineRule="auto"/>
        <w:jc w:val="left"/>
      </w:pPr>
    </w:p>
    <w:p w14:paraId="7DE85479">
      <w:pPr>
        <w:spacing w:after="40" w:line="240" w:lineRule="auto"/>
        <w:jc w:val="left"/>
      </w:pPr>
      <w:r>
        <w:rPr>
          <w:rFonts w:ascii="黑体" w:hAnsi="黑体" w:eastAsia="黑体"/>
          <w:b/>
          <w:color w:val="0F172A"/>
          <w:sz w:val="21"/>
          <w:szCs w:val="21"/>
        </w:rPr>
        <w:t>8.2 作业工程复现说明</w:t>
      </w:r>
    </w:p>
    <w:p w14:paraId="4F47CA72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为保证实验严谨与结论可查，全部源代码均包含独立单元测试与哈希指纹校验：</w:t>
      </w:r>
    </w:p>
    <w:p w14:paraId="4A0A21B7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• 环境要求：Python 3.11+ / PyTorch 2.2 / NumPy 1.26 / scikit-learn / scikit-image。</w:t>
      </w:r>
    </w:p>
    <w:p w14:paraId="28EC51B9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• 一键复现：运行 python run.py 执行全流程，运行 python qa.py 执行 11 项算法 QA 单元测试。</w:t>
      </w:r>
    </w:p>
    <w:p w14:paraId="73B62450">
      <w:pPr>
        <w:pageBreakBefore/>
        <w:pBdr>
          <w:bottom w:val="single" w:color="1E3A8A" w:sz="12" w:space="4"/>
        </w:pBdr>
        <w:spacing w:after="100" w:line="240" w:lineRule="auto"/>
        <w:jc w:val="left"/>
      </w:pPr>
      <w:r>
        <w:rPr>
          <w:rFonts w:ascii="黑体" w:hAnsi="黑体" w:eastAsia="黑体"/>
          <w:b/>
          <w:color w:val="0F172A"/>
          <w:sz w:val="28"/>
          <w:szCs w:val="28"/>
        </w:rPr>
        <w:t>九、开源工程仓库与在线交互报告</w:t>
      </w:r>
    </w:p>
    <w:p w14:paraId="4CDA35AF">
      <w:pPr>
        <w:spacing w:after="40" w:line="240" w:lineRule="auto"/>
        <w:ind w:firstLine="380" w:firstLineChars="200"/>
        <w:jc w:val="left"/>
      </w:pPr>
      <w:r>
        <w:rPr>
          <w:rFonts w:ascii="Times New Roman" w:hAnsi="Times New Roman" w:eastAsia="宋体"/>
          <w:sz w:val="19"/>
          <w:szCs w:val="19"/>
        </w:rPr>
        <w:t>为方便老师全方位审阅本次课程设计的完整实现、交互式检视 100 组超参数消融曲线并查验算法源代码，我已将全部源码、原始实验数据包及说明文档开源托管至 GitHub，并搭建了无依赖的 GitHub Pages 在线静态网站：</w:t>
      </w:r>
    </w:p>
    <w:p w14:paraId="2469D8B9">
      <w:pPr>
        <w:spacing w:after="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drawing>
          <wp:inline distT="0" distB="0" distL="0" distR="0">
            <wp:extent cx="5842000" cy="3397250"/>
            <wp:effectExtent l="0" t="0" r="10160" b="1270"/>
            <wp:docPr id="108" name="editorial_report_showca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editorial_report_show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39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9B73">
      <w:pPr>
        <w:spacing w:after="30" w:line="240" w:lineRule="auto"/>
        <w:jc w:val="left"/>
      </w:pPr>
      <w:r>
        <w:rPr>
          <w:rFonts w:ascii="Times New Roman" w:hAnsi="Times New Roman" w:eastAsia="宋体"/>
          <w:sz w:val="17"/>
          <w:szCs w:val="17"/>
        </w:rPr>
        <w:t>图 5：开源前端在线交互报告系统整体架构与核心技术特性</w:t>
      </w:r>
    </w:p>
    <w:tbl>
      <w:tblPr>
        <w:tblStyle w:val="4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0"/>
        <w:gridCol w:w="2200"/>
      </w:tblGrid>
      <w:tr w14:paraId="687B5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00" w:type="dxa"/>
          </w:tcPr>
          <w:p w14:paraId="209C6827">
            <w:r>
              <w:rPr>
                <w:b/>
              </w:rPr>
              <w:t>• 在线静态报告与源码浏览：</w:t>
            </w:r>
          </w:p>
          <w:p w14:paraId="61588BD4">
            <w:r>
              <w:rPr>
                <w:color w:val="1E3A8A"/>
              </w:rPr>
              <w:t>https://lzcxvfs-maker.github.io/mnist-knn-analysis-2026/</w:t>
            </w:r>
          </w:p>
          <w:p w14:paraId="0BC0093E">
            <w:r>
              <w:rPr>
                <w:b/>
              </w:rPr>
              <w:t>• GitHub 完整开源工程仓库：</w:t>
            </w:r>
          </w:p>
          <w:p w14:paraId="67308A9B">
            <w:r>
              <w:rPr>
                <w:color w:val="1E3A8A"/>
              </w:rPr>
              <w:t>https://github.com/lzcxvfs-maker/mnist-knn-analysis-2026</w:t>
            </w:r>
          </w:p>
          <w:p w14:paraId="068EB22D">
            <w:r>
              <w:t>（在线网站支持即时交互审查；老师亦可随时在本地一键运行复现）</w:t>
            </w:r>
          </w:p>
        </w:tc>
        <w:tc>
          <w:tcPr>
            <w:tcW w:w="2200" w:type="dxa"/>
          </w:tcPr>
          <w:p w14:paraId="1CD4BD76">
            <w:pPr>
              <w:jc w:val="center"/>
            </w:pPr>
            <w:r>
              <w:drawing>
                <wp:inline distT="0" distB="0" distL="0" distR="0">
                  <wp:extent cx="1079500" cy="1079500"/>
                  <wp:effectExtent l="0" t="0" r="2540" b="2540"/>
                  <wp:docPr id="109" name="website_q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website_q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1DB1C">
            <w:pPr>
              <w:jc w:val="center"/>
            </w:pPr>
            <w:r>
              <w:rPr>
                <w:sz w:val="13"/>
              </w:rPr>
              <w:t>手机扫码直接浏览</w:t>
            </w:r>
          </w:p>
        </w:tc>
      </w:tr>
    </w:tbl>
    <w:p w14:paraId="42C1C43F"/>
    <w:sectPr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520E4">
    <w:pPr>
      <w:pStyle w:val="2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5AF7A">
    <w:pPr>
      <w:pStyle w:val="2"/>
      <w:rPr>
        <w:rFonts w:hint="eastAsia" w:eastAsiaTheme="minorEastAsia"/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7AAAA">
    <w:pPr>
      <w:pStyle w:val="2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 xml:space="preserve">- </w:t>
    </w: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2</w:t>
    </w:r>
    <w:r>
      <w:rPr>
        <w:rFonts w:hint="eastAsia"/>
        <w:lang w:eastAsia="zh-CN"/>
      </w:rPr>
      <w:fldChar w:fldCharType="end"/>
    </w:r>
    <w:r>
      <w:rPr>
        <w:rFonts w:hint="eastAsia"/>
        <w:lang w:eastAsia="zh-CN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81703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695E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F6086"/>
    <w:rsid w:val="17CF6086"/>
    <w:rsid w:val="451F5C74"/>
    <w:rsid w:val="FCED8CC4"/>
  </w:rsids>
  <m:mathPr>
    <m:mathFont m:val="Times New Roman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2026-09-24T21:31:00Z</dcterms:created>
  <dc:creator>笑嘻嘻</dc:creator>
  <cp:lastModifiedBy>弦言fs</cp:lastModifiedBy>
  <dcterms:modified xsi:type="dcterms:W3CDTF">2026-10-07T03:53:53Z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486CEDCB6E5A5D2FF509B56A30087EC5_41</vt:lpwstr>
  </property>
</Properties>
</file>