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887C" w14:textId="77777777" w:rsidR="009655E6" w:rsidRPr="009655E6" w:rsidRDefault="009655E6" w:rsidP="009655E6">
      <w:pPr>
        <w:ind w:left="360" w:hanging="360"/>
        <w:rPr>
          <w:rFonts w:ascii="Times New Roman" w:eastAsia="Times New Roman" w:hAnsi="Times New Roman" w:cs="Times New Roman"/>
        </w:rPr>
      </w:pPr>
      <w:r w:rsidRPr="009655E6">
        <w:rPr>
          <w:rFonts w:ascii="Times New Roman" w:eastAsia="Times New Roman" w:hAnsi="Times New Roman" w:cs="Times New Roman"/>
        </w:rPr>
        <w:t>Kyllonen, P. C., &amp; Bertling, J. P. (2013). Innovative questionnaire assessment methods to increase cross-country comparability. In L. Rutkowski, M. von Davier</w:t>
      </w:r>
      <w:bookmarkStart w:id="0" w:name="_GoBack"/>
      <w:bookmarkEnd w:id="0"/>
      <w:r w:rsidRPr="009655E6">
        <w:rPr>
          <w:rFonts w:ascii="Times New Roman" w:eastAsia="Times New Roman" w:hAnsi="Times New Roman" w:cs="Times New Roman"/>
        </w:rPr>
        <w:t>, &amp; D. Rutkowski (Eds.), Handbook of international large-scale assessment: Background, technical Issues, and methods of data analysis (pp. 277-285). London, England: Chapman &amp; Hall.</w:t>
      </w:r>
    </w:p>
    <w:p w14:paraId="5479E545" w14:textId="77777777" w:rsidR="004053EC" w:rsidRPr="009655E6" w:rsidRDefault="004053EC">
      <w:pPr>
        <w:rPr>
          <w:b/>
        </w:rPr>
      </w:pPr>
    </w:p>
    <w:sectPr w:rsidR="004053EC" w:rsidRPr="009655E6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E6"/>
    <w:rsid w:val="000D6BE2"/>
    <w:rsid w:val="004053EC"/>
    <w:rsid w:val="009655E6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09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</cp:revision>
  <dcterms:created xsi:type="dcterms:W3CDTF">2016-11-15T19:08:00Z</dcterms:created>
  <dcterms:modified xsi:type="dcterms:W3CDTF">2016-11-15T19:09:00Z</dcterms:modified>
</cp:coreProperties>
</file>