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FTIR与XRD整合逻辑和修订正文</w:t>
      </w:r>
    </w:p>
    <w:p>
      <w:pPr>
        <w:ind w:firstLine="420"/>
      </w:pPr>
      <w:r>
        <w:t>采用围绕分子有序结构组织FTIR和XRD的框架，正文概括两类指标的总体降低趋势。原因解释已补充就地引文，后附对应文献的具体小节、段落、图表及短引句，便于逐项核查。</w:t>
      </w:r>
    </w:p>
    <w:p>
      <w:pPr>
        <w:ind w:firstLine="420"/>
      </w:pPr>
      <w:r>
        <w:t>这一小节适合围绕短程与长程有序结构展开。各峰归属只需服务于这一问题；水分及氢键解释可与前面的水分分布讨论衔接，打印挤出与承载机制留给后续流变和打印节。</w:t>
      </w:r>
    </w:p>
    <w:p>
      <w:pPr>
        <w:pStyle w:val="Heading1"/>
      </w:pPr>
      <w:r>
        <w:t>两种写法的比较</w:t>
      </w:r>
    </w:p>
    <w:tbl>
      <w:tblPr>
        <w:tblW w:type="auto" w:w="0"/>
        <w:jc w:val="center"/>
        <w:tblLayout w:type="fixed"/>
        <w:tblLook w:firstColumn="1" w:firstRow="1" w:lastColumn="0" w:lastRow="0" w:noHBand="0" w:noVBand="1" w:val="04A0"/>
      </w:tblPr>
      <w:tblGrid>
        <w:gridCol w:w="1134"/>
        <w:gridCol w:w="2948"/>
        <w:gridCol w:w="5216"/>
      </w:tblGrid>
      <w:tr>
        <w:trPr>
          <w:cantSplit/>
          <w:tblHeader/>
        </w:trPr>
        <w:tc>
          <w:tcPr>
            <w:tcW w:type="dxa" w:w="1134"/>
            <w:vAlign w:val="center"/>
            <w:shd w:fill="E8EDF1"/>
            <w:tcBorders>
              <w:top w:val="single" w:sz="4" w:color="D9D9D9"/>
              <w:bottom w:val="single" w:sz="4" w:color="D9D9D9"/>
              <w:left w:val="single" w:sz="4" w:color="D9D9D9"/>
              <w:right w:val="single" w:sz="4" w:color="D9D9D9"/>
            </w:tcBorders>
          </w:tcPr>
          <w:p>
            <w:pPr>
              <w:spacing w:before="60" w:after="60" w:line="276" w:lineRule="auto"/>
            </w:pPr>
            <w:r>
              <w:rPr>
                <w:b/>
                <w:sz w:val="18"/>
              </w:rPr>
              <w:t>比较内容</w:t>
            </w:r>
          </w:p>
        </w:tc>
        <w:tc>
          <w:tcPr>
            <w:tcW w:type="dxa" w:w="2948"/>
            <w:vAlign w:val="center"/>
            <w:shd w:fill="E8EDF1"/>
            <w:tcBorders>
              <w:top w:val="single" w:sz="4" w:color="D9D9D9"/>
              <w:bottom w:val="single" w:sz="4" w:color="D9D9D9"/>
              <w:left w:val="single" w:sz="4" w:color="D9D9D9"/>
              <w:right w:val="single" w:sz="4" w:color="D9D9D9"/>
            </w:tcBorders>
          </w:tcPr>
          <w:p>
            <w:pPr>
              <w:spacing w:before="60" w:after="60" w:line="276" w:lineRule="auto"/>
            </w:pPr>
            <w:r>
              <w:rPr>
                <w:b/>
                <w:sz w:val="18"/>
              </w:rPr>
              <w:t>现有写法的特点</w:t>
            </w:r>
          </w:p>
        </w:tc>
        <w:tc>
          <w:tcPr>
            <w:tcW w:type="dxa" w:w="5216"/>
            <w:vAlign w:val="center"/>
            <w:shd w:fill="E8EDF1"/>
            <w:tcBorders>
              <w:top w:val="single" w:sz="4" w:color="D9D9D9"/>
              <w:bottom w:val="single" w:sz="4" w:color="D9D9D9"/>
              <w:left w:val="single" w:sz="4" w:color="D9D9D9"/>
              <w:right w:val="single" w:sz="4" w:color="D9D9D9"/>
            </w:tcBorders>
          </w:tcPr>
          <w:p>
            <w:pPr>
              <w:spacing w:before="60" w:after="60" w:line="276" w:lineRule="auto"/>
            </w:pPr>
            <w:r>
              <w:rPr>
                <w:b/>
                <w:sz w:val="18"/>
              </w:rPr>
              <w:t>建议及理由</w:t>
            </w:r>
          </w:p>
        </w:tc>
      </w:tr>
      <w:tr>
        <w:trPr>
          <w:cantSplit/>
        </w:trPr>
        <w:tc>
          <w:tcPr>
            <w:tcW w:type="dxa" w:w="1134"/>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研究问题</w:t>
            </w:r>
          </w:p>
        </w:tc>
        <w:tc>
          <w:tcPr>
            <w:tcW w:type="dxa" w:w="2948"/>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图片先交代为何同时采用FTIR与XRD，主线更集中。</w:t>
            </w:r>
          </w:p>
        </w:tc>
        <w:tc>
          <w:tcPr>
            <w:tcW w:type="dxa" w:w="5216"/>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保留这一引入，但将目标写成理解最终凝胶的有序结构差异，避免单一终点测量直接揭示整个糊化与回生过程。</w:t>
            </w:r>
          </w:p>
        </w:tc>
      </w:tr>
      <w:tr>
        <w:trPr>
          <w:cantSplit/>
        </w:trPr>
        <w:tc>
          <w:tcPr>
            <w:tcW w:type="dxa" w:w="1134"/>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分析顺序</w:t>
            </w:r>
          </w:p>
        </w:tc>
        <w:tc>
          <w:tcPr>
            <w:tcW w:type="dxa" w:w="2948"/>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图片在FTIR结果后立即解释直链淀粉减少，随后才介绍XRD。</w:t>
            </w:r>
          </w:p>
        </w:tc>
        <w:tc>
          <w:tcPr>
            <w:tcW w:type="dxa" w:w="5216"/>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先并列完整的两类结果，再引入文献，随后解释共同原因，严格沿用用户要求的顺序。</w:t>
            </w:r>
          </w:p>
        </w:tc>
      </w:tr>
      <w:tr>
        <w:trPr>
          <w:cantSplit/>
        </w:trPr>
        <w:tc>
          <w:tcPr>
            <w:tcW w:type="dxa" w:w="1134"/>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指标含义</w:t>
            </w:r>
          </w:p>
        </w:tc>
        <w:tc>
          <w:tcPr>
            <w:tcW w:type="dxa" w:w="2948"/>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图片把R下降直接写成双螺旋含量降低，并强调两技术相互印证。</w:t>
            </w:r>
          </w:p>
        </w:tc>
        <w:tc>
          <w:tcPr>
            <w:tcW w:type="dxa" w:w="5216"/>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R是短程有序的光谱指标，RC是长程晶体有序的指标。二者互补，不能直接等同，也不应由R量化双螺旋绝对含量。</w:t>
            </w:r>
          </w:p>
        </w:tc>
      </w:tr>
      <w:tr>
        <w:trPr>
          <w:cantSplit/>
        </w:trPr>
        <w:tc>
          <w:tcPr>
            <w:tcW w:type="dxa" w:w="1134"/>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结果趋势</w:t>
            </w:r>
          </w:p>
        </w:tc>
        <w:tc>
          <w:tcPr>
            <w:tcW w:type="dxa" w:w="2948"/>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随WCS添加量增加，红外有序比值与相对结晶度总体降低。</w:t>
            </w:r>
          </w:p>
        </w:tc>
        <w:tc>
          <w:tcPr>
            <w:tcW w:type="dxa" w:w="5216"/>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正文概括整体降低趋势，不单独展开中间配方的比值及统计比较。</w:t>
            </w:r>
          </w:p>
        </w:tc>
      </w:tr>
      <w:tr>
        <w:trPr>
          <w:cantSplit/>
        </w:trPr>
        <w:tc>
          <w:tcPr>
            <w:tcW w:type="dxa" w:w="1134"/>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机制限定</w:t>
            </w:r>
          </w:p>
        </w:tc>
        <w:tc>
          <w:tcPr>
            <w:tcW w:type="dxa" w:w="2948"/>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图片将冷却后晶体主要归于直链淀粉短期重结晶。</w:t>
            </w:r>
          </w:p>
        </w:tc>
        <w:tc>
          <w:tcPr>
            <w:tcW w:type="dxa" w:w="5216"/>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直链淀粉再缔合可参与早期网络形成，但支链也可形成有序结构，残余晶区及复合晶体亦可能贡献XRD信号。共同机制宜使用可能解释。</w:t>
            </w:r>
          </w:p>
        </w:tc>
      </w:tr>
      <w:tr>
        <w:trPr>
          <w:cantSplit/>
        </w:trPr>
        <w:tc>
          <w:tcPr>
            <w:tcW w:type="dxa" w:w="1134"/>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前后关联</w:t>
            </w:r>
          </w:p>
        </w:tc>
        <w:tc>
          <w:tcPr>
            <w:tcW w:type="dxa" w:w="2948"/>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图片与SB下降完全自洽的结论过强；上一版又提前展开了挤出及打印讨论。</w:t>
            </w:r>
          </w:p>
        </w:tc>
        <w:tc>
          <w:tcPr>
            <w:tcW w:type="dxa" w:w="5216"/>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段末写与SB及硬度变化方向一致，简短引向G′；将实际挤出和承载平衡留给流变与打印节。</w:t>
            </w:r>
          </w:p>
        </w:tc>
      </w:tr>
    </w:tbl>
    <w:p>
      <w:pPr>
        <w:pStyle w:val="Heading1"/>
      </w:pPr>
      <w:r>
        <w:t>建议的论证顺序</w:t>
      </w:r>
    </w:p>
    <w:p>
      <w:pPr>
        <w:ind w:firstLine="420"/>
      </w:pPr>
      <w:r>
        <w:t>研究问题引入 → FTIR与XRD联合现象 → 对应文献佐证 → 共同原因解释 → 回扣前述SB和质构并连接后续流变。</w:t>
      </w:r>
    </w:p>
    <w:p>
      <w:pPr>
        <w:ind w:firstLine="420"/>
      </w:pPr>
      <w:r>
        <w:t>开头用一句话交代研究问题；随后把两种测量的事实一起说明，再由文献支持共同的结构解释。这样合并不仅减少标题，还能回答为什么需要同时测量两个尺度。</w:t>
      </w:r>
    </w:p>
    <w:p>
      <w:pPr>
        <w:pStyle w:val="Heading1"/>
      </w:pPr>
      <w:r>
        <w:t>可替换的结果与讨论正文</w:t>
      </w:r>
    </w:p>
    <w:p>
      <w:pPr>
        <w:ind w:firstLine="420"/>
      </w:pPr>
      <w:r>
        <w:t>建议小节名称为“短程与长程有序结构”。以下保留9月30日稿的图号，按现象、文献、原因和前后文关联的顺序写成一个分析段。</w:t>
      </w:r>
    </w:p>
    <w:p>
      <w:pPr>
        <w:ind w:firstLine="420"/>
      </w:pPr>
      <w:r>
        <w:t>为从分子层面理解前述冷却黏度回升及凝胶质构差异，采用FTIR与XRD分别考察复合凝胶的短程有序程度和长程晶体有序结构（图3、图4）。各样品的FTIR主要特征吸收带位于相近波数范围，未出现明显新增的特征峰；随WCS添加量增加，R₁₀₄₇/₁₀₂₂总体由CS的0.86降至M-CS16%的0.51，纯WCS最低（0.43）。XRD图谱在2θ约17°和20°附近出现衍射信号，相对结晶度由CS的20.44%降至M-CS16%的6.34%，纯WCS为3.42%。Tian等[1]在米粉体系中观察到，较高直链含量与回生凝胶较高的短程有序程度及结晶度相联系；Koev等[2]在玉米淀粉水凝胶中也发现，直链淀粉含量与长程有序结构及网络刚性存在关联。Hirata等[3]通过同步SANS/FTIR-ATR研究表明，局部有序结构与更大尺度半晶体排列具有不同的变化进程，说明不同尺度的结构信息应互补解读。这可能是由于WCS引入降低了直链淀粉的相对比例，而直链淀粉与回生过程中短程有序结构和晶体结构的形成有关[1]。近线性的直链淀粉较易发生部分排列与链间再缔合，并参与连接区形成[2]，因此其相对比例下降可能减少线性链段对冷却储存阶段有序结构及物理网络重建的贡献[1,2]。上述两类有序指标的总体降低与前述SB及凝胶硬度降低的方向一致，并为后续G′下降提供结构线索[1,2]。</w:t>
      </w:r>
    </w:p>
    <w:p>
      <w:pPr>
        <w:pStyle w:val="Heading1"/>
      </w:pPr>
      <w:r>
        <w:t>原因解释与文献原文位置</w:t>
      </w:r>
    </w:p>
    <w:p>
      <w:pPr>
        <w:ind w:firstLine="420"/>
      </w:pPr>
      <w:r>
        <w:t>以下逐项对应正文中的就地引文。段落序号按论文所在小节的正文段落计，便于在公开全文中定位；机制参照和本研究的推断分别说明。</w:t>
      </w:r>
    </w:p>
    <w:p>
      <w:pPr>
        <w:pStyle w:val="Heading2"/>
      </w:pPr>
      <w:r>
        <w:t>Tian等 2023 直链淀粉与回生有序结构</w:t>
      </w:r>
    </w:p>
    <w:p>
      <w:pPr>
        <w:ind w:firstLine="420"/>
      </w:pPr>
      <w:r>
        <w:t>正文位置：正文原因段第一句末[1]，以及下一句关于有序结构重建贡献的[1,2]。</w:t>
      </w:r>
    </w:p>
    <w:p>
      <w:pPr>
        <w:ind w:firstLine="420"/>
      </w:pPr>
      <w:r>
        <w:t>文献位置：§3.6 Functional Groups and Short-Range Ordered Structures of Retrograded Gels，第2段，Figure 2D–E；§3.5 Crystal Structures of Retrograded Gels，该节唯一正文段，Figure 2B及Table 2。</w:t>
      </w:r>
    </w:p>
    <w:p>
      <w:pPr>
        <w:ind w:firstLine="420"/>
      </w:pPr>
      <w:r>
        <w:t>原文短引：This indicated that amylose can facilitate the formation of short-range ordered structures during the retrograding process.</w:t>
      </w:r>
    </w:p>
    <w:p>
      <w:pPr>
        <w:ind w:firstLine="420"/>
      </w:pPr>
      <w:r>
        <w:t>支持内容：作者根据米粉回生凝胶的FTIR结果认为，直链淀粉可促进短程有序结构形成；XRD结果还显示较高直链含量样品具有较高的结晶度。§3.5涉及直链淀粉促进支链淀粉重结晶，不能把晶区全部解释为直链淀粉自身结晶。</w:t>
      </w:r>
    </w:p>
    <w:p>
      <w:pPr>
        <w:ind w:firstLine="420"/>
      </w:pPr>
      <w:r>
        <w:t>适用范围：研究为米粉品种比较，4℃储藏7 d。本稿把结果用作机制参照，不写成同条件因果验证。</w:t>
      </w:r>
    </w:p>
    <w:p>
      <w:pPr>
        <w:ind w:firstLine="0"/>
      </w:pPr>
      <w:r>
        <w:t>公开全文：https://pmc.ncbi.nlm.nih.gov/articles/PMC10047920/</w:t>
      </w:r>
    </w:p>
    <w:p>
      <w:pPr>
        <w:pStyle w:val="Heading2"/>
      </w:pPr>
      <w:r>
        <w:t>Koev等 2020 链间再缔合与连接区形成</w:t>
      </w:r>
    </w:p>
    <w:p>
      <w:pPr>
        <w:ind w:firstLine="420"/>
      </w:pPr>
      <w:r>
        <w:t>正文位置：正文原因段中部分排列、链间再缔合和连接区形成后[2]；关于重建贡献及G′关联的句末[1,2]。</w:t>
      </w:r>
    </w:p>
    <w:p>
      <w:pPr>
        <w:ind w:firstLine="420"/>
      </w:pPr>
      <w:r>
        <w:t>文献位置：§3.2.2 Mechanical properties，第3段（以The viscoelastic solid nature开头）；§3.3.4 Effect of storage conditions on local mobility，第2段；长程有序结果见§3.3.1 Long-range ordering，第1–2段及补充Figure S8、S9。</w:t>
      </w:r>
    </w:p>
    <w:p>
      <w:pPr>
        <w:ind w:firstLine="420"/>
      </w:pPr>
      <w:r>
        <w:t>原文短引：the predominantly linear amylose chains can partially align and interact with each other with far greater ease</w:t>
      </w:r>
    </w:p>
    <w:p>
      <w:pPr>
        <w:ind w:firstLine="420"/>
      </w:pPr>
      <w:r>
        <w:t>支持内容：作者把直链淀粉的链间排列和相互作用、再缔合与连接区形成联系起来，并将较快再缔合与较紧密网络相联系。这为比例下降可能减少线性链段对物理网络重建的贡献提供机制依据。</w:t>
      </w:r>
    </w:p>
    <w:p>
      <w:pPr>
        <w:ind w:firstLine="420"/>
      </w:pPr>
      <w:r>
        <w:t>适用范围：玉米淀粉121℃处理20 min并储藏8 d。高直链样品更耐水热处理，长程有序差异可能含残余晶体贡献；本稿不把全部差异归于新生回生晶体。</w:t>
      </w:r>
    </w:p>
    <w:p>
      <w:pPr>
        <w:ind w:firstLine="0"/>
      </w:pPr>
      <w:r>
        <w:t>公开全文：https://pmc.ncbi.nlm.nih.gov/articles/PMC7519636/</w:t>
      </w:r>
    </w:p>
    <w:p>
      <w:pPr>
        <w:pStyle w:val="Heading2"/>
      </w:pPr>
      <w:r>
        <w:t>Hirata等 2025 不同尺度有序结构的互补解释</w:t>
      </w:r>
    </w:p>
    <w:p>
      <w:pPr>
        <w:ind w:firstLine="420"/>
      </w:pPr>
      <w:r>
        <w:t>正文位置：正文文献佐证部分Hirata等[3]后的尺度解释；不用于证明本研究WCS降低直链比例的原因。</w:t>
      </w:r>
    </w:p>
    <w:p>
      <w:pPr>
        <w:ind w:firstLine="420"/>
      </w:pPr>
      <w:r>
        <w:t>文献位置：RESULTS AND DISCUSSION下Relationship between structural changes at different spatial scales and dehydration.，第2段，Fig. 6。该文此小节没有数字节号。</w:t>
      </w:r>
    </w:p>
    <w:p>
      <w:pPr>
        <w:ind w:firstLine="420"/>
      </w:pPr>
      <w:r>
        <w:t>原文短引：In other words, there was a transient state during retrogradation where double helixes were formed but with disordered arrangements.</w:t>
      </w:r>
    </w:p>
    <w:p>
      <w:pPr>
        <w:ind w:firstLine="420"/>
      </w:pPr>
      <w:r>
        <w:t>支持内容：作者观察到双螺旋已形成但排列仍无序的过渡状态，支持区分局部有序和较大尺度规则排列。此处保留两个尺度的共同研究问题，不展开本研究中间两组比值的比较。</w:t>
      </w:r>
    </w:p>
    <w:p>
      <w:pPr>
        <w:ind w:firstLine="420"/>
      </w:pPr>
      <w:r>
        <w:t>适用范围：同步实验采用马铃薯淀粉、SANS与R₁₀₄₂/₁₀₁₆。不能写成直接测得本研究XRD与R₁₀₄₇/₁₀₂₂的形成先后。</w:t>
      </w:r>
    </w:p>
    <w:p>
      <w:pPr>
        <w:ind w:firstLine="0"/>
      </w:pPr>
      <w:r>
        <w:t>公开全文：https://pmc.ncbi.nlm.nih.gov/articles/PMC11975221/</w:t>
      </w:r>
    </w:p>
    <w:p>
      <w:pPr>
        <w:pStyle w:val="Heading1"/>
      </w:pPr>
      <w:r>
        <w:t>原图数据核对</w:t>
      </w:r>
    </w:p>
    <w:tbl>
      <w:tblPr>
        <w:tblW w:type="auto" w:w="0"/>
        <w:jc w:val="center"/>
        <w:tblLayout w:type="fixed"/>
        <w:tblLook w:firstColumn="1" w:firstRow="1" w:lastColumn="0" w:lastRow="0" w:noHBand="0" w:noVBand="1" w:val="04A0"/>
      </w:tblPr>
      <w:tblGrid>
        <w:gridCol w:w="2268"/>
        <w:gridCol w:w="3515"/>
        <w:gridCol w:w="3515"/>
      </w:tblGrid>
      <w:tr>
        <w:trPr>
          <w:cantSplit/>
          <w:tblHeader/>
        </w:trPr>
        <w:tc>
          <w:tcPr>
            <w:tcW w:type="dxa" w:w="2268"/>
            <w:vAlign w:val="center"/>
            <w:shd w:fill="E8EDF1"/>
            <w:tcBorders>
              <w:top w:val="single" w:sz="4" w:color="D9D9D9"/>
              <w:bottom w:val="single" w:sz="4" w:color="D9D9D9"/>
              <w:left w:val="single" w:sz="4" w:color="D9D9D9"/>
              <w:right w:val="single" w:sz="4" w:color="D9D9D9"/>
            </w:tcBorders>
          </w:tcPr>
          <w:p>
            <w:pPr>
              <w:spacing w:before="60" w:after="60" w:line="276" w:lineRule="auto"/>
            </w:pPr>
            <w:r>
              <w:rPr>
                <w:b/>
                <w:sz w:val="18"/>
              </w:rPr>
              <w:t>样品</w:t>
            </w:r>
          </w:p>
        </w:tc>
        <w:tc>
          <w:tcPr>
            <w:tcW w:type="dxa" w:w="3515"/>
            <w:vAlign w:val="center"/>
            <w:shd w:fill="E8EDF1"/>
            <w:tcBorders>
              <w:top w:val="single" w:sz="4" w:color="D9D9D9"/>
              <w:bottom w:val="single" w:sz="4" w:color="D9D9D9"/>
              <w:left w:val="single" w:sz="4" w:color="D9D9D9"/>
              <w:right w:val="single" w:sz="4" w:color="D9D9D9"/>
            </w:tcBorders>
          </w:tcPr>
          <w:p>
            <w:pPr>
              <w:spacing w:before="60" w:after="60" w:line="276" w:lineRule="auto"/>
            </w:pPr>
            <w:r>
              <w:rPr>
                <w:b/>
                <w:sz w:val="18"/>
              </w:rPr>
              <w:t>R₁₀₄₇/₁₀₂₂及显著性字母</w:t>
            </w:r>
          </w:p>
        </w:tc>
        <w:tc>
          <w:tcPr>
            <w:tcW w:type="dxa" w:w="3515"/>
            <w:vAlign w:val="center"/>
            <w:shd w:fill="E8EDF1"/>
            <w:tcBorders>
              <w:top w:val="single" w:sz="4" w:color="D9D9D9"/>
              <w:bottom w:val="single" w:sz="4" w:color="D9D9D9"/>
              <w:left w:val="single" w:sz="4" w:color="D9D9D9"/>
              <w:right w:val="single" w:sz="4" w:color="D9D9D9"/>
            </w:tcBorders>
          </w:tcPr>
          <w:p>
            <w:pPr>
              <w:spacing w:before="60" w:after="60" w:line="276" w:lineRule="auto"/>
            </w:pPr>
            <w:r>
              <w:rPr>
                <w:b/>
                <w:sz w:val="18"/>
              </w:rPr>
              <w:t>相对结晶度 RC %</w:t>
            </w:r>
          </w:p>
        </w:tc>
      </w:tr>
      <w:tr>
        <w:trPr>
          <w:cantSplit/>
        </w:trPr>
        <w:tc>
          <w:tcPr>
            <w:tcW w:type="dxa" w:w="2268"/>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CS</w:t>
            </w:r>
          </w:p>
        </w:tc>
        <w:tc>
          <w:tcPr>
            <w:tcW w:type="dxa" w:w="3515"/>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0.86±0.05 a</w:t>
            </w:r>
          </w:p>
        </w:tc>
        <w:tc>
          <w:tcPr>
            <w:tcW w:type="dxa" w:w="3515"/>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20.44</w:t>
            </w:r>
          </w:p>
        </w:tc>
      </w:tr>
      <w:tr>
        <w:trPr>
          <w:cantSplit/>
        </w:trPr>
        <w:tc>
          <w:tcPr>
            <w:tcW w:type="dxa" w:w="2268"/>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M-CS4%</w:t>
            </w:r>
          </w:p>
        </w:tc>
        <w:tc>
          <w:tcPr>
            <w:tcW w:type="dxa" w:w="3515"/>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0.70±0.04 b</w:t>
            </w:r>
          </w:p>
        </w:tc>
        <w:tc>
          <w:tcPr>
            <w:tcW w:type="dxa" w:w="3515"/>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14.28</w:t>
            </w:r>
          </w:p>
        </w:tc>
      </w:tr>
      <w:tr>
        <w:trPr>
          <w:cantSplit/>
        </w:trPr>
        <w:tc>
          <w:tcPr>
            <w:tcW w:type="dxa" w:w="2268"/>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M-CS8%</w:t>
            </w:r>
          </w:p>
        </w:tc>
        <w:tc>
          <w:tcPr>
            <w:tcW w:type="dxa" w:w="3515"/>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0.61±0.02 c</w:t>
            </w:r>
          </w:p>
        </w:tc>
        <w:tc>
          <w:tcPr>
            <w:tcW w:type="dxa" w:w="3515"/>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10.60</w:t>
            </w:r>
          </w:p>
        </w:tc>
      </w:tr>
      <w:tr>
        <w:trPr>
          <w:cantSplit/>
        </w:trPr>
        <w:tc>
          <w:tcPr>
            <w:tcW w:type="dxa" w:w="2268"/>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M-CS12%</w:t>
            </w:r>
          </w:p>
        </w:tc>
        <w:tc>
          <w:tcPr>
            <w:tcW w:type="dxa" w:w="3515"/>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0.61±0.05 c</w:t>
            </w:r>
          </w:p>
        </w:tc>
        <w:tc>
          <w:tcPr>
            <w:tcW w:type="dxa" w:w="3515"/>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7.95</w:t>
            </w:r>
          </w:p>
        </w:tc>
      </w:tr>
      <w:tr>
        <w:trPr>
          <w:cantSplit/>
        </w:trPr>
        <w:tc>
          <w:tcPr>
            <w:tcW w:type="dxa" w:w="2268"/>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M-CS16%</w:t>
            </w:r>
          </w:p>
        </w:tc>
        <w:tc>
          <w:tcPr>
            <w:tcW w:type="dxa" w:w="3515"/>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0.51±0.02 d</w:t>
            </w:r>
          </w:p>
        </w:tc>
        <w:tc>
          <w:tcPr>
            <w:tcW w:type="dxa" w:w="3515"/>
            <w:vAlign w:val="center"/>
            <w:shd w:fill="FFFFFF"/>
            <w:tcBorders>
              <w:top w:val="single" w:sz="4" w:color="D9D9D9"/>
              <w:bottom w:val="single" w:sz="4" w:color="D9D9D9"/>
              <w:left w:val="single" w:sz="4" w:color="D9D9D9"/>
              <w:right w:val="single" w:sz="4" w:color="D9D9D9"/>
            </w:tcBorders>
          </w:tcPr>
          <w:p>
            <w:pPr>
              <w:spacing w:before="60" w:after="60" w:line="276" w:lineRule="auto"/>
            </w:pPr>
            <w:r>
              <w:rPr>
                <w:b w:val="0"/>
                <w:sz w:val="18"/>
              </w:rPr>
              <w:t>6.34</w:t>
            </w:r>
          </w:p>
        </w:tc>
      </w:tr>
      <w:tr>
        <w:trPr>
          <w:cantSplit/>
        </w:trPr>
        <w:tc>
          <w:tcPr>
            <w:tcW w:type="dxa" w:w="2268"/>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WCS</w:t>
            </w:r>
          </w:p>
        </w:tc>
        <w:tc>
          <w:tcPr>
            <w:tcW w:type="dxa" w:w="3515"/>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0.43±0.01 e</w:t>
            </w:r>
          </w:p>
        </w:tc>
        <w:tc>
          <w:tcPr>
            <w:tcW w:type="dxa" w:w="3515"/>
            <w:vAlign w:val="center"/>
            <w:shd w:fill="F6F7F8"/>
            <w:tcBorders>
              <w:top w:val="single" w:sz="4" w:color="D9D9D9"/>
              <w:bottom w:val="single" w:sz="4" w:color="D9D9D9"/>
              <w:left w:val="single" w:sz="4" w:color="D9D9D9"/>
              <w:right w:val="single" w:sz="4" w:color="D9D9D9"/>
            </w:tcBorders>
          </w:tcPr>
          <w:p>
            <w:pPr>
              <w:spacing w:before="60" w:after="60" w:line="276" w:lineRule="auto"/>
            </w:pPr>
            <w:r>
              <w:rPr>
                <w:b w:val="0"/>
                <w:sz w:val="18"/>
              </w:rPr>
              <w:t>3.42</w:t>
            </w:r>
          </w:p>
        </w:tc>
      </w:tr>
    </w:tbl>
    <w:p>
      <w:pPr>
        <w:ind w:firstLine="420"/>
      </w:pPr>
      <w:r>
        <w:t>同列相同显著性字母表示差异不显著。RC图内未提供标准差及显著性字母，因此不能为其补充统计结论。</w:t>
      </w:r>
    </w:p>
    <w:p>
      <w:pPr>
        <w:pStyle w:val="Heading1"/>
      </w:pPr>
      <w:r>
        <w:t>表述核对与文献适用范围</w:t>
      </w:r>
    </w:p>
    <w:p>
      <w:pPr>
        <w:ind w:firstLine="420"/>
      </w:pPr>
      <w:r>
        <w:t>数据根据9月30日原DOCX图3和图4的标注核对，不是重算原始光谱、积分面积或重复测量。FTIR应引用图3，XRD应引用图4；图片示例中的图6、图7应随最终全文编号统一调整。</w:t>
      </w:r>
    </w:p>
    <w:p>
      <w:pPr>
        <w:ind w:firstLine="420"/>
      </w:pPr>
      <w:r>
        <w:t>原图FTIR标注为3394.7、2930.4、1644.7、1159.6 cm⁻¹。原正文的1636 cm⁻¹与图标不一致；若保留峰位介绍，宜按图写约1645 cm⁻¹，最终仍应以原始谱图峰位表为准。</w:t>
      </w:r>
    </w:p>
    <w:p>
      <w:pPr>
        <w:ind w:firstLine="420"/>
      </w:pPr>
      <w:r>
        <w:t>截图的峰位未发生明显移位与旧稿的O—H向高波数移动不一致。现有图只给共同参考波数，不能可靠判断微小位移趋势。修订稿使用主要特征吸收带位于相近波数范围，不用峰位位移证明氢键减弱。</w:t>
      </w:r>
    </w:p>
    <w:p>
      <w:pPr>
        <w:ind w:firstLine="420"/>
      </w:pPr>
      <w:r>
        <w:t>约1645 cm⁻¹的吸收带与水分子的O—H弯曲振动有关，不能仅凭强度认定结合水含量增加。R₁₀₄₇/₁₀₂₂也不能直接写成双螺旋的绝对含量。</w:t>
      </w:r>
    </w:p>
    <w:p>
      <w:pPr>
        <w:ind w:firstLine="420"/>
      </w:pPr>
      <w:r>
        <w:t>原图R值附有标准差和显著性字母；RC未显示重复误差或显著性标记，因此正文报告总体数值变化，不自行补充RC显著性结论。</w:t>
      </w:r>
    </w:p>
    <w:p>
      <w:pPr>
        <w:ind w:firstLine="420"/>
      </w:pPr>
      <w:r>
        <w:t>Tian研究为米粉4℃储藏7 d，Koev研究采用121℃糊化及8 d储藏，Hirata的主要同步实验为马铃薯且使用SANS。三篇文献为本研究提供机制参照，不能代替本研究对链间再缔合、晶区形成过程或不同组分晶区贡献的直接测量。</w:t>
      </w:r>
    </w:p>
    <w:p>
      <w:pPr>
        <w:ind w:firstLine="420"/>
      </w:pPr>
      <w:r>
        <w:t>本稿将讨论重点放在两尺度的有序结构；氢键和水分状态的展开可与前面的LF-NMR讨论衔接，避免在这一小节重复并分散主线。[1]—[3]为本小节参考文献编号，并入全文时应统一。</w:t>
      </w:r>
    </w:p>
    <w:p>
      <w:pPr>
        <w:ind w:firstLine="420"/>
      </w:pPr>
      <w:r>
        <w:t>已删除原原因句中的链间接近和排列条件改变，因为这一笼统解释缺少可直接对应的文献支持；也不由特征峰未新增直接断定所有相互作用类型。正文各原因解释均在对应分句或句末标注引文。</w:t>
      </w:r>
    </w:p>
    <w:p>
      <w:pPr>
        <w:pStyle w:val="Heading1"/>
      </w:pPr>
      <w:r>
        <w:t>参考文献</w:t>
      </w:r>
    </w:p>
    <w:p>
      <w:pPr>
        <w:ind w:firstLine="0"/>
      </w:pPr>
      <w:r>
        <w:t>[1] Tian J, Qin L, Zeng X, Ge P, Fan J, Zhu Y. The Role of Amylose in Gel Forming of Rice Flour. Foods. 2023;12(6):1210. DOI: https://doi.org/10.3390/foods12061210</w:t>
      </w:r>
    </w:p>
    <w:p>
      <w:pPr>
        <w:ind w:firstLine="0"/>
      </w:pPr>
      <w:r>
        <w:t>[2] Koev TT, Muñoz-García JC, Iuga D, Khimyak YZ, Warren FJ. Structural heterogeneities in starch hydrogels. Carbohydrate Polymers. 2020;249:116834. DOI: https://doi.org/10.1016/j.carbpol.2020.116834</w:t>
      </w:r>
    </w:p>
    <w:p>
      <w:pPr>
        <w:ind w:firstLine="0"/>
      </w:pPr>
      <w:r>
        <w:t>[3] Hirata Y, Kaneko F, Radulescu A, Nishizu T, Katsuno N, Imaizumi T, Motokawa R, Kumada T, Nakagawa H. Kinetics of Structural Changes in Starch Retrogradation Observed by Simultaneous SANS/FTIR-ATR Measurements. Journal of Applied Glycoscience. 2025;72(1):7201102. DOI: https://doi.org/10.5458/jag.7201102</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Noto Serif CJK SC" w:hAnsi="Noto Serif CJK SC" w:eastAsia="Noto Serif CJK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Noto Serif CJK SC" w:hAnsi="Noto Serif CJK SC"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Noto Serif CJK SC" w:hAnsi="Noto Serif CJK SC" w:eastAsia="Noto Serif CJK S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contextualSpacing/>
    </w:pPr>
    <w:rPr>
      <w:rFonts w:asciiTheme="majorHAnsi" w:eastAsiaTheme="majorEastAsia" w:hAnsiTheme="majorHAnsi" w:cstheme="majorBidi" w:ascii="Noto Serif CJK SC" w:hAnsi="Noto Serif CJK SC" w:eastAsia="Noto Serif CJK SC"/>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