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蜡质玉米淀粉凝胶结果与讨论整合方案</w:t>
      </w:r>
    </w:p>
    <w:p>
      <w:pPr>
        <w:ind w:firstLine="420"/>
      </w:pPr>
      <w:r>
        <w:t>建议以天然淀粉共混引起的结构变化为基础，围绕可挤出性、沉积支撑与剪切后恢复之间的平衡建立论证，再用单次和循环打印检验，并将工艺优化及pH显色作为应用拓展。M-CS12%的优势在于综合平衡，不能简化为模量最低、剪切稀化最强或恢复率最高。</w:t>
      </w:r>
    </w:p>
    <w:p>
      <w:pPr>
        <w:pStyle w:val="Heading1"/>
      </w:pPr>
      <w:r>
        <w:t>论文主题与章节安排</w:t>
      </w:r>
    </w:p>
    <w:p>
      <w:pPr>
        <w:ind w:firstLine="420"/>
      </w:pPr>
      <w:r>
        <w:t>可考虑的论文题目为“蜡质玉米淀粉对普通玉米淀粉凝胶结构及可循环3D打印性能的调控”。该题目保留材料、结构和打印三项研究对象，并突出新增的循环加工结果；参数优化及4D显色可在摘要和结论中作为应用拓展说明。</w:t>
      </w:r>
    </w:p>
    <w:p>
      <w:pPr>
        <w:ind w:firstLine="420"/>
      </w:pPr>
      <w:r>
        <w:t>文章主线可写为：淀粉共混改变分子有序结构及水分与网络状态，调节材料在喷嘴内的流动和沉积后的承载与恢复，最终影响首次打印及回收再打印的几何精度。箭头代表拟讨论的构效联系，并非每一步均已通过独立因果实验验证。</w:t>
      </w:r>
    </w:p>
    <w:tbl>
      <w:tblPr>
        <w:tblW w:type="auto" w:w="0"/>
        <w:jc w:val="center"/>
        <w:tblLayout w:type="fixed"/>
        <w:tblLook w:firstColumn="1" w:firstRow="1" w:lastColumn="0" w:lastRow="0" w:noHBand="0" w:noVBand="1" w:val="04A0"/>
      </w:tblPr>
      <w:tblGrid>
        <w:gridCol w:w="680"/>
        <w:gridCol w:w="2948"/>
        <w:gridCol w:w="5669"/>
      </w:tblGrid>
      <w:tr>
        <w:trPr>
          <w:cantSplit/>
          <w:tblHeader/>
        </w:trPr>
        <w:tc>
          <w:tcPr>
            <w:tcW w:type="dxa" w:w="68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E8EDF1"/>
          </w:tcPr>
          <w:p>
            <w:pPr>
              <w:spacing w:after="60" w:before="60" w:line="276" w:lineRule="auto"/>
            </w:pPr>
            <w:r>
              <w:rPr>
                <w:b/>
                <w:sz w:val="18"/>
              </w:rPr>
              <w:t>章节</w:t>
            </w:r>
          </w:p>
        </w:tc>
        <w:tc>
          <w:tcPr>
            <w:tcW w:type="dxa" w:w="2948"/>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E8EDF1"/>
          </w:tcPr>
          <w:p>
            <w:pPr>
              <w:spacing w:after="60" w:before="60" w:line="276" w:lineRule="auto"/>
            </w:pPr>
            <w:r>
              <w:rPr>
                <w:b/>
                <w:sz w:val="18"/>
              </w:rPr>
              <w:t>建议小节名称</w:t>
            </w:r>
          </w:p>
        </w:tc>
        <w:tc>
          <w:tcPr>
            <w:tcW w:type="dxa" w:w="5669"/>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E8EDF1"/>
          </w:tcPr>
          <w:p>
            <w:pPr>
              <w:spacing w:after="60" w:before="60" w:line="276" w:lineRule="auto"/>
            </w:pPr>
            <w:r>
              <w:rPr>
                <w:b/>
                <w:sz w:val="18"/>
              </w:rPr>
              <w:t>在论证中的作用</w:t>
            </w:r>
          </w:p>
        </w:tc>
      </w:tr>
      <w:tr>
        <w:trPr>
          <w:cantSplit/>
        </w:trPr>
        <w:tc>
          <w:tcPr>
            <w:tcW w:type="dxa" w:w="68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3.1</w:t>
            </w:r>
          </w:p>
        </w:tc>
        <w:tc>
          <w:tcPr>
            <w:tcW w:type="dxa" w:w="2948"/>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糊化特性</w:t>
            </w:r>
          </w:p>
        </w:tc>
        <w:tc>
          <w:tcPr>
            <w:tcW w:type="dxa" w:w="5669"/>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交代热加工阶段的膨胀、崩解和冷却黏度回升。</w:t>
            </w:r>
          </w:p>
        </w:tc>
      </w:tr>
      <w:tr>
        <w:trPr>
          <w:cantSplit/>
        </w:trPr>
        <w:tc>
          <w:tcPr>
            <w:tcW w:type="dxa" w:w="68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3.2</w:t>
            </w:r>
          </w:p>
        </w:tc>
        <w:tc>
          <w:tcPr>
            <w:tcW w:type="dxa" w:w="2948"/>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质构特性</w:t>
            </w:r>
          </w:p>
        </w:tc>
        <w:tc>
          <w:tcPr>
            <w:tcW w:type="dxa" w:w="5669"/>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建立硬度、内聚性及形变行为的宏观差异。</w:t>
            </w:r>
          </w:p>
        </w:tc>
      </w:tr>
      <w:tr>
        <w:trPr>
          <w:cantSplit/>
        </w:trPr>
        <w:tc>
          <w:tcPr>
            <w:tcW w:type="dxa" w:w="68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3.3</w:t>
            </w:r>
          </w:p>
        </w:tc>
        <w:tc>
          <w:tcPr>
            <w:tcW w:type="dxa" w:w="2948"/>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水分分布与微观形貌</w:t>
            </w:r>
          </w:p>
        </w:tc>
        <w:tc>
          <w:tcPr>
            <w:tcW w:type="dxa" w:w="5669"/>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用水分受限状态和网络形貌解释前述宏观差异。</w:t>
            </w:r>
          </w:p>
        </w:tc>
      </w:tr>
      <w:tr>
        <w:trPr>
          <w:cantSplit/>
        </w:trPr>
        <w:tc>
          <w:tcPr>
            <w:tcW w:type="dxa" w:w="68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3.4</w:t>
            </w:r>
          </w:p>
        </w:tc>
        <w:tc>
          <w:tcPr>
            <w:tcW w:type="dxa" w:w="2948"/>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分子相互作用与结构有序性</w:t>
            </w:r>
          </w:p>
        </w:tc>
        <w:tc>
          <w:tcPr>
            <w:tcW w:type="dxa" w:w="5669"/>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合并FTIR和XRD，区分局部有序排列与长程晶体堆砌。</w:t>
            </w:r>
          </w:p>
        </w:tc>
      </w:tr>
      <w:tr>
        <w:trPr>
          <w:cantSplit/>
        </w:trPr>
        <w:tc>
          <w:tcPr>
            <w:tcW w:type="dxa" w:w="68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3.5</w:t>
            </w:r>
          </w:p>
        </w:tc>
        <w:tc>
          <w:tcPr>
            <w:tcW w:type="dxa" w:w="2948"/>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流变响应与打印适性</w:t>
            </w:r>
          </w:p>
        </w:tc>
        <w:tc>
          <w:tcPr>
            <w:tcW w:type="dxa" w:w="5669"/>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合并应力扫描、稳态剪切和交替应变，连接喷嘴内流动与沉积后支撑。</w:t>
            </w:r>
          </w:p>
        </w:tc>
      </w:tr>
      <w:tr>
        <w:trPr>
          <w:cantSplit/>
        </w:trPr>
        <w:tc>
          <w:tcPr>
            <w:tcW w:type="dxa" w:w="68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3.6</w:t>
            </w:r>
          </w:p>
        </w:tc>
        <w:tc>
          <w:tcPr>
            <w:tcW w:type="dxa" w:w="2948"/>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3D打印与循环再打印性能</w:t>
            </w:r>
          </w:p>
        </w:tc>
        <w:tc>
          <w:tcPr>
            <w:tcW w:type="dxa" w:w="5669"/>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以单次成型和三次循环数据检验流变解释及综合配方选择。</w:t>
            </w:r>
          </w:p>
        </w:tc>
      </w:tr>
      <w:tr>
        <w:trPr>
          <w:cantSplit/>
        </w:trPr>
        <w:tc>
          <w:tcPr>
            <w:tcW w:type="dxa" w:w="68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3.7</w:t>
            </w:r>
          </w:p>
        </w:tc>
        <w:tc>
          <w:tcPr>
            <w:tcW w:type="dxa" w:w="2948"/>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打印参数优化</w:t>
            </w:r>
          </w:p>
        </w:tc>
        <w:tc>
          <w:tcPr>
            <w:tcW w:type="dxa" w:w="5669"/>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作为应用验证，将材料适性与具体供料、运动和填充条件匹配。</w:t>
            </w:r>
          </w:p>
        </w:tc>
      </w:tr>
      <w:tr>
        <w:trPr>
          <w:cantSplit/>
        </w:trPr>
        <w:tc>
          <w:tcPr>
            <w:tcW w:type="dxa" w:w="680"/>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3.8</w:t>
            </w:r>
          </w:p>
        </w:tc>
        <w:tc>
          <w:tcPr>
            <w:tcW w:type="dxa" w:w="2948"/>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pH响应4D打印应用</w:t>
            </w:r>
          </w:p>
        </w:tc>
        <w:tc>
          <w:tcPr>
            <w:tcW w:type="dxa" w:w="5669"/>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单独讨论显色功能，保持与主线的清晰关系。</w:t>
            </w:r>
          </w:p>
        </w:tc>
      </w:tr>
    </w:tbl>
    <w:p>
      <w:pPr>
        <w:pStyle w:val="Heading1"/>
      </w:pPr>
      <w:r>
        <w:t>这样安排的理由</w:t>
      </w:r>
    </w:p>
    <w:p>
      <w:pPr>
        <w:ind w:firstLine="420"/>
      </w:pPr>
      <w:r>
        <w:t>现象段只呈现本研究的数据和组间比较；文献段说明别人发现了什么；原因段使用“可能”“与……相符”解释；段末再连接前后小节。上述顺序贯穿每一段，避免用文献替代本研究现象，或在给出证据前先下机制结论。</w:t>
      </w:r>
    </w:p>
    <w:p>
      <w:pPr>
        <w:ind w:firstLine="420"/>
      </w:pPr>
      <w:r>
        <w:t>FTIR与XRD合并能从局部链段排列和长程晶体堆砌两个尺度讨论结构。两种指标互补，不能将R₁₀₄₇/₁₀₂₂数值与相对结晶度直接等同，更不能仅凭17°单峰确认完整B型晶型。</w:t>
      </w:r>
    </w:p>
    <w:p>
      <w:pPr>
        <w:ind w:firstLine="420"/>
      </w:pPr>
      <w:r>
        <w:t>流变节合并后，三种测试各有任务：应力扫描回答何时较易流动及剩余弹性，稳态剪切回答喷嘴内流动，交替应变回答受扰动后能恢复到什么程度。正文不再按测试名称拆成孤立小节。</w:t>
      </w:r>
    </w:p>
    <w:p>
      <w:pPr>
        <w:ind w:firstLine="420"/>
      </w:pPr>
      <w:r>
        <w:t>单次与循环打印放在同一小节，既检验配方第一次加工时能否成型，也检验重复扰动后能否维持成型。循环精度本身是直接证据；剪切后恢复提供合理解释，但两项实验不能视作同一过程。</w:t>
      </w:r>
    </w:p>
    <w:p>
      <w:pPr>
        <w:ind w:firstLine="420"/>
      </w:pPr>
      <w:r>
        <w:t>保留已完成的前三节次序，使结构节回过头解释硬度及网络形貌，再通过流变节将结构变化传递到打印结果。应用节放在最后，可突出天然淀粉共混与可循环加工的主线，避免参数或显色机制分散论证。</w:t>
      </w:r>
    </w:p>
    <w:p>
      <w:pPr>
        <w:pStyle w:val="Heading1"/>
      </w:pPr>
      <w:r>
        <w:t>可替换的结果与讨论正文</w:t>
      </w:r>
    </w:p>
    <w:p>
      <w:pPr>
        <w:ind w:firstLine="420"/>
      </w:pPr>
      <w:r>
        <w:t>以下图号、表号及实验数值沿用9月30日稿；保留10月4日稿前三节的整合方向。正文参考文献[1]—[9]为本稿独立编号，并入完整论文时应统一更新。现象、文献、原因、前后文关联按这一顺序在每个分析段中展开。</w:t>
      </w:r>
    </w:p>
    <w:p>
      <w:pPr>
        <w:pStyle w:val="Heading2"/>
      </w:pPr>
      <w:r>
        <w:t>分子相互作用与结构有序性</w:t>
      </w:r>
    </w:p>
    <w:p>
      <w:pPr>
        <w:ind w:firstLine="420"/>
      </w:pPr>
      <w:r>
        <w:t>如图3和图4所示，各样品的FTIR特征吸收带整体保持一致，未观察到明显新增的特征峰；随WCS添加量增加，O—H伸缩振动吸收带向较高波数方向移动，约1636 cm⁻¹处的水相关吸收带增强，同时R₁₀₄₇/₁₀₂₂逐渐降低，其中CS的比值为0.86，M-CS16%较CS降低0.35。XRD结果显示，各样品在2θ约17°和20°附近出现衍射信号，峰位较为接近，而峰强总体随WCS添加量增加而减弱，相对结晶度由CS的20.44%降至M-CS16%的6.34%，表明在相同处理条件下，复合凝胶局部有序排列与长程晶体有序程度均有所降低。Tian等[1]在米粉体系中观察到，较高直链含量与回生凝胶较高的短程有序程度，以及冷却凝胶较高的G′相联系；Koev等[2]在玉米淀粉水凝胶中也观察到直链淀粉含量、有序结构和网络刚性之间的关联。Hirata等[3]通过同步SANS/FTIR-ATR研究进一步指出，淀粉局部有序结构的变化与更大尺度半晶体排列具有不同的时间进程，说明不同尺度的有序性应结合讨论，而不能视为同一指标。这可能是WCS的引入降低了体系中可在冷却阶段参与重新缔合的直链淀粉比例，同时高度分支的支链结构改变了分子链的接近及排列方式，使局部有序链段形成及其进一步堆砌受到限制，从而表现为红外有序性比值和相对结晶度共同降低。特征吸收带的保留与以物理相互作用为主的复配过程相符；O—H及水相关吸收带的变化提示氢键环境和水分状态发生调整；其中O—H吸收带包含淀粉与水的重叠贡献，水相关吸收强度还受含水量及局部水分分布影响，因此不能仅凭这些变化量化链间氢键强弱或结合水含量。上述结构变化与前述SB及凝胶硬度下降相呼应，为后续G′和流动应力降低提供了分子层面的解释，也说明适度减弱网络有序化可能有利于挤出，而最终成型仍取决于凝胶能否保留足够的承载能力。</w:t>
      </w:r>
    </w:p>
    <w:p>
      <w:pPr>
        <w:pStyle w:val="Heading2"/>
      </w:pPr>
      <w:r>
        <w:t>流变响应与打印适性</w:t>
      </w:r>
    </w:p>
    <w:p>
      <w:pPr>
        <w:ind w:firstLine="420"/>
      </w:pPr>
      <w:r>
        <w:t>如图5和表3所示，在低应力范围内，各样品均表现为G′高于G″，且随WCS添加量增加，G′总体降低，G′与G″交点对应的流动应力τf由995.53 Pa降至232.70 Pa；各样品的表观黏度均随剪切速率增加而降低，幂律拟合所得n由0.09升至0.31，K由499.27总体降至118.63。在交替应变测试中，高应变使G′下降并低于G″，恢复低应变后G′再次回升并高于G″；SRR₃–₁由94.75%降至88.37%，而SRR₅–₃为98.84%～100.92%。这些结果说明，复合凝胶在保留剪切稀化和一定结构恢复能力的同时，其弹性响应、表观黏度及流动应力总体降低。Cheng等[4]发现，高直链玉米淀粉凝胶虽然具有较强支撑能力，却可能发生间歇挤出，而蜡质凝胶虽易于连续挤出，支撑能力仍可能不足；另一项玉米淀粉/明胶研究也表明，相结构调整引起的G′与τf变化能够影响挤出行为及打印尺寸[5]。Xu等[6]在竹芋淀粉凝胶中发现，较高的剪切后恢复率并不必然产生较好的成型效果，恢复后的绝对模量同样决定制品能否自支撑；Cui等[7]则报道，降低淀粉基凝胶的流动应力和K，并维持较好的结构恢复，有利于平稳挤出及精度提高。这可能是WCS减少了直链淀粉介导的有效网络连接，使凝胶较易在应力作用下流动；高应变时部分物理连接发生解离，恢复低应变后链间相互作用及局部缠结得以部分重建，因而G′回升。需要注意，n虽始终小于1，但其向1靠近代表剪切稀化程度减弱，因此WCS在本研究中主要降低了黏度水平，并未增强剪切稀化强度；SRR₅–₃以第三阶段G′为基准，其接近100%仅说明后续恢复接近该阶段水平，不能据此认定初始网络完全恢复。结合前述有序结构减少和硬度下降，可将复合凝胶的流变变化理解为网络适度软化：较低的流动阻力有利于喷嘴内流动，而残余弹性与剪切后恢复又为沉积后的形态保持提供条件。这一流动、承载及恢复之间的平衡需由实际打印与循环打印结果进一步验证。</w:t>
      </w:r>
    </w:p>
    <w:p>
      <w:pPr>
        <w:pStyle w:val="Heading2"/>
      </w:pPr>
      <w:r>
        <w:t>3D打印与循环再打印性能</w:t>
      </w:r>
    </w:p>
    <w:p>
      <w:pPr>
        <w:ind w:firstLine="420"/>
      </w:pPr>
      <w:r>
        <w:t>如图6和表4所示，CS及M-CS4%的挤出线条存在局部断裂或凸起，随着WCS添加量增加，M-CS8%～M-CS16%的线条逐渐趋于连续和平整，线宽由CS的1.27 mm总体降至M-CS16%的0.87 mm。两种模型的成型质量总体呈先改善后下降的趋势：M-CS12%具有较清晰的层间轮廓及较平整的表面，其两组打印精度均值分别为97.00%和96.33%；M-CS16%虽能连续挤出，却出现下垂、塌陷及边缘模糊，精度降至89.00%和90.33%。M-CS8%与M-CS12%的两组精度差异不显著（P&gt;0.05）。Cheng等[4]指出，玉米淀粉材料的连续挤出与沉积支撑受到分子组成的共同影响；Xu等[6]也发现，网络过弱会引起塌陷，过强则增加挤出困难，中间条件更有利于成型。这可能是CS及低WCS添加量凝胶具有较高的硬度、G′和τf，使线条均匀挤出较为困难；添加量达到8%～12%时，流动阻力减小，同时凝胶保留了足以承受逐层堆叠载荷的强度，因而外观得到改善。添加量增至16%后，硬度和弹性响应进一步降低，凝胶虽易于流动，但对后续打印层的支撑不足，使尺寸偏差及局部形变增大。线宽变化可能还与喷嘴出口的弹性回复和沉积后铺展有关[5]，不能将其全部归因于单一的挤出膨胀机制。上述结果与前一节提出的流动与承载平衡相符，结合网络形貌和打印外观，M-CS12%在本研究条件下具有较好的综合适性，而这一判断并不意味着其所有流变指标或单次精度均显著优于M-CS8%。</w:t>
      </w:r>
    </w:p>
    <w:p>
      <w:pPr>
        <w:ind w:firstLine="420"/>
      </w:pPr>
      <w:r>
        <w:t>如图7及循环打印数据所示，M-CS12%在三次循环中的打印精度分别为96.01%、95.37%和95.02%，均保持在95%以上，首次至第三次的均值仅降低0.99个百分点，制品仍保持较清晰的轮廓和较好的形态。相比之下，M-CS16%的三次精度分别为88.92%、83.22%和85.22%，其循环成型表现较弱。Xu等[6]的研究表明，剪切后恢复程度需要与恢复后的模量共同评价；Cui等[7]也将淀粉基凝胶的结构恢复与平稳挤出及成型精度联系起来。这可能是M-CS12%的物理网络在重复剪切后仍可部分恢复，且恢复后的凝胶具有足够的承载能力，使其在再次挤出和沉积时保持相对稳定的几何形态。对应的SRR₃–₁为90.55%、SRR₅–₃为100.19%，说明它具有一定恢复能力，但并非所有样品中恢复率最高；M-CS16%的网络较弱，即使后续相对恢复率接近100%，其绝对支撑能力仍可能不足。循环打印与交替应变结果相互呼应，共同支持M-CS12%具有三次回收再打印的加工潜力。不过，流变循环与真实回收打印并非相同过程，现有结果尚未直接测定各次打印后的G′或τf，因此网络重建是与现象相符的机制解释，而非已被独立证实的因果关系。</w:t>
      </w:r>
    </w:p>
    <w:p>
      <w:pPr>
        <w:pStyle w:val="Heading2"/>
      </w:pPr>
      <w:r>
        <w:t>打印参数优化</w:t>
      </w:r>
    </w:p>
    <w:p>
      <w:pPr>
        <w:ind w:firstLine="420"/>
      </w:pPr>
      <w:r>
        <w:t>如图8～图10和表5～表7所示，喷嘴直径由0.41 mm增至1.50 mm时，打印精度由97.68%降至66.66%；0.58 mm组的精度为93.72%，与0.41 mm组差异不显著（P&gt;0.05）。打印速度为360 mm/min时精度均值最高，为94.50%，但与240、480及600 mm/min组差异不显著；80%填充率的精度为89.62%，显著高于其余填充率组（P&lt;0.05）。Pan等[8]在虾糜体系中表明，喷嘴、移动速度和内部填充的匹配能够改善供料均匀性、层间融合及成型稳定性，说明材料性质需要与打印工艺共同考虑。这可能是较大喷嘴在既定层高和供料条件下形成较宽的线条，降低几何细节分辨率；移动速度与供料不匹配时，单位路径上的沉积量偏多或偏少，引起堆积或欠挤出；适度填充则在内部支撑与局部材料铺展之间提供较好的空间条件。因此，结合外观与数值精度，本研究选择0.58 mm喷嘴、360 mm/min移动速度和80%填充率作为适宜工艺条件。该结果将前述材料的打印适性落实到具体工艺，但这些数值属于本研究的单因素试验范围，不能外推为其他淀粉体系的通用最优参数；由于尚无挤出力与耗时的定量比较，也不据此宣称已证明最高生产效率。</w:t>
      </w:r>
    </w:p>
    <w:p>
      <w:pPr>
        <w:pStyle w:val="Heading2"/>
      </w:pPr>
      <w:r>
        <w:t>pH响应4D打印应用</w:t>
      </w:r>
    </w:p>
    <w:p>
      <w:pPr>
        <w:ind w:firstLine="420"/>
      </w:pPr>
      <w:r>
        <w:t>如表8所示，加入紫薯花青素的M-CS12%打印样品随环境pH改变呈现不同色调：pH 3时为浅粉色，pH 5及7时呈浅蓝至淡蓝色，pH 9及11时分别转为蓝绿色和黄绿色。a*由pH 3时的20.69降至pH 9时的−2.59，pH 11时回升至0.48；b*由pH 3时的−6.39降至pH 5时的−16.52，随后逐步升高，pH 11时达到9.43。Pina[9]指出，花青素及相关黄烊化合物随pH变化可在黄烊盐阳离子、醌式结构、半缩酮及查尔酮等形态之间发生转化，其比例及转化动力学影响显色行为。这可能是环境pH改变了花青素不同结构形态的相对比例及共轭状态，从而改变对可见光的吸收，赋予打印样品pH相关颜色响应。该应用以已筛选的M-CS12%为成型基质，将前述打印性能拓展到显色功能；但颜色响应不等同于凝胶网络的可逆重建，也不能由不同pH下的终点颜色证明反复变色可逆。若要进一步讨论4D响应速度或可逆性，需结合时间序列及返回原pH条件的循环结果。</w:t>
      </w:r>
    </w:p>
    <w:p>
      <w:pPr>
        <w:pStyle w:val="Heading1"/>
      </w:pPr>
      <w:r>
        <w:t>关键数据及表述核对</w:t>
      </w:r>
    </w:p>
    <w:p>
      <w:pPr>
        <w:ind w:firstLine="420"/>
      </w:pPr>
      <w:r>
        <w:t>12%是综合配方选择，不是所有指标的最大值：其SRR₃–₁为90.55%，低于CS的94.75%；两种模型单次精度与8%组无显著差异。</w:t>
      </w:r>
    </w:p>
    <w:p>
      <w:pPr>
        <w:ind w:firstLine="420"/>
      </w:pPr>
      <w:r>
        <w:t>循环表的字母是在每一列内比较不同样品。96.01%、95.37%、95.02%的均值保持较高，可写首末相差0.99个百分点，但不能据现有字母声称三次之间无显著差异。</w:t>
      </w:r>
    </w:p>
    <w:p>
      <w:pPr>
        <w:ind w:firstLine="420"/>
      </w:pPr>
      <w:r>
        <w:t>η=Kγ̇^(n−1)时，K单位为Pa·sⁿ，n增大意味着剪切稀化程度减弱。τf是G′与G″交点处的流动应力，不应与线性黏弹区终点或屈服应力τy混用。</w:t>
      </w:r>
    </w:p>
    <w:p>
      <w:pPr>
        <w:ind w:firstLine="420"/>
      </w:pPr>
      <w:r>
        <w:t>SRR₃–₁=G′₃/G′₁，SRR₅–₃=G′₅/G′₃。若沿用该方法，12%最终G′₅/G′₁约为90.72%，100.19%并非相对初始模量的恢复率。正文不使用“完全恢复”“恢复最快”。</w:t>
      </w:r>
    </w:p>
    <w:p>
      <w:pPr>
        <w:ind w:firstLine="420"/>
      </w:pPr>
      <w:r>
        <w:t>表4模型对应需统一：早期方法将水杯设为直径26 mm、高25.2 mm，将立方体设为18.48 mm三轴尺寸。因此第一组97.00%应对应水杯，第二组96.33%应对应立方体，与9.30正文顺序不一致。本稿采用两组并列写法，提交前请对照原始模型记录确认。</w:t>
      </w:r>
    </w:p>
    <w:p>
      <w:pPr>
        <w:ind w:firstLine="420"/>
      </w:pPr>
      <w:r>
        <w:t>原早期方法中打印精度公式未显示绝对相对误差；尺寸小于设定值时可能与表中精度不一致。请核对公式和实际计算表，不据当前文字擅自重算实验值。</w:t>
      </w:r>
    </w:p>
    <w:p>
      <w:pPr>
        <w:ind w:firstLine="420"/>
      </w:pPr>
      <w:r>
        <w:t>10.04稿中“高BD意味着打印剪切稀化更强”宜改为“RVA热剪切稳定性改变，室温凝胶流动由后续流变验证”。复合组PT为77.48～78.03 ℃，不能将纯WCS的76.60 ℃写入复合组范围。</w:t>
      </w:r>
    </w:p>
    <w:p>
      <w:pPr>
        <w:ind w:firstLine="420"/>
      </w:pPr>
      <w:r>
        <w:t>10.04稿中内聚性并非持续上升：0.52、0.51、0.50、0.54、0.61；弹性组间无显著差异。表2内聚性通常无量纲，弹性单位应按仪器的实际输出定义核查。</w:t>
      </w:r>
    </w:p>
    <w:p>
      <w:pPr>
        <w:ind w:firstLine="420"/>
      </w:pPr>
      <w:r>
        <w:t>FTIR的O—H和1636 cm⁻¹变化不单独定量氢键或结合水；水分状态的主要证据来自LF-NMR。SEM为冻干形貌，不能直接等同湿态打印网络。XRD引用应为图4，9.30稿正文“图5”需更正。</w:t>
      </w:r>
    </w:p>
    <w:p>
      <w:pPr>
        <w:ind w:firstLine="420"/>
      </w:pPr>
      <w:r>
        <w:t>三次循环数据支持限定条件下的回收再打印潜力，不等于无限次重复加工、长期储藏稳定性或已验证的食用安全与成本收益。4D段删除“甲氧基电离”和未经循环实验确认的可逆性。</w:t>
      </w:r>
    </w:p>
    <w:p>
      <w:pPr>
        <w:pStyle w:val="Heading1"/>
      </w:pPr>
      <w:r>
        <w:t>参考文献</w:t>
      </w:r>
    </w:p>
    <w:p>
      <w:pPr>
        <w:ind w:firstLine="0"/>
      </w:pPr>
      <w:r>
        <w:t>[1] Tian J, Qin L, Zeng X, Ge P, Fan J, Zhu Y. The Role of Amylose in Gel Forming of Rice Flour. Foods. 2023;12(6):1210. DOI: https://doi.org/10.3390/foods12061210</w:t>
      </w:r>
    </w:p>
    <w:p>
      <w:pPr>
        <w:ind w:firstLine="0"/>
      </w:pPr>
      <w:r>
        <w:t>[2] Koev TT, Muñoz-García JC, Iuga D, Khimyak YZ, Warren FJ. Structural heterogeneities in starch hydrogels. Carbohydrate Polymers. 2020;249:116834. DOI: https://doi.org/10.1016/j.carbpol.2020.116834</w:t>
      </w:r>
    </w:p>
    <w:p>
      <w:pPr>
        <w:ind w:firstLine="0"/>
      </w:pPr>
      <w:r>
        <w:t>[3] Hirata Y, et al. Kinetics of Structural Changes in Starch Retrogradation Observed by Simultaneous SANS/FTIR-ATR Measurements. Journal of Applied Glycoscience. 2025;72(1):7201102. DOI: https://doi.org/10.5458/jag.7201102</w:t>
      </w:r>
    </w:p>
    <w:p>
      <w:pPr>
        <w:ind w:firstLine="0"/>
      </w:pPr>
      <w:r>
        <w:t>[4] Cheng Y, He Y, Li X, Gao W, Kang X, Sui J, Cui B. Impact of starch amylose and amylopectin on the rheological and 3D printing properties of corn starch. International Journal of Biological Macromolecules. 2024;278:134403. DOI: https://doi.org/10.1016/j.ijbiomac.2024.134403</w:t>
      </w:r>
    </w:p>
    <w:p>
      <w:pPr>
        <w:ind w:firstLine="0"/>
      </w:pPr>
      <w:r>
        <w:t>[5] Cheng Y, et al. Investigation of the mechanism of gelatin to enhance 3D printing accuracy of corn starch gel: From perspective of phase morphological changes. International Journal of Biological Macromolecules. 2024;254:127323. DOI: https://doi.org/10.1016/j.ijbiomac.2023.127323</w:t>
      </w:r>
    </w:p>
    <w:p>
      <w:pPr>
        <w:ind w:firstLine="0"/>
      </w:pPr>
      <w:r>
        <w:t>[6] Xu M, Dong Q, Huang G, Zhang Y, Lu X, Zhang J, Zhang K, Huang Q. Physical and 3D Printing Properties of Arrowroot Starch Gels. Foods. 2022;11(14):2140. DOI: https://doi.org/10.3390/foods11142140</w:t>
      </w:r>
    </w:p>
    <w:p>
      <w:pPr>
        <w:ind w:firstLine="0"/>
      </w:pPr>
      <w:r>
        <w:t>[7] Cui XR, Wang YS, Chen Y, Mu HY, Chen HH. Effects of wheat protein on hot-extrusion 3D-printing performance and the release behaviours of caffeic acid-loaded wheat starch. International Journal of Biological Macromolecules. 2024;258:129097. DOI: https://doi.org/10.1016/j.ijbiomac.2023.129097</w:t>
      </w:r>
    </w:p>
    <w:p>
      <w:pPr>
        <w:ind w:firstLine="0"/>
      </w:pPr>
      <w:r>
        <w:t>[8] Pan Y, et al. Investigation on 3D printing of shrimp surimi under different printing parameters and thermal processing conditions. Current Research in Food Science. 2024;8:100745. DOI: https://doi.org/10.1016/j.crfs.2024.100745</w:t>
      </w:r>
    </w:p>
    <w:p>
      <w:pPr>
        <w:ind w:firstLine="0"/>
      </w:pPr>
      <w:r>
        <w:t>[9] Pina F. Chemical Applications of Anthocyanins and Related Compounds. A Source of Bioinspiration. Journal of Agricultural and Food Chemistry. 2014;62(29):6885–6897. DOI: https://doi.org/10.1021/jf404869m</w:t>
      </w:r>
    </w:p>
    <w:p>
      <w:pPr>
        <w:pStyle w:val="Heading1"/>
      </w:pPr>
      <w:r>
        <w:t>文献证据核验范围</w:t>
      </w:r>
    </w:p>
    <w:p>
      <w:pPr>
        <w:ind w:firstLine="420"/>
      </w:pPr>
      <w:r>
        <w:t>检索日期为2026年10月6日。采用PubMed E-utilities进行定向检索与摘要读取，以Crossref核对书目；可公开获取的全文经NCBI PMC读取。正文使用9篇文献，其中4篇查阅全文，5篇查阅正式摘要。未将仅确认DOI或标题的文献用作具体结果或机制佐证。此为针对论文论证的定向检索，不是穷尽性系统综述。</w:t>
      </w:r>
    </w:p>
    <w:tbl>
      <w:tblPr>
        <w:tblW w:type="auto" w:w="0"/>
        <w:jc w:val="center"/>
        <w:tblLayout w:type="fixed"/>
        <w:tblLook w:firstColumn="1" w:firstRow="1" w:lastColumn="0" w:lastRow="0" w:noHBand="0" w:noVBand="1" w:val="04A0"/>
      </w:tblPr>
      <w:tblGrid>
        <w:gridCol w:w="567"/>
        <w:gridCol w:w="964"/>
        <w:gridCol w:w="7767"/>
      </w:tblGrid>
      <w:tr>
        <w:trPr>
          <w:cantSplit/>
          <w:tblHeader/>
        </w:trPr>
        <w:tc>
          <w:tcPr>
            <w:tcW w:type="dxa" w:w="5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E8EDF1"/>
          </w:tcPr>
          <w:p>
            <w:pPr>
              <w:spacing w:after="60" w:before="60" w:line="276" w:lineRule="auto"/>
            </w:pPr>
            <w:r>
              <w:rPr>
                <w:b/>
                <w:sz w:val="18"/>
              </w:rPr>
              <w:t>编号</w:t>
            </w:r>
          </w:p>
        </w:tc>
        <w:tc>
          <w:tcPr>
            <w:tcW w:type="dxa" w:w="96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E8EDF1"/>
          </w:tcPr>
          <w:p>
            <w:pPr>
              <w:spacing w:after="60" w:before="60" w:line="276" w:lineRule="auto"/>
            </w:pPr>
            <w:r>
              <w:rPr>
                <w:b/>
                <w:sz w:val="18"/>
              </w:rPr>
              <w:t>查阅范围</w:t>
            </w:r>
          </w:p>
        </w:tc>
        <w:tc>
          <w:tcPr>
            <w:tcW w:type="dxa" w:w="77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E8EDF1"/>
          </w:tcPr>
          <w:p>
            <w:pPr>
              <w:spacing w:after="60" w:before="60" w:line="276" w:lineRule="auto"/>
            </w:pPr>
            <w:r>
              <w:rPr>
                <w:b/>
                <w:sz w:val="18"/>
              </w:rPr>
              <w:t>支持内容及适用边界</w:t>
            </w:r>
          </w:p>
        </w:tc>
      </w:tr>
      <w:tr>
        <w:trPr>
          <w:cantSplit/>
        </w:trPr>
        <w:tc>
          <w:tcPr>
            <w:tcW w:type="dxa" w:w="5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1</w:t>
            </w:r>
          </w:p>
        </w:tc>
        <w:tc>
          <w:tcPr>
            <w:tcW w:type="dxa" w:w="96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全文</w:t>
            </w:r>
          </w:p>
        </w:tc>
        <w:tc>
          <w:tcPr>
            <w:tcW w:type="dxa" w:w="77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支持直链淀粉组成、短程有序和凝胶强度的关联；米粉及7 d储藏条件，不能当作本体系同条件验证。</w:t>
            </w:r>
          </w:p>
        </w:tc>
      </w:tr>
      <w:tr>
        <w:trPr>
          <w:cantSplit/>
        </w:trPr>
        <w:tc>
          <w:tcPr>
            <w:tcW w:type="dxa" w:w="5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2</w:t>
            </w:r>
          </w:p>
        </w:tc>
        <w:tc>
          <w:tcPr>
            <w:tcW w:type="dxa" w:w="96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全文</w:t>
            </w:r>
          </w:p>
        </w:tc>
        <w:tc>
          <w:tcPr>
            <w:tcW w:type="dxa" w:w="77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支持玉米淀粉组成、长程有序与网络刚性的关系；不将所有晶区归因于新回生。</w:t>
            </w:r>
          </w:p>
        </w:tc>
      </w:tr>
      <w:tr>
        <w:trPr>
          <w:cantSplit/>
        </w:trPr>
        <w:tc>
          <w:tcPr>
            <w:tcW w:type="dxa" w:w="5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3</w:t>
            </w:r>
          </w:p>
        </w:tc>
        <w:tc>
          <w:tcPr>
            <w:tcW w:type="dxa" w:w="96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全文</w:t>
            </w:r>
          </w:p>
        </w:tc>
        <w:tc>
          <w:tcPr>
            <w:tcW w:type="dxa" w:w="77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支持区分局部与更大尺度有序结构；研究使用SANS而非XRD，实际红外比值为1042/1016。</w:t>
            </w:r>
          </w:p>
        </w:tc>
      </w:tr>
      <w:tr>
        <w:trPr>
          <w:cantSplit/>
        </w:trPr>
        <w:tc>
          <w:tcPr>
            <w:tcW w:type="dxa" w:w="5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4</w:t>
            </w:r>
          </w:p>
        </w:tc>
        <w:tc>
          <w:tcPr>
            <w:tcW w:type="dxa" w:w="96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摘要</w:t>
            </w:r>
          </w:p>
        </w:tc>
        <w:tc>
          <w:tcPr>
            <w:tcW w:type="dxa" w:w="77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直接支持玉米淀粉体系连续挤出与承载需要平衡；不迁移该文最佳配比或精度。</w:t>
            </w:r>
          </w:p>
        </w:tc>
      </w:tr>
      <w:tr>
        <w:trPr>
          <w:cantSplit/>
        </w:trPr>
        <w:tc>
          <w:tcPr>
            <w:tcW w:type="dxa" w:w="5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5</w:t>
            </w:r>
          </w:p>
        </w:tc>
        <w:tc>
          <w:tcPr>
            <w:tcW w:type="dxa" w:w="96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摘要</w:t>
            </w:r>
          </w:p>
        </w:tc>
        <w:tc>
          <w:tcPr>
            <w:tcW w:type="dxa" w:w="77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支持相结构、G′和τf变化与挤出及尺寸保真相关；明胶体系与同类淀粉共混的机制不同。</w:t>
            </w:r>
          </w:p>
        </w:tc>
      </w:tr>
      <w:tr>
        <w:trPr>
          <w:cantSplit/>
        </w:trPr>
        <w:tc>
          <w:tcPr>
            <w:tcW w:type="dxa" w:w="5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6</w:t>
            </w:r>
          </w:p>
        </w:tc>
        <w:tc>
          <w:tcPr>
            <w:tcW w:type="dxa" w:w="96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全文</w:t>
            </w:r>
          </w:p>
        </w:tc>
        <w:tc>
          <w:tcPr>
            <w:tcW w:type="dxa" w:w="77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较高恢复率仍可伴随模量不足与塌陷；支撑综合平衡，不是回收再打印的直接证据。</w:t>
            </w:r>
          </w:p>
        </w:tc>
      </w:tr>
      <w:tr>
        <w:trPr>
          <w:cantSplit/>
        </w:trPr>
        <w:tc>
          <w:tcPr>
            <w:tcW w:type="dxa" w:w="5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7</w:t>
            </w:r>
          </w:p>
        </w:tc>
        <w:tc>
          <w:tcPr>
            <w:tcW w:type="dxa" w:w="96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摘要</w:t>
            </w:r>
          </w:p>
        </w:tc>
        <w:tc>
          <w:tcPr>
            <w:tcW w:type="dxa" w:w="77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支持流动应力、K及结构恢复与平稳挤出相关；热挤出体系，摘要不支持第二次恢复更强或实体循环回收。</w:t>
            </w:r>
          </w:p>
        </w:tc>
      </w:tr>
      <w:tr>
        <w:trPr>
          <w:cantSplit/>
        </w:trPr>
        <w:tc>
          <w:tcPr>
            <w:tcW w:type="dxa" w:w="5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8</w:t>
            </w:r>
          </w:p>
        </w:tc>
        <w:tc>
          <w:tcPr>
            <w:tcW w:type="dxa" w:w="96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摘要</w:t>
            </w:r>
          </w:p>
        </w:tc>
        <w:tc>
          <w:tcPr>
            <w:tcW w:type="dxa" w:w="77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6F7F8"/>
          </w:tcPr>
          <w:p>
            <w:pPr>
              <w:spacing w:after="60" w:before="60" w:line="276" w:lineRule="auto"/>
            </w:pPr>
            <w:r>
              <w:rPr>
                <w:b w:val="0"/>
                <w:sz w:val="18"/>
              </w:rPr>
              <w:t>支持喷嘴、速度和填充的匹配；具体适宜数值不迁移到本淀粉体系。</w:t>
            </w:r>
          </w:p>
        </w:tc>
      </w:tr>
      <w:tr>
        <w:trPr>
          <w:cantSplit/>
        </w:trPr>
        <w:tc>
          <w:tcPr>
            <w:tcW w:type="dxa" w:w="5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9</w:t>
            </w:r>
          </w:p>
        </w:tc>
        <w:tc>
          <w:tcPr>
            <w:tcW w:type="dxa" w:w="964"/>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摘要</w:t>
            </w:r>
          </w:p>
        </w:tc>
        <w:tc>
          <w:tcPr>
            <w:tcW w:type="dxa" w:w="7767"/>
            <w:vAlign w:val="center"/>
            <w:tcMar>
              <w:top w:w="90" w:type="dxa"/>
              <w:bottom w:w="90" w:type="dxa"/>
              <w:left w:w="90" w:type="dxa"/>
              <w:right w:w="90" w:type="dxa"/>
            </w:tcMar>
            <w:tcBorders>
              <w:top w:val="single" w:sz="4" w:color="D9D9D9"/>
              <w:bottom w:val="single" w:sz="4" w:color="D9D9D9"/>
              <w:left w:val="single" w:sz="4" w:color="D9D9D9"/>
              <w:right w:val="single" w:sz="4" w:color="D9D9D9"/>
            </w:tcBorders>
            <w:shd w:fill="FFFFFF"/>
          </w:tcPr>
          <w:p>
            <w:pPr>
              <w:spacing w:after="60" w:before="60" w:line="276" w:lineRule="auto"/>
            </w:pPr>
            <w:r>
              <w:rPr>
                <w:b w:val="0"/>
                <w:sz w:val="18"/>
              </w:rPr>
              <w:t>支持花青素黄烊体系的pH依赖结构转化；不能据该机理证明本样品颜色响应可逆。</w:t>
            </w:r>
          </w:p>
        </w:tc>
      </w:tr>
    </w:tbl>
    <w:p>
      <w:pPr>
        <w:ind w:firstLine="420"/>
      </w:pPr>
      <w:r>
        <w:t>三次实体循环打印的结论直接来自本研究数据。文献[6]与[7]支持剪切后恢复和成型之间的关系，但未据此宣称它们进行了与本研究相同的回收再打印试验；其作用是提供机制参照。</w:t>
      </w:r>
    </w:p>
    <w:p>
      <w:pPr>
        <w:pStyle w:val="Heading2"/>
      </w:pPr>
      <w:r>
        <w:t>检索工作流来源</w:t>
      </w:r>
    </w:p>
    <w:p>
      <w:pPr>
        <w:spacing w:after="60" w:line="264" w:lineRule="auto"/>
        <w:ind w:firstLine="0"/>
      </w:pPr>
      <w:r>
        <w:rPr>
          <w:sz w:val="18"/>
        </w:rPr>
        <w:t>检索工作流采用K-Dense literature-review技能。以下工具来源文献不计入论文的9篇科学参考文献。</w:t>
      </w:r>
    </w:p>
    <w:p>
      <w:pPr>
        <w:spacing w:after="60" w:line="264" w:lineRule="auto"/>
        <w:ind w:firstLine="0"/>
      </w:pPr>
      <w:r>
        <w:rPr>
          <w:sz w:val="18"/>
        </w:rPr>
        <w:t>Kassis T, Agarwal V, He Y, Patel D, Brueckner AM. Scientific Agent Skills: A Library of Procedural Knowledge for Research Agents. arXiv. 2026. DOI: https://doi.org/10.48550/arXiv.2609.00065.</w:t>
      </w:r>
    </w:p>
    <w:sectPr w:rsidR="00FC693F" w:rsidRPr="0006063C" w:rsidSect="00034616">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12" w:lineRule="auto"/>
    </w:pPr>
    <w:rPr>
      <w:rFonts w:ascii="Noto Serif CJK SC" w:hAnsi="Noto Serif CJK SC" w:eastAsia="Noto Serif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12" w:lineRule="auto"/>
      <w:outlineLvl w:val="0"/>
    </w:pPr>
    <w:rPr>
      <w:rFonts w:asciiTheme="majorHAnsi" w:eastAsiaTheme="majorEastAsia" w:hAnsiTheme="majorHAnsi" w:cstheme="majorBidi" w:ascii="Noto Serif CJK SC" w:hAnsi="Noto Serif CJK SC" w:eastAsia="Noto Serif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line="312" w:lineRule="auto"/>
      <w:outlineLvl w:val="1"/>
    </w:pPr>
    <w:rPr>
      <w:rFonts w:asciiTheme="majorHAnsi" w:eastAsiaTheme="majorEastAsia" w:hAnsiTheme="majorHAnsi" w:cstheme="majorBidi" w:ascii="Noto Serif CJK SC" w:hAnsi="Noto Serif CJK SC" w:eastAsia="Noto Serif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312" w:lineRule="auto"/>
      <w:contextualSpacing/>
    </w:pPr>
    <w:rPr>
      <w:rFonts w:asciiTheme="majorHAnsi" w:eastAsiaTheme="majorEastAsia" w:hAnsiTheme="majorHAnsi" w:cstheme="majorBidi" w:ascii="Noto Serif CJK SC" w:hAnsi="Noto Serif CJK SC" w:eastAsia="Noto Serif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