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FTIR与XRD精炼正文及文献依据</w:t>
      </w:r>
    </w:p>
    <w:p>
      <w:pPr>
        <w:ind w:firstLine="420"/>
      </w:pPr>
      <w:r>
        <w:t>本次修订围绕短程与长程有序程度共同降低组织结果与讨论，压缩重复文献和机制解释，并保留原因句的就地引文。文献编号[3]和[5]沿用你此次提供的段落。</w:t>
      </w:r>
    </w:p>
    <w:p>
      <w:pPr>
        <w:pStyle w:val="Heading1"/>
      </w:pPr>
      <w:r>
        <w:t>可替换正文</w:t>
      </w:r>
    </w:p>
    <w:p>
      <w:pPr>
        <w:ind w:firstLine="420"/>
      </w:pPr>
      <w:r>
        <w:t>为探讨前述冷却阶段黏度回升及凝胶质地差异的结构基础，采用FTIR和XRD分别表征复合凝胶的短程分子有序程度和长程结晶有序性（图3a、3b）。各样品的FTIR主要特征吸收带基本保留，未见明显新增特征峰。随WCS添加量增加，R₁₀₄₇/₁₀₂₂由CS的0.86降至M-CS16%的0.51；XRD图谱在2θ约17°和20°附近出现衍射信号，相对结晶度由CS的20.44%降至M-CS16%的6.34%，表明两类有序结构指标总体降低。Tian等[3]在米粉体系中发现，较高直链含量的回生凝胶具有较高的短程有序程度和相对结晶度；Koev等[5]也在玉米淀粉凝胶中观察到，较高直链含量与更明显的长程有序结构及较高G′相联系。这可能是由于WCS引入降低了直链淀粉的相对比例，而近线性的直链淀粉较易发生部分排列与链间再缔合，并参与连接区形成，因此其比例下降可能减少线性链段对冷却储存阶段有序结构及凝胶网络重建的贡献[3,5]。上述变化与前述冷却黏度回升幅度及凝胶硬度的降低相呼应，并为后续G′下降提供结构线索[3,5]。</w:t>
      </w:r>
    </w:p>
    <w:p>
      <w:pPr>
        <w:pStyle w:val="Heading1"/>
      </w:pPr>
      <w:r>
        <w:t>精炼说明</w:t>
      </w:r>
    </w:p>
    <w:p>
      <w:pPr>
        <w:ind w:firstLine="420"/>
      </w:pPr>
      <w:r>
        <w:t>将分析集中在R₁₀₄₇/₁₀₂₂和相对结晶度的总体降低，保留关键数值；不展开中间两组比值的统计比较。图号沿用此次补充段落的图3a、3b。</w:t>
      </w:r>
    </w:p>
    <w:p>
      <w:pPr>
        <w:ind w:firstLine="420"/>
      </w:pPr>
      <w:r>
        <w:t>文献佐证集中保留Tian与Koev：前者支撑回生后有序结构与直链含量的关联，后者衔接长程有序、再缔合和网络刚性。相关文献不必逐篇重复同一论点。</w:t>
      </w:r>
    </w:p>
    <w:p>
      <w:pPr>
        <w:ind w:firstLine="420"/>
      </w:pPr>
      <w:r>
        <w:t>原因解释合为一条路径：直链比例下降，可能减少较易排列与再缔合的线性链段对有序结构和凝胶网络重建的贡献。机制句末保留[3,5]，不再重复解释氢键减弱。</w:t>
      </w:r>
    </w:p>
    <w:p>
      <w:pPr>
        <w:ind w:firstLine="420"/>
      </w:pPr>
      <w:r>
        <w:t>无新增特征峰只作为光谱观察，不推断为完全没有新化学键。O—H峰位与水峰强度的展开会分散本节主线；水分状态可与前文LF-NMR讨论衔接，但不能仅凭红外峰强定量结合水含量。</w:t>
      </w:r>
    </w:p>
    <w:p>
      <w:r>
        <w:br w:type="page"/>
      </w:r>
    </w:p>
    <w:p>
      <w:pPr>
        <w:pStyle w:val="Heading1"/>
      </w:pPr>
      <w:r>
        <w:t>保留文献及原文位置</w:t>
      </w:r>
    </w:p>
    <w:p>
      <w:pPr>
        <w:ind w:firstLine="420"/>
      </w:pPr>
      <w:r>
        <w:t>以下位置已按公开全文核对。段落序号按对应小节的正文段落计；文献提供机制参照，原因句中的可能保留对本研究解释的限定。</w:t>
      </w:r>
    </w:p>
    <w:p>
      <w:pPr>
        <w:pStyle w:val="Heading2"/>
      </w:pPr>
      <w:r>
        <w:t>Tian等 2023 有序结构依据</w:t>
      </w:r>
    </w:p>
    <w:p>
      <w:r>
        <w:t>[3] Tian J, Qin L, Zeng X, Ge P, Fan J, Zhu Y. The Role of Amylose in Gel Forming of Rice Flour. Foods. 2023;12(6):1210. DOI: 10.3390/foods12061210</w:t>
      </w:r>
    </w:p>
    <w:p>
      <w:pPr>
        <w:ind w:firstLine="420"/>
      </w:pPr>
      <w:r>
        <w:t>原文位置：§3.6 Functional Groups and Short-Range Ordered Structures of Retrograded Gels，第2段，Figure 2D–E；§3.5 Crystal Structures of Retrograded Gels，该节唯一正文段，Figure 2B及Table 2。</w:t>
      </w:r>
    </w:p>
    <w:p>
      <w:pPr>
        <w:ind w:firstLine="420"/>
      </w:pPr>
      <w:r>
        <w:t>原文短引：This indicated that amylose can facilitate the formation of short-range ordered structures during the retrograding process.</w:t>
      </w:r>
    </w:p>
    <w:p>
      <w:pPr>
        <w:ind w:firstLine="420"/>
      </w:pPr>
      <w:r>
        <w:t>适用范围：研究为米粉品种比较，4℃储藏7 d。本稿把结果用作机制参照，不写成同条件因果验证。</w:t>
      </w:r>
    </w:p>
    <w:p>
      <w:r>
        <w:t>公开全文：https://pmc.ncbi.nlm.nih.gov/articles/PMC10047920/</w:t>
      </w:r>
    </w:p>
    <w:p>
      <w:pPr>
        <w:pStyle w:val="Heading2"/>
      </w:pPr>
      <w:r>
        <w:t>Koev等 2020 再缔合与网络依据</w:t>
      </w:r>
    </w:p>
    <w:p>
      <w:r>
        <w:t>[5] Koev TT, Muñoz-García JC, Iuga D, Khimyak YZ, Warren FJ. Structural heterogeneities in starch hydrogels. Carbohydrate Polymers. 2020;249:116834. DOI: 10.1016/j.carbpol.2020.116834</w:t>
      </w:r>
    </w:p>
    <w:p>
      <w:pPr>
        <w:ind w:firstLine="420"/>
      </w:pPr>
      <w:r>
        <w:t>原文位置：§3.2.2 Mechanical properties，第3段（以The viscoelastic solid nature开头）；§3.3.4 Effect of storage conditions on local mobility，第2段；长程有序结果见§3.3.1 Long-range ordering，第1–2段及补充Figure S8、S9。</w:t>
      </w:r>
    </w:p>
    <w:p>
      <w:pPr>
        <w:ind w:firstLine="420"/>
      </w:pPr>
      <w:r>
        <w:t>原文短引：the predominantly linear amylose chains can partially align and interact with each other with far greater ease</w:t>
      </w:r>
    </w:p>
    <w:p>
      <w:pPr>
        <w:ind w:firstLine="420"/>
      </w:pPr>
      <w:r>
        <w:t>适用范围：玉米淀粉121℃处理20 min并储藏8 d。高直链样品更耐水热处理，长程有序差异可能含残余晶体贡献；本稿不把全部差异归于新生回生晶体。</w:t>
      </w:r>
    </w:p>
    <w:p>
      <w:r>
        <w:t>公开全文：https://pmc.ncbi.nlm.nih.gov/articles/PMC7519636/</w:t>
      </w:r>
    </w:p>
    <w:p>
      <w:pPr>
        <w:pStyle w:val="Heading1"/>
      </w:pPr>
      <w:r>
        <w:t>峰位与水峰表述的取舍</w:t>
      </w:r>
    </w:p>
    <w:p>
      <w:pPr>
        <w:ind w:firstLine="420"/>
      </w:pPr>
      <w:r>
        <w:t>此前原图的水相关峰标注为1644.7 cm⁻¹，与此次文字中的1636 cm⁻¹不一致；本版不展开该峰位。O—H蓝移趋势应以各样品实际峰位核查，现有共同参考标线不足以确认逐样品微小位移。</w:t>
      </w:r>
    </w:p>
    <w:p>
      <w:pPr>
        <w:ind w:firstLine="420"/>
      </w:pPr>
      <w:r>
        <w:t>Hirata等（2025）指出，3000—3700 cm⁻¹区域包含淀粉和水的重叠吸收，约1640 cm⁻¹的吸收与水分子的弯曲振动有关。因此，这些吸收变化不能直接用作结合水比例的定量证据。对应其Results and Discussion中FTIR-ATR spectral changes during simultaneous measurements第2段及Fig. 5。</w:t>
      </w:r>
    </w:p>
    <w:p>
      <w:r>
        <w:t>方法解释参考：Hirata Y, et al. Kinetics of Structural Changes in Starch Retrogradation Observed by Simultaneous SANS/FTIR-ATR Measurements. Journal of Applied Glycoscience. 2025;72(1):7201102. DOI: 10.5458/jag.7201102</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Noto Serif CJK SC" w:hAnsi="Noto Serif CJK SC" w:eastAsia="Noto Serif CJK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88" w:lineRule="auto"/>
      <w:outlineLvl w:val="0"/>
    </w:pPr>
    <w:rPr>
      <w:rFonts w:asciiTheme="majorHAnsi" w:eastAsiaTheme="majorEastAsia" w:hAnsiTheme="majorHAnsi" w:cstheme="majorBidi" w:ascii="Noto Serif CJK SC" w:hAnsi="Noto Serif CJK SC" w:eastAsia="Noto Serif CJK SC"/>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line="288" w:lineRule="auto"/>
      <w:outlineLvl w:val="1"/>
    </w:pPr>
    <w:rPr>
      <w:rFonts w:asciiTheme="majorHAnsi" w:eastAsiaTheme="majorEastAsia" w:hAnsiTheme="majorHAnsi" w:cstheme="majorBidi" w:ascii="Noto Serif CJK SC" w:hAnsi="Noto Serif CJK SC" w:eastAsia="Noto Serif CJK S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88" w:lineRule="auto"/>
      <w:contextualSpacing/>
    </w:pPr>
    <w:rPr>
      <w:rFonts w:asciiTheme="majorHAnsi" w:eastAsiaTheme="majorEastAsia" w:hAnsiTheme="majorHAnsi" w:cstheme="majorBidi" w:ascii="Noto Serif CJK SC" w:hAnsi="Noto Serif CJK SC" w:eastAsia="Noto Serif CJK SC"/>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