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FTIR与XRD整合逻辑和修订正文</w:t>
      </w:r>
    </w:p>
    <w:p>
      <w:pPr>
        <w:ind w:firstLine="420"/>
      </w:pPr>
      <w:r>
        <w:t>建议采用图片中围绕分子有序结构组织FTIR和XRD的框架，并修订论证顺序与科学措辞。图片的主线比上一版更集中；上一版对证据范围的限定仍应保留。</w:t>
      </w:r>
    </w:p>
    <w:p>
      <w:pPr>
        <w:ind w:firstLine="420"/>
      </w:pPr>
      <w:r>
        <w:t>这一小节适合围绕短程与长程有序结构展开。各峰归属只需服务于这一问题；水分及氢键解释可与前面的水分分布讨论衔接，打印挤出与承载机制留给后续流变和打印节。</w:t>
      </w:r>
    </w:p>
    <w:p>
      <w:pPr>
        <w:pStyle w:val="Heading1"/>
      </w:pPr>
      <w:r>
        <w:t>两种写法的比较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948"/>
        <w:gridCol w:w="5216"/>
      </w:tblGrid>
      <w:tr>
        <w:trPr>
          <w:cantSplit/>
          <w:tblHeader/>
        </w:trPr>
        <w:tc>
          <w:tcPr>
            <w:tcW w:type="dxa" w:w="1134"/>
            <w:vAlign w:val="center"/>
            <w:shd w:fill="E8ED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8"/>
              </w:rPr>
              <w:t>比较内容</w:t>
            </w:r>
          </w:p>
        </w:tc>
        <w:tc>
          <w:tcPr>
            <w:tcW w:type="dxa" w:w="2948"/>
            <w:vAlign w:val="center"/>
            <w:shd w:fill="E8ED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8"/>
              </w:rPr>
              <w:t>现有写法的特点</w:t>
            </w:r>
          </w:p>
        </w:tc>
        <w:tc>
          <w:tcPr>
            <w:tcW w:type="dxa" w:w="5216"/>
            <w:vAlign w:val="center"/>
            <w:shd w:fill="E8ED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8"/>
              </w:rPr>
              <w:t>建议及理由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研究问题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图片先交代为何同时采用FTIR与XRD，主线更集中。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保留这一引入，但将目标写成理解最终凝胶的有序结构差异，避免单一终点测量直接揭示整个糊化与回生过程。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分析顺序</w:t>
            </w:r>
          </w:p>
        </w:tc>
        <w:tc>
          <w:tcPr>
            <w:tcW w:type="dxa" w:w="2948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图片在FTIR结果后立即解释直链淀粉减少，随后才介绍XRD。</w:t>
            </w:r>
          </w:p>
        </w:tc>
        <w:tc>
          <w:tcPr>
            <w:tcW w:type="dxa" w:w="5216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先并列完整的两类结果，再引入文献，随后解释共同原因，严格沿用用户要求的顺序。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指标含义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图片把R下降直接写成双螺旋含量降低，并强调两技术相互印证。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R是短程有序的光谱指标，RC是长程晶体有序的指标。二者互补，不能直接等同，也不应由R量化双螺旋绝对含量。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结果差异</w:t>
            </w:r>
          </w:p>
        </w:tc>
        <w:tc>
          <w:tcPr>
            <w:tcW w:type="dxa" w:w="2948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图片称R单调下降，但8%和12%显示值相同。</w:t>
            </w:r>
          </w:p>
        </w:tc>
        <w:tc>
          <w:tcPr>
            <w:tcW w:type="dxa" w:w="5216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原图两组均为0.61且同为c，组间无显著差异；RC报告值仍不同。写总体下降，并保留这一尺度比较。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机制限定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图片将冷却后晶体主要归于直链淀粉短期重结晶。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直链淀粉再缔合可参与早期网络形成，但支链也可形成有序结构，残余晶区及复合晶体亦可能贡献XRD信号。共同机制宜使用可能解释。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前后关联</w:t>
            </w:r>
          </w:p>
        </w:tc>
        <w:tc>
          <w:tcPr>
            <w:tcW w:type="dxa" w:w="2948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图片与SB下降完全自洽的结论过强；上一版又提前展开了挤出及打印讨论。</w:t>
            </w:r>
          </w:p>
        </w:tc>
        <w:tc>
          <w:tcPr>
            <w:tcW w:type="dxa" w:w="5216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段末写与SB及硬度变化方向一致，简短引向G′；将实际挤出和承载平衡留给流变与打印节。</w:t>
            </w:r>
          </w:p>
        </w:tc>
      </w:tr>
    </w:tbl>
    <w:p>
      <w:pPr>
        <w:pStyle w:val="Heading1"/>
      </w:pPr>
      <w:r>
        <w:t>建议的论证顺序</w:t>
      </w:r>
    </w:p>
    <w:p>
      <w:pPr>
        <w:ind w:firstLine="420"/>
      </w:pPr>
      <w:r>
        <w:t>研究问题引入 → FTIR与XRD联合现象 → 对应文献佐证 → 共同原因解释 → 回扣前述SB和质构并连接后续流变。</w:t>
      </w:r>
    </w:p>
    <w:p>
      <w:pPr>
        <w:ind w:firstLine="420"/>
      </w:pPr>
      <w:r>
        <w:t>开头用一句话交代研究问题；随后把两种测量的事实一起说明，再由文献支持共同的结构解释。这样合并不仅减少标题，还能回答为什么需要同时测量两个尺度。</w:t>
      </w:r>
    </w:p>
    <w:p>
      <w:pPr>
        <w:pStyle w:val="Heading1"/>
      </w:pPr>
      <w:r>
        <w:t>可替换的结果与讨论正文</w:t>
      </w:r>
    </w:p>
    <w:p>
      <w:pPr>
        <w:ind w:firstLine="420"/>
      </w:pPr>
      <w:r>
        <w:t>建议小节名称为“短程与长程有序结构”。以下保留9月30日稿的图号，按现象、文献、原因和前后文关联的顺序写成一个分析段。</w:t>
      </w:r>
    </w:p>
    <w:p>
      <w:pPr>
        <w:ind w:firstLine="420"/>
      </w:pPr>
      <w:r>
        <w:t>为从分子层面理解前述冷却黏度回升及凝胶质构差异，采用FTIR与XRD分别考察复合凝胶的短程有序程度和长程晶体有序结构（图3、图4）。各样品的FTIR主要特征吸收带位于相近波数范围，未出现明显新增的特征峰；随WCS添加量增加，R₁₀₄₇/₁₀₂₂总体由CS的0.86降至M-CS16%的0.51，纯WCS最低（0.43）。XRD图谱在2θ约17°和20°附近出现衍射信号，相对结晶度由CS的20.44%降至M-CS16%的6.34%，纯WCS为3.42%。其中，M-CS8%与M-CS12%的R₁₀₄₇/₁₀₂₂均为0.61，组间差异不显著（P&gt;0.05），两者相对结晶度的报告值则分别为10.60%和7.95%。Tian等[1]在米粉体系中观察到，较高直链含量与回生凝胶较高的短程有序程度相联系；Koev等[2]在玉米淀粉水凝胶中也发现，直链淀粉含量与长程有序结构及网络刚性存在关联。Hirata等[3]通过同步SANS/FTIR-ATR研究表明，局部有序结构与更大尺度半晶体排列具有不同的变化进程，说明不同尺度的结构信息应互补解读。上述有序程度降低可能与WCS引入后直链淀粉相对比例下降，以及链间接近和排列条件改变有关，二者可能不利于冷却储存过程中局部有序结构及长程晶区的重建。局部链段有序排列与长程晶体堆砌并非同一结构层次，因此两种指标可以呈总体同向变化，而不必在每个添加梯度上完全对应。主要特征吸收带的保留与以物理相互作用为主的复配过程相符；短程与长程有序程度的共同降低，则与前述SB及凝胶硬度降低的方向一致，并为理解后续G′下降提供结构层面的线索。</w:t>
      </w:r>
    </w:p>
    <w:p>
      <w:pPr>
        <w:pStyle w:val="Heading1"/>
      </w:pPr>
      <w:r>
        <w:t>原图数据核对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515"/>
      </w:tblGrid>
      <w:tr>
        <w:trPr>
          <w:cantSplit/>
          <w:tblHeader/>
        </w:trPr>
        <w:tc>
          <w:tcPr>
            <w:tcW w:type="dxa" w:w="2268"/>
            <w:vAlign w:val="center"/>
            <w:shd w:fill="E8ED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8"/>
              </w:rPr>
              <w:t>样品</w:t>
            </w:r>
          </w:p>
        </w:tc>
        <w:tc>
          <w:tcPr>
            <w:tcW w:type="dxa" w:w="3515"/>
            <w:vAlign w:val="center"/>
            <w:shd w:fill="E8ED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8"/>
              </w:rPr>
              <w:t>R₁₀₄₇/₁₀₂₂及显著性字母</w:t>
            </w:r>
          </w:p>
        </w:tc>
        <w:tc>
          <w:tcPr>
            <w:tcW w:type="dxa" w:w="3515"/>
            <w:vAlign w:val="center"/>
            <w:shd w:fill="E8ED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8"/>
              </w:rPr>
              <w:t>相对结晶度 RC 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CS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0.86±0.05 a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20.44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M-CS4%</w:t>
            </w:r>
          </w:p>
        </w:tc>
        <w:tc>
          <w:tcPr>
            <w:tcW w:type="dxa" w:w="3515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0.70±0.04 b</w:t>
            </w:r>
          </w:p>
        </w:tc>
        <w:tc>
          <w:tcPr>
            <w:tcW w:type="dxa" w:w="3515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14.28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M-CS8%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0.61±0.02 c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10.60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M-CS12%</w:t>
            </w:r>
          </w:p>
        </w:tc>
        <w:tc>
          <w:tcPr>
            <w:tcW w:type="dxa" w:w="3515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0.61±0.05 c</w:t>
            </w:r>
          </w:p>
        </w:tc>
        <w:tc>
          <w:tcPr>
            <w:tcW w:type="dxa" w:w="3515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7.95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M-CS16%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0.51±0.02 d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6.34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WCS</w:t>
            </w:r>
          </w:p>
        </w:tc>
        <w:tc>
          <w:tcPr>
            <w:tcW w:type="dxa" w:w="3515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0.43±0.01 e</w:t>
            </w:r>
          </w:p>
        </w:tc>
        <w:tc>
          <w:tcPr>
            <w:tcW w:type="dxa" w:w="3515"/>
            <w:vAlign w:val="center"/>
            <w:shd w:fill="F6F7F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 w:line="276" w:lineRule="auto"/>
            </w:pPr>
            <w:r>
              <w:rPr>
                <w:b w:val="0"/>
                <w:sz w:val="18"/>
              </w:rPr>
              <w:t>3.42</w:t>
            </w:r>
          </w:p>
        </w:tc>
      </w:tr>
    </w:tbl>
    <w:p>
      <w:pPr>
        <w:ind w:firstLine="420"/>
      </w:pPr>
      <w:r>
        <w:t>同列相同显著性字母表示差异不显著。RC图内未提供标准差及显著性字母，因此不能为其补充统计结论。</w:t>
      </w:r>
    </w:p>
    <w:p>
      <w:pPr>
        <w:pStyle w:val="Heading1"/>
      </w:pPr>
      <w:r>
        <w:t>表述核对与文献适用范围</w:t>
      </w:r>
    </w:p>
    <w:p>
      <w:pPr>
        <w:ind w:firstLine="420"/>
      </w:pPr>
      <w:r>
        <w:t>数据根据9月30日原DOCX图3和图4的标注核对，不是重算原始光谱、积分面积或重复测量。FTIR应引用图3，XRD应引用图4；图片示例中的图6、图7应随最终全文编号统一调整。</w:t>
      </w:r>
    </w:p>
    <w:p>
      <w:pPr>
        <w:ind w:firstLine="420"/>
      </w:pPr>
      <w:r>
        <w:t>原图FTIR标注为3394.7、2930.4、1644.7、1159.6 cm⁻¹。原正文的1636 cm⁻¹与图标不一致；若保留峰位介绍，宜按图写约1645 cm⁻¹，最终仍应以原始谱图峰位表为准。</w:t>
      </w:r>
    </w:p>
    <w:p>
      <w:pPr>
        <w:ind w:firstLine="420"/>
      </w:pPr>
      <w:r>
        <w:t>截图的峰位未发生明显移位与旧稿的O—H向高波数移动不一致。现有图只给共同参考波数，不能可靠判断微小位移趋势。修订稿使用主要特征吸收带位于相近波数范围，不用峰位位移证明氢键减弱。</w:t>
      </w:r>
    </w:p>
    <w:p>
      <w:pPr>
        <w:ind w:firstLine="420"/>
      </w:pPr>
      <w:r>
        <w:t>约1645 cm⁻¹的吸收带与水分子的O—H弯曲振动有关，不能仅凭强度认定结合水含量增加。R₁₀₄₇/₁₀₂₂也不能直接写成双螺旋的绝对含量。</w:t>
      </w:r>
    </w:p>
    <w:p>
      <w:pPr>
        <w:ind w:firstLine="420"/>
      </w:pPr>
      <w:r>
        <w:t>原图R值附有标准差和显著性字母，可以判断8%与12%差异不显著；RC未显示重复误差或显著性标记，因此只报告数值变化，不自行写显著降低。</w:t>
      </w:r>
    </w:p>
    <w:p>
      <w:pPr>
        <w:ind w:firstLine="420"/>
      </w:pPr>
      <w:r>
        <w:t>Tian研究为米粉4℃储藏7 d，Koev研究采用121℃糊化及8 d储藏，Hirata的主要同步实验为马铃薯且使用SANS。它们是机制参照，不是本研究同条件验证。正文也不根据两个配方终点值宣称已测得有序结构形成的时间先后。</w:t>
      </w:r>
    </w:p>
    <w:p>
      <w:pPr>
        <w:ind w:firstLine="420"/>
      </w:pPr>
      <w:r>
        <w:t>本稿将讨论重点放在两尺度的有序结构；氢键和水分状态的展开可与前面的LF-NMR讨论衔接，避免在这一小节重复并分散主线。[1]—[3]为本小节参考文献编号，并入全文时应统一。</w:t>
      </w:r>
    </w:p>
    <w:p>
      <w:pPr>
        <w:pStyle w:val="Heading1"/>
      </w:pPr>
      <w:r>
        <w:t>参考文献</w:t>
      </w:r>
    </w:p>
    <w:p>
      <w:pPr>
        <w:ind w:firstLine="0"/>
      </w:pPr>
      <w:r>
        <w:t>[1] Tian J, Qin L, Zeng X, Ge P, Fan J, Zhu Y. The Role of Amylose in Gel Forming of Rice Flour. Foods. 2023;12(6):1210. DOI: https://doi.org/10.3390/foods12061210</w:t>
      </w:r>
    </w:p>
    <w:p>
      <w:pPr>
        <w:ind w:firstLine="0"/>
      </w:pPr>
      <w:r>
        <w:t>[2] Koev TT, Muñoz-García JC, Iuga D, Khimyak YZ, Warren FJ. Structural heterogeneities in starch hydrogels. Carbohydrate Polymers. 2020;249:116834. DOI: https://doi.org/10.1016/j.carbpol.2020.116834</w:t>
      </w:r>
    </w:p>
    <w:p>
      <w:pPr>
        <w:ind w:firstLine="0"/>
      </w:pPr>
      <w:r>
        <w:t>[3] Hirata Y, Kaneko F, Radulescu A, Nishizu T, Katsuno N, Imaizumi T, Motokawa R, Kumada T, Nakagawa H. Kinetics of Structural Changes in Starch Retrogradation Observed by Simultaneous SANS/FTIR-ATR Measurements. Journal of Applied Glycoscience. 2025;72(1):7201102. DOI: https://doi.org/10.5458/jag.7201102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erif CJK SC" w:hAnsi="Noto Serif CJK SC" w:eastAsia="Noto Serif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