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流变特性与打印性能的讨论重构</w:t>
      </w:r>
    </w:p>
    <w:p>
      <w:pPr>
        <w:widowControl/>
        <w:jc w:val="both"/>
      </w:pPr>
      <w:r>
        <w:rPr>
          <w:color w:val="000000"/>
        </w:rPr>
        <w:t>论文主线宜围绕WCS调节复合凝胶网络，使材料在挤出流动、沉积支撑与受扰动后的恢复之间取得平衡，再由单次及循环打印精度检验这一平衡。现有结果支持M-CS8%与M-CS12%具有较好的单次成型表现，并支持M-CS12%在三轮测试中保持较高精度；继续增加至16%并未带来更好的成型结果。</w:t>
      </w:r>
    </w:p>
    <w:p>
      <w:pPr>
        <w:pStyle w:val="Heading1"/>
      </w:pPr>
      <w:r>
        <w:t>论文整体的论证顺序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969"/>
        <w:gridCol w:w="3742"/>
      </w:tblGrid>
      <w:tr>
        <w:trPr>
          <w:cantSplit/>
          <w:tblHeader/>
        </w:trPr>
        <w:tc>
          <w:tcPr>
            <w:tcW w:type="dxa" w:w="1701"/>
            <w:vAlign w:val="center"/>
            <w:tcMar>
              <w:top w:w="70" w:type="dxa"/>
              <w:bottom w:w="70" w:type="dxa"/>
              <w:left w:w="90" w:type="dxa"/>
              <w:right w:w="90" w:type="dxa"/>
            </w:tcMar>
            <w:shd w:fill="E8EDF2"/>
          </w:tcPr>
          <w:p>
            <w:pPr>
              <w:spacing w:after="0" w:line="276" w:lineRule="auto"/>
            </w:pPr>
            <w:r>
              <w:rPr>
                <w:b/>
                <w:color w:val="000000"/>
                <w:sz w:val="19"/>
              </w:rPr>
              <w:t>讨论单元</w:t>
            </w:r>
          </w:p>
        </w:tc>
        <w:tc>
          <w:tcPr>
            <w:tcW w:type="dxa" w:w="3969"/>
            <w:vAlign w:val="center"/>
            <w:tcMar>
              <w:top w:w="70" w:type="dxa"/>
              <w:bottom w:w="70" w:type="dxa"/>
              <w:left w:w="90" w:type="dxa"/>
              <w:right w:w="90" w:type="dxa"/>
            </w:tcMar>
            <w:shd w:fill="E8EDF2"/>
          </w:tcPr>
          <w:p>
            <w:pPr>
              <w:spacing w:after="0" w:line="276" w:lineRule="auto"/>
            </w:pPr>
            <w:r>
              <w:rPr>
                <w:b/>
                <w:color w:val="000000"/>
                <w:sz w:val="19"/>
              </w:rPr>
              <w:t>需要回答的问题</w:t>
            </w:r>
          </w:p>
        </w:tc>
        <w:tc>
          <w:tcPr>
            <w:tcW w:type="dxa" w:w="3742"/>
            <w:vAlign w:val="center"/>
            <w:tcMar>
              <w:top w:w="70" w:type="dxa"/>
              <w:bottom w:w="70" w:type="dxa"/>
              <w:left w:w="90" w:type="dxa"/>
              <w:right w:w="90" w:type="dxa"/>
            </w:tcMar>
            <w:shd w:fill="E8EDF2"/>
          </w:tcPr>
          <w:p>
            <w:pPr>
              <w:spacing w:after="0" w:line="276" w:lineRule="auto"/>
            </w:pPr>
            <w:r>
              <w:rPr>
                <w:b/>
                <w:color w:val="000000"/>
                <w:sz w:val="19"/>
              </w:rPr>
              <w:t>对下一节的作用</w:t>
            </w:r>
          </w:p>
        </w:tc>
      </w:tr>
      <w:tr>
        <w:trPr>
          <w:cantSplit/>
        </w:trPr>
        <w:tc>
          <w:tcPr>
            <w:tcW w:type="dxa" w:w="1701"/>
            <w:vAlign w:val="center"/>
            <w:tcMar>
              <w:top w:w="70" w:type="dxa"/>
              <w:bottom w:w="70" w:type="dxa"/>
              <w:left w:w="90" w:type="dxa"/>
              <w:right w:w="90" w:type="dxa"/>
            </w:tcMar>
          </w:tcPr>
          <w:p>
            <w:pPr>
              <w:spacing w:after="0" w:line="276" w:lineRule="auto"/>
            </w:pPr>
            <w:r>
              <w:rPr>
                <w:b w:val="0"/>
                <w:color w:val="000000"/>
                <w:sz w:val="19"/>
              </w:rPr>
              <w:t>糊化与质地</w:t>
            </w:r>
          </w:p>
        </w:tc>
        <w:tc>
          <w:tcPr>
            <w:tcW w:type="dxa" w:w="3969"/>
            <w:vAlign w:val="center"/>
            <w:tcMar>
              <w:top w:w="70" w:type="dxa"/>
              <w:bottom w:w="70" w:type="dxa"/>
              <w:left w:w="90" w:type="dxa"/>
              <w:right w:w="90" w:type="dxa"/>
            </w:tcMar>
          </w:tcPr>
          <w:p>
            <w:pPr>
              <w:spacing w:after="0" w:line="276" w:lineRule="auto"/>
            </w:pPr>
            <w:r>
              <w:rPr>
                <w:b w:val="0"/>
                <w:color w:val="000000"/>
                <w:sz w:val="19"/>
              </w:rPr>
              <w:t>加热与冷却后，网络形成和宏观抗变形响应如何变化</w:t>
            </w:r>
          </w:p>
        </w:tc>
        <w:tc>
          <w:tcPr>
            <w:tcW w:type="dxa" w:w="3742"/>
            <w:vAlign w:val="center"/>
            <w:tcMar>
              <w:top w:w="70" w:type="dxa"/>
              <w:bottom w:w="70" w:type="dxa"/>
              <w:left w:w="90" w:type="dxa"/>
              <w:right w:w="90" w:type="dxa"/>
            </w:tcMar>
          </w:tcPr>
          <w:p>
            <w:pPr>
              <w:spacing w:after="0" w:line="276" w:lineRule="auto"/>
            </w:pPr>
            <w:r>
              <w:rPr>
                <w:b w:val="0"/>
                <w:color w:val="000000"/>
                <w:sz w:val="19"/>
              </w:rPr>
              <w:t>提出凝胶网络存在差异</w:t>
            </w:r>
          </w:p>
        </w:tc>
      </w:tr>
      <w:tr>
        <w:trPr>
          <w:cantSplit/>
        </w:trPr>
        <w:tc>
          <w:tcPr>
            <w:tcW w:type="dxa" w:w="1701"/>
            <w:vAlign w:val="center"/>
            <w:tcMar>
              <w:top w:w="70" w:type="dxa"/>
              <w:bottom w:w="70" w:type="dxa"/>
              <w:left w:w="90" w:type="dxa"/>
              <w:right w:w="90" w:type="dxa"/>
            </w:tcMar>
          </w:tcPr>
          <w:p>
            <w:pPr>
              <w:spacing w:after="0" w:line="276" w:lineRule="auto"/>
            </w:pPr>
            <w:r>
              <w:rPr>
                <w:b w:val="0"/>
                <w:color w:val="000000"/>
                <w:sz w:val="19"/>
              </w:rPr>
              <w:t>水分分布与微观形貌</w:t>
            </w:r>
          </w:p>
        </w:tc>
        <w:tc>
          <w:tcPr>
            <w:tcW w:type="dxa" w:w="3969"/>
            <w:vAlign w:val="center"/>
            <w:tcMar>
              <w:top w:w="70" w:type="dxa"/>
              <w:bottom w:w="70" w:type="dxa"/>
              <w:left w:w="90" w:type="dxa"/>
              <w:right w:w="90" w:type="dxa"/>
            </w:tcMar>
          </w:tcPr>
          <w:p>
            <w:pPr>
              <w:spacing w:after="0" w:line="276" w:lineRule="auto"/>
            </w:pPr>
            <w:r>
              <w:rPr>
                <w:b w:val="0"/>
                <w:color w:val="000000"/>
                <w:sz w:val="19"/>
              </w:rPr>
              <w:t>水分运动受限程度及网络形貌如何变化</w:t>
            </w:r>
          </w:p>
        </w:tc>
        <w:tc>
          <w:tcPr>
            <w:tcW w:type="dxa" w:w="3742"/>
            <w:vAlign w:val="center"/>
            <w:tcMar>
              <w:top w:w="70" w:type="dxa"/>
              <w:bottom w:w="70" w:type="dxa"/>
              <w:left w:w="90" w:type="dxa"/>
              <w:right w:w="90" w:type="dxa"/>
            </w:tcMar>
          </w:tcPr>
          <w:p>
            <w:pPr>
              <w:spacing w:after="0" w:line="276" w:lineRule="auto"/>
            </w:pPr>
            <w:r>
              <w:rPr>
                <w:b w:val="0"/>
                <w:color w:val="000000"/>
                <w:sz w:val="19"/>
              </w:rPr>
              <w:t>补充水状态与形貌依据</w:t>
            </w:r>
          </w:p>
        </w:tc>
      </w:tr>
      <w:tr>
        <w:trPr>
          <w:cantSplit/>
        </w:trPr>
        <w:tc>
          <w:tcPr>
            <w:tcW w:type="dxa" w:w="1701"/>
            <w:vAlign w:val="center"/>
            <w:tcMar>
              <w:top w:w="70" w:type="dxa"/>
              <w:bottom w:w="70" w:type="dxa"/>
              <w:left w:w="90" w:type="dxa"/>
              <w:right w:w="90" w:type="dxa"/>
            </w:tcMar>
          </w:tcPr>
          <w:p>
            <w:pPr>
              <w:spacing w:after="0" w:line="276" w:lineRule="auto"/>
            </w:pPr>
            <w:r>
              <w:rPr>
                <w:b w:val="0"/>
                <w:color w:val="000000"/>
                <w:sz w:val="19"/>
              </w:rPr>
              <w:t>FTIR与XRD</w:t>
            </w:r>
          </w:p>
        </w:tc>
        <w:tc>
          <w:tcPr>
            <w:tcW w:type="dxa" w:w="3969"/>
            <w:vAlign w:val="center"/>
            <w:tcMar>
              <w:top w:w="70" w:type="dxa"/>
              <w:bottom w:w="70" w:type="dxa"/>
              <w:left w:w="90" w:type="dxa"/>
              <w:right w:w="90" w:type="dxa"/>
            </w:tcMar>
          </w:tcPr>
          <w:p>
            <w:pPr>
              <w:spacing w:after="0" w:line="276" w:lineRule="auto"/>
            </w:pPr>
            <w:r>
              <w:rPr>
                <w:b w:val="0"/>
                <w:color w:val="000000"/>
                <w:sz w:val="19"/>
              </w:rPr>
              <w:t>短程有序程度和长程结晶有序性如何变化</w:t>
            </w:r>
          </w:p>
        </w:tc>
        <w:tc>
          <w:tcPr>
            <w:tcW w:type="dxa" w:w="3742"/>
            <w:vAlign w:val="center"/>
            <w:tcMar>
              <w:top w:w="70" w:type="dxa"/>
              <w:bottom w:w="70" w:type="dxa"/>
              <w:left w:w="90" w:type="dxa"/>
              <w:right w:w="90" w:type="dxa"/>
            </w:tcMar>
          </w:tcPr>
          <w:p>
            <w:pPr>
              <w:spacing w:after="0" w:line="276" w:lineRule="auto"/>
            </w:pPr>
            <w:r>
              <w:rPr>
                <w:b w:val="0"/>
                <w:color w:val="000000"/>
                <w:sz w:val="19"/>
              </w:rPr>
              <w:t>提供网络差异的结构依据</w:t>
            </w:r>
          </w:p>
        </w:tc>
      </w:tr>
      <w:tr>
        <w:trPr>
          <w:cantSplit/>
        </w:trPr>
        <w:tc>
          <w:tcPr>
            <w:tcW w:type="dxa" w:w="1701"/>
            <w:vAlign w:val="center"/>
            <w:tcMar>
              <w:top w:w="70" w:type="dxa"/>
              <w:bottom w:w="70" w:type="dxa"/>
              <w:left w:w="90" w:type="dxa"/>
              <w:right w:w="90" w:type="dxa"/>
            </w:tcMar>
          </w:tcPr>
          <w:p>
            <w:pPr>
              <w:spacing w:after="0" w:line="276" w:lineRule="auto"/>
            </w:pPr>
            <w:r>
              <w:rPr>
                <w:b w:val="0"/>
                <w:color w:val="000000"/>
                <w:sz w:val="19"/>
              </w:rPr>
              <w:t>流变特性</w:t>
            </w:r>
          </w:p>
        </w:tc>
        <w:tc>
          <w:tcPr>
            <w:tcW w:type="dxa" w:w="3969"/>
            <w:vAlign w:val="center"/>
            <w:tcMar>
              <w:top w:w="70" w:type="dxa"/>
              <w:bottom w:w="70" w:type="dxa"/>
              <w:left w:w="90" w:type="dxa"/>
              <w:right w:w="90" w:type="dxa"/>
            </w:tcMar>
          </w:tcPr>
          <w:p>
            <w:pPr>
              <w:spacing w:after="0" w:line="276" w:lineRule="auto"/>
            </w:pPr>
            <w:r>
              <w:rPr>
                <w:b w:val="0"/>
                <w:color w:val="000000"/>
                <w:sz w:val="19"/>
              </w:rPr>
              <w:t>材料如何承载、受力流动并在扰动后恢复</w:t>
            </w:r>
          </w:p>
        </w:tc>
        <w:tc>
          <w:tcPr>
            <w:tcW w:type="dxa" w:w="3742"/>
            <w:vAlign w:val="center"/>
            <w:tcMar>
              <w:top w:w="70" w:type="dxa"/>
              <w:bottom w:w="70" w:type="dxa"/>
              <w:left w:w="90" w:type="dxa"/>
              <w:right w:w="90" w:type="dxa"/>
            </w:tcMar>
          </w:tcPr>
          <w:p>
            <w:pPr>
              <w:spacing w:after="0" w:line="276" w:lineRule="auto"/>
            </w:pPr>
            <w:r>
              <w:rPr>
                <w:b w:val="0"/>
                <w:color w:val="000000"/>
                <w:sz w:val="19"/>
              </w:rPr>
              <w:t>连接结构差异与挤出成型</w:t>
            </w:r>
          </w:p>
        </w:tc>
      </w:tr>
      <w:tr>
        <w:trPr>
          <w:cantSplit/>
        </w:trPr>
        <w:tc>
          <w:tcPr>
            <w:tcW w:type="dxa" w:w="1701"/>
            <w:vAlign w:val="center"/>
            <w:tcMar>
              <w:top w:w="70" w:type="dxa"/>
              <w:bottom w:w="70" w:type="dxa"/>
              <w:left w:w="90" w:type="dxa"/>
              <w:right w:w="90" w:type="dxa"/>
            </w:tcMar>
          </w:tcPr>
          <w:p>
            <w:pPr>
              <w:spacing w:after="0" w:line="276" w:lineRule="auto"/>
            </w:pPr>
            <w:r>
              <w:rPr>
                <w:b w:val="0"/>
                <w:color w:val="000000"/>
                <w:sz w:val="19"/>
              </w:rPr>
              <w:t>3D打印与循环打印</w:t>
            </w:r>
          </w:p>
        </w:tc>
        <w:tc>
          <w:tcPr>
            <w:tcW w:type="dxa" w:w="3969"/>
            <w:vAlign w:val="center"/>
            <w:tcMar>
              <w:top w:w="70" w:type="dxa"/>
              <w:bottom w:w="70" w:type="dxa"/>
              <w:left w:w="90" w:type="dxa"/>
              <w:right w:w="90" w:type="dxa"/>
            </w:tcMar>
          </w:tcPr>
          <w:p>
            <w:pPr>
              <w:spacing w:after="0" w:line="276" w:lineRule="auto"/>
            </w:pPr>
            <w:r>
              <w:rPr>
                <w:b w:val="0"/>
                <w:color w:val="000000"/>
                <w:sz w:val="19"/>
              </w:rPr>
              <w:t>线条与模型能否准确成型，重复使用后精度能否保持</w:t>
            </w:r>
          </w:p>
        </w:tc>
        <w:tc>
          <w:tcPr>
            <w:tcW w:type="dxa" w:w="3742"/>
            <w:vAlign w:val="center"/>
            <w:tcMar>
              <w:top w:w="70" w:type="dxa"/>
              <w:bottom w:w="70" w:type="dxa"/>
              <w:left w:w="90" w:type="dxa"/>
              <w:right w:w="90" w:type="dxa"/>
            </w:tcMar>
          </w:tcPr>
          <w:p>
            <w:pPr>
              <w:spacing w:after="0" w:line="276" w:lineRule="auto"/>
            </w:pPr>
            <w:r>
              <w:rPr>
                <w:b w:val="0"/>
                <w:color w:val="000000"/>
                <w:sz w:val="19"/>
              </w:rPr>
              <w:t>验证配方的实际功能及边界</w:t>
            </w:r>
          </w:p>
        </w:tc>
      </w:tr>
      <w:tr>
        <w:trPr>
          <w:cantSplit/>
        </w:trPr>
        <w:tc>
          <w:tcPr>
            <w:tcW w:type="dxa" w:w="1701"/>
            <w:vAlign w:val="center"/>
            <w:tcMar>
              <w:top w:w="70" w:type="dxa"/>
              <w:bottom w:w="70" w:type="dxa"/>
              <w:left w:w="90" w:type="dxa"/>
              <w:right w:w="90" w:type="dxa"/>
            </w:tcMar>
          </w:tcPr>
          <w:p>
            <w:pPr>
              <w:spacing w:after="0" w:line="276" w:lineRule="auto"/>
            </w:pPr>
            <w:r>
              <w:rPr>
                <w:b w:val="0"/>
                <w:color w:val="000000"/>
                <w:sz w:val="19"/>
              </w:rPr>
              <w:t>参数优化与4D打印</w:t>
            </w:r>
          </w:p>
        </w:tc>
        <w:tc>
          <w:tcPr>
            <w:tcW w:type="dxa" w:w="3969"/>
            <w:vAlign w:val="center"/>
            <w:tcMar>
              <w:top w:w="70" w:type="dxa"/>
              <w:bottom w:w="70" w:type="dxa"/>
              <w:left w:w="90" w:type="dxa"/>
              <w:right w:w="90" w:type="dxa"/>
            </w:tcMar>
          </w:tcPr>
          <w:p>
            <w:pPr>
              <w:spacing w:after="0" w:line="276" w:lineRule="auto"/>
            </w:pPr>
            <w:r>
              <w:rPr>
                <w:b w:val="0"/>
                <w:color w:val="000000"/>
                <w:sz w:val="19"/>
              </w:rPr>
              <w:t>较佳配方如何在工艺及响应性应用中发挥作用</w:t>
            </w:r>
          </w:p>
        </w:tc>
        <w:tc>
          <w:tcPr>
            <w:tcW w:type="dxa" w:w="3742"/>
            <w:vAlign w:val="center"/>
            <w:tcMar>
              <w:top w:w="70" w:type="dxa"/>
              <w:bottom w:w="70" w:type="dxa"/>
              <w:left w:w="90" w:type="dxa"/>
              <w:right w:w="90" w:type="dxa"/>
            </w:tcMar>
          </w:tcPr>
          <w:p>
            <w:pPr>
              <w:spacing w:after="0" w:line="276" w:lineRule="auto"/>
            </w:pPr>
            <w:r>
              <w:rPr>
                <w:b w:val="0"/>
                <w:color w:val="000000"/>
                <w:sz w:val="19"/>
              </w:rPr>
              <w:t>作为最后的应用讨论</w:t>
            </w:r>
          </w:p>
        </w:tc>
      </w:tr>
    </w:tbl>
    <w:p>
      <w:pPr>
        <w:spacing w:after="40"/>
      </w:pPr>
    </w:p>
    <w:p>
      <w:pPr>
        <w:widowControl/>
        <w:jc w:val="both"/>
      </w:pPr>
      <w:r>
        <w:rPr>
          <w:color w:val="000000"/>
        </w:rPr>
        <w:t>这样安排，每一节都回答前一节留下的新问题：先确认性质差异，再寻找结构依据，接着用流变解释加工响应，最后用打印结果验证。FTIR与XRD的终点表征只能作为结构依据，不能直接证明冷却重排的速率或打印过程中网络变化的因果关系。</w:t>
      </w:r>
    </w:p>
    <w:p>
      <w:pPr>
        <w:widowControl/>
        <w:jc w:val="both"/>
      </w:pPr>
      <w:r>
        <w:rPr>
          <w:color w:val="000000"/>
        </w:rPr>
        <w:t>流变小节保留两段即可。第一段整合应力扫描与稳态剪切，讨论承载与流动；第二段讨论交替应变后的恢复。两段都采用现象描述、文献佐证、原因解释、前后关联的顺序。无需再按三个测试名称各写一个独立小节。</w:t>
      </w:r>
    </w:p>
    <w:p>
      <w:pPr>
        <w:widowControl/>
        <w:jc w:val="both"/>
      </w:pPr>
      <w:r>
        <w:rPr>
          <w:color w:val="000000"/>
        </w:rPr>
        <w:t>水分运动更受限与凝胶硬度、G′降低可以同时出现。前者描述水状态，后者描述机械承载响应，不能以水分束缚增强直接推导承载网络增强。RVA峰值黏度或崩解值也不能替代成胶后的稳态剪切结果。</w:t>
      </w:r>
    </w:p>
    <w:p>
      <w:r>
        <w:br w:type="page"/>
      </w:r>
    </w:p>
    <w:p>
      <w:pPr>
        <w:pStyle w:val="Heading1"/>
      </w:pPr>
      <w:r>
        <w:t>建议替换的流变正文</w:t>
      </w:r>
    </w:p>
    <w:p>
      <w:pPr>
        <w:pStyle w:val="Heading2"/>
      </w:pPr>
      <w:r>
        <w:t>流变特性</w:t>
      </w:r>
    </w:p>
    <w:p>
      <w:pPr>
        <w:widowControl/>
        <w:ind w:firstLine="420"/>
        <w:jc w:val="both"/>
      </w:pPr>
      <w:r>
        <w:rPr>
          <w:color w:val="000000"/>
        </w:rPr>
        <w:t>为进一步明确前述有序结构及凝胶质地差异对受力响应的影响，对复合凝胶的黏弹性、剪切流动及受扰动后的恢复能力进行分析。应力扫描显示，在1～100 Pa的低应力范围内，各样品均表现为G′＞G″；随WCS添加量增加，同一低应力下的G′降低，G′与G″交点对应的流动应力τf由CS的995.53 Pa降至M-CS16%的232.70 Pa（图5a、表3）。稳态剪切结果显示，所有样品的表观黏度均随剪切速率增加而降低，且在实测区间内，同一剪切速率下的黏度随WCS增加总体下降；幂律拟合的n由0.09升至0.31，仍小于1，说明体系保持剪切变稀，但其程度有所减弱，K的拟合值由499.27降至118.63（图5b、表3）。Koev等在玉米淀粉凝胶中发现，直链淀粉含量与G′呈正相关，并将网络刚性与链间再缔合及连接区形成联系起来[1]。Cheng等进一步指出，高直链淀粉凝胶具有较强支撑能力，但可能出现挤出困难，而蜡质淀粉凝胶连续挤出较好却支撑不足[2]。这可能是WCS引入后直链淀粉相对减少，降低了线性链段对链间再缔合和网络连接区形成的贡献，使凝胶的弹性承载响应减弱[1]；结合实测黏度及τf降低，提示体系抵抗流动的能力下降，但成型仍需保留足够的沉积支撑[2,3]。这些结果与前述冷却阶段黏度回升幅度减小、硬度降低及有序程度下降相呼应，并为下文检验挤出连续性和沉积后的保形能力提供流变依据。</w:t>
      </w:r>
    </w:p>
    <w:p>
      <w:pPr>
        <w:widowControl/>
        <w:ind w:firstLine="420"/>
        <w:jc w:val="both"/>
      </w:pPr>
      <w:r>
        <w:rPr>
          <w:color w:val="000000"/>
        </w:rPr>
        <w:t>交替应变扫描显示，各样品在低应变阶段表现为G′＞G″，高应变阶段G′下降并低于G″，恢复低应变后G′回升并再次高于G″（图5c）。第一次扰动后的SRR₃–₁由CS的94.75%降至M-CS16%的88.37%；第二次扰动后的SRR₅–₃为98.84%～100.92%（表3）。两者分别以第一阶段和第三阶段的G′为参照，后一比例接近100%说明相对于前一恢复阶段的模量保持较好，不能据此判定网络增强或恢复更快。Zhuang等在淀粉基复合凝胶中观察到剪切后的恢复现象，并讨论了弱物理关联及聚集结构受剪切扰动的过程[4]。Xu等则发现，较高恢复比例的竹芋淀粉凝胶仍可能因G′偏低而塌陷，表明恢复比例应与恢复后的绝对支撑共同评价[3]。本研究中G′先降低后回升，可能反映了部分物理关联在强扰动下受损、随后发生结构恢复的过程[4]，但不能仅凭该结果确定具体氢键的重建或新增连接区的形成。上述可恢复性为材料经历挤出后重新获得弹性支撑提供流变依据，而持续保形及可循环打印能力仍应结合下文的模型精度和各轮实际打印结果评价[3,5]。</w:t>
      </w:r>
    </w:p>
    <w:p>
      <w:pPr>
        <w:widowControl/>
        <w:jc w:val="both"/>
      </w:pPr>
      <w:r>
        <w:rPr>
          <w:color w:val="000000"/>
          <w:sz w:val="18"/>
        </w:rPr>
        <w:t>图5与表3沿用流变稿编号。引文[1]～[6]为本文件的局部编号，整合入全文时应与参考文献管理库统一。恢复率按8月21日原稿的公式解释；阶段G′的取值方式及实际测量范围须在方法中明确。</w:t>
      </w:r>
    </w:p>
    <w:p>
      <w:r>
        <w:br w:type="page"/>
      </w:r>
    </w:p>
    <w:p>
      <w:pPr>
        <w:pStyle w:val="Heading1"/>
      </w:pPr>
      <w:r>
        <w:t>与后续打印讨论的衔接</w:t>
      </w:r>
    </w:p>
    <w:p>
      <w:pPr>
        <w:pStyle w:val="Heading2"/>
      </w:pPr>
      <w:r>
        <w:t>3D打印性能</w:t>
      </w:r>
    </w:p>
    <w:p>
      <w:pPr>
        <w:widowControl/>
        <w:ind w:firstLine="420"/>
        <w:jc w:val="both"/>
      </w:pPr>
      <w:r>
        <w:rPr>
          <w:color w:val="000000"/>
        </w:rPr>
        <w:t>实际打印结果进一步检验了上述流动与支撑之间的平衡。M-CS8%与M-CS12%的杯形模型精度分别为94.33%和97.00%，立方体模型精度分别为95.00%和96.33%，在两种模型中均属于同一较高精度统计组；M-CS16%的对应精度降至89.00%和90.33%，并表现出高度不足。Cheng等发现，较高直链淀粉含量有利于支撑，却可能限制连续挤出；蜡质淀粉凝胶易于挤出但支撑不足[2]。Xu等也指出，G′偏低和偏高分别可能导致塌陷和挤出困难[3]。本研究中，适量WCS可能通过降低流动阻力、同时保留必要的弹性承载而改善成型；添加量继续增大时，承载响应减弱可能限制沉积层的形态保持[2,3]。因此，较佳打印精度应理解为流动与支撑共同匹配的结果，不能仅由较低的黏度、τf或较细的线宽解释。</w:t>
      </w:r>
    </w:p>
    <w:p>
      <w:pPr>
        <w:pStyle w:val="Heading2"/>
      </w:pPr>
      <w:r>
        <w:t>循环打印</w:t>
      </w:r>
    </w:p>
    <w:p>
      <w:pPr>
        <w:widowControl/>
        <w:ind w:firstLine="420"/>
        <w:jc w:val="both"/>
      </w:pPr>
      <w:r>
        <w:rPr>
          <w:color w:val="000000"/>
        </w:rPr>
        <w:t>循环打印进一步考察了该成型表现能否在重复使用后保持。M-CS12%三轮打印精度依次为96.01±0.35%、95.37±0.73%和95.02±0.26%，保持较高水平；M-CS16%则为88.92±2.94%、83.22±0.97%和85.22±0.34%。Demircan等在植物肉食品墨水中发现，所有配方均具有剪切变稀及G′＞G″的特征，但仅部分配方具有再打印能力，说明基础流变特征不能替代实际再打印验证[5]。M-CS12%的精度保持，可能与其适宜的流动性、仍保留的弹性承载和受扰动后的可恢复性共同有关[2–4]；这一解释与前述流变响应相一致，但交替应变测试本身并未模拟完整的制品回收过程。上述结果与单次打印的较佳表现形成连续证据，支持M-CS12%在本研究三轮测试条件下的重复使用潜力。</w:t>
      </w:r>
    </w:p>
    <w:p>
      <w:pPr>
        <w:pStyle w:val="Heading2"/>
      </w:pPr>
      <w:r>
        <w:t>需要补充的文献方向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535"/>
        <w:gridCol w:w="2835"/>
      </w:tblGrid>
      <w:tr>
        <w:trPr>
          <w:cantSplit/>
          <w:tblHeader/>
        </w:trPr>
        <w:tc>
          <w:tcPr>
            <w:tcW w:type="dxa" w:w="2041"/>
            <w:vAlign w:val="center"/>
            <w:tcMar>
              <w:top w:w="70" w:type="dxa"/>
              <w:bottom w:w="70" w:type="dxa"/>
              <w:left w:w="90" w:type="dxa"/>
              <w:right w:w="90" w:type="dxa"/>
            </w:tcMar>
            <w:shd w:fill="E8EDF2"/>
          </w:tcPr>
          <w:p>
            <w:pPr>
              <w:spacing w:after="0" w:line="276" w:lineRule="auto"/>
            </w:pPr>
            <w:r>
              <w:rPr>
                <w:b/>
                <w:color w:val="000000"/>
                <w:sz w:val="19"/>
              </w:rPr>
              <w:t>补充方向</w:t>
            </w:r>
          </w:p>
        </w:tc>
        <w:tc>
          <w:tcPr>
            <w:tcW w:type="dxa" w:w="4535"/>
            <w:vAlign w:val="center"/>
            <w:tcMar>
              <w:top w:w="70" w:type="dxa"/>
              <w:bottom w:w="70" w:type="dxa"/>
              <w:left w:w="90" w:type="dxa"/>
              <w:right w:w="90" w:type="dxa"/>
            </w:tcMar>
            <w:shd w:fill="E8EDF2"/>
          </w:tcPr>
          <w:p>
            <w:pPr>
              <w:spacing w:after="0" w:line="276" w:lineRule="auto"/>
            </w:pPr>
            <w:r>
              <w:rPr>
                <w:b/>
                <w:color w:val="000000"/>
                <w:sz w:val="19"/>
              </w:rPr>
              <w:t>优先证据</w:t>
            </w:r>
          </w:p>
        </w:tc>
        <w:tc>
          <w:tcPr>
            <w:tcW w:type="dxa" w:w="2835"/>
            <w:vAlign w:val="center"/>
            <w:tcMar>
              <w:top w:w="70" w:type="dxa"/>
              <w:bottom w:w="70" w:type="dxa"/>
              <w:left w:w="90" w:type="dxa"/>
              <w:right w:w="90" w:type="dxa"/>
            </w:tcMar>
            <w:shd w:fill="E8EDF2"/>
          </w:tcPr>
          <w:p>
            <w:pPr>
              <w:spacing w:after="0" w:line="276" w:lineRule="auto"/>
            </w:pPr>
            <w:r>
              <w:rPr>
                <w:b/>
                <w:color w:val="000000"/>
                <w:sz w:val="19"/>
              </w:rPr>
              <w:t>放置位置</w:t>
            </w:r>
          </w:p>
        </w:tc>
      </w:tr>
      <w:tr>
        <w:trPr>
          <w:cantSplit/>
        </w:trPr>
        <w:tc>
          <w:tcPr>
            <w:tcW w:type="dxa" w:w="2041"/>
            <w:vAlign w:val="center"/>
            <w:tcMar>
              <w:top w:w="70" w:type="dxa"/>
              <w:bottom w:w="70" w:type="dxa"/>
              <w:left w:w="90" w:type="dxa"/>
              <w:right w:w="90" w:type="dxa"/>
            </w:tcMar>
          </w:tcPr>
          <w:p>
            <w:pPr>
              <w:spacing w:after="0" w:line="276" w:lineRule="auto"/>
            </w:pPr>
            <w:r>
              <w:rPr>
                <w:b w:val="0"/>
                <w:color w:val="000000"/>
                <w:sz w:val="19"/>
              </w:rPr>
              <w:t>组成与网络承载</w:t>
            </w:r>
          </w:p>
        </w:tc>
        <w:tc>
          <w:tcPr>
            <w:tcW w:type="dxa" w:w="4535"/>
            <w:vAlign w:val="center"/>
            <w:tcMar>
              <w:top w:w="70" w:type="dxa"/>
              <w:bottom w:w="70" w:type="dxa"/>
              <w:left w:w="90" w:type="dxa"/>
              <w:right w:w="90" w:type="dxa"/>
            </w:tcMar>
          </w:tcPr>
          <w:p>
            <w:pPr>
              <w:spacing w:after="0" w:line="276" w:lineRule="auto"/>
            </w:pPr>
            <w:r>
              <w:rPr>
                <w:b w:val="0"/>
                <w:color w:val="000000"/>
                <w:sz w:val="19"/>
              </w:rPr>
              <w:t>同类玉米淀粉的直链比例、链间缔合与G′关系[1,2]</w:t>
            </w:r>
          </w:p>
        </w:tc>
        <w:tc>
          <w:tcPr>
            <w:tcW w:type="dxa" w:w="2835"/>
            <w:vAlign w:val="center"/>
            <w:tcMar>
              <w:top w:w="70" w:type="dxa"/>
              <w:bottom w:w="70" w:type="dxa"/>
              <w:left w:w="90" w:type="dxa"/>
              <w:right w:w="90" w:type="dxa"/>
            </w:tcMar>
          </w:tcPr>
          <w:p>
            <w:pPr>
              <w:spacing w:after="0" w:line="276" w:lineRule="auto"/>
            </w:pPr>
            <w:r>
              <w:rPr>
                <w:b w:val="0"/>
                <w:color w:val="000000"/>
                <w:sz w:val="19"/>
              </w:rPr>
              <w:t>G′降低的原因句后</w:t>
            </w:r>
          </w:p>
        </w:tc>
      </w:tr>
      <w:tr>
        <w:trPr>
          <w:cantSplit/>
        </w:trPr>
        <w:tc>
          <w:tcPr>
            <w:tcW w:type="dxa" w:w="2041"/>
            <w:vAlign w:val="center"/>
            <w:tcMar>
              <w:top w:w="70" w:type="dxa"/>
              <w:bottom w:w="70" w:type="dxa"/>
              <w:left w:w="90" w:type="dxa"/>
              <w:right w:w="90" w:type="dxa"/>
            </w:tcMar>
          </w:tcPr>
          <w:p>
            <w:pPr>
              <w:spacing w:after="0" w:line="276" w:lineRule="auto"/>
            </w:pPr>
            <w:r>
              <w:rPr>
                <w:b w:val="0"/>
                <w:color w:val="000000"/>
                <w:sz w:val="19"/>
              </w:rPr>
              <w:t>流动与支撑平衡</w:t>
            </w:r>
          </w:p>
        </w:tc>
        <w:tc>
          <w:tcPr>
            <w:tcW w:type="dxa" w:w="4535"/>
            <w:vAlign w:val="center"/>
            <w:tcMar>
              <w:top w:w="70" w:type="dxa"/>
              <w:bottom w:w="70" w:type="dxa"/>
              <w:left w:w="90" w:type="dxa"/>
              <w:right w:w="90" w:type="dxa"/>
            </w:tcMar>
          </w:tcPr>
          <w:p>
            <w:pPr>
              <w:spacing w:after="0" w:line="276" w:lineRule="auto"/>
            </w:pPr>
            <w:r>
              <w:rPr>
                <w:b w:val="0"/>
                <w:color w:val="000000"/>
                <w:sz w:val="19"/>
              </w:rPr>
              <w:t>同时报告流变和实体成型的淀粉研究[2,3,6]</w:t>
            </w:r>
          </w:p>
        </w:tc>
        <w:tc>
          <w:tcPr>
            <w:tcW w:type="dxa" w:w="2835"/>
            <w:vAlign w:val="center"/>
            <w:tcMar>
              <w:top w:w="70" w:type="dxa"/>
              <w:bottom w:w="70" w:type="dxa"/>
              <w:left w:w="90" w:type="dxa"/>
              <w:right w:w="90" w:type="dxa"/>
            </w:tcMar>
          </w:tcPr>
          <w:p>
            <w:pPr>
              <w:spacing w:after="0" w:line="276" w:lineRule="auto"/>
            </w:pPr>
            <w:r>
              <w:rPr>
                <w:b w:val="0"/>
                <w:color w:val="000000"/>
                <w:sz w:val="19"/>
              </w:rPr>
              <w:t>流动解释及打印讨论</w:t>
            </w:r>
          </w:p>
        </w:tc>
      </w:tr>
      <w:tr>
        <w:trPr>
          <w:cantSplit/>
        </w:trPr>
        <w:tc>
          <w:tcPr>
            <w:tcW w:type="dxa" w:w="2041"/>
            <w:vAlign w:val="center"/>
            <w:tcMar>
              <w:top w:w="70" w:type="dxa"/>
              <w:bottom w:w="70" w:type="dxa"/>
              <w:left w:w="90" w:type="dxa"/>
              <w:right w:w="90" w:type="dxa"/>
            </w:tcMar>
          </w:tcPr>
          <w:p>
            <w:pPr>
              <w:spacing w:after="0" w:line="276" w:lineRule="auto"/>
            </w:pPr>
            <w:r>
              <w:rPr>
                <w:b w:val="0"/>
                <w:color w:val="000000"/>
                <w:sz w:val="19"/>
              </w:rPr>
              <w:t>受扰动后的恢复</w:t>
            </w:r>
          </w:p>
        </w:tc>
        <w:tc>
          <w:tcPr>
            <w:tcW w:type="dxa" w:w="4535"/>
            <w:vAlign w:val="center"/>
            <w:tcMar>
              <w:top w:w="70" w:type="dxa"/>
              <w:bottom w:w="70" w:type="dxa"/>
              <w:left w:w="90" w:type="dxa"/>
              <w:right w:w="90" w:type="dxa"/>
            </w:tcMar>
          </w:tcPr>
          <w:p>
            <w:pPr>
              <w:spacing w:after="0" w:line="276" w:lineRule="auto"/>
            </w:pPr>
            <w:r>
              <w:rPr>
                <w:b w:val="0"/>
                <w:color w:val="000000"/>
                <w:sz w:val="19"/>
              </w:rPr>
              <w:t>物理结构受剪切扰动及随时间恢复的证据[4]</w:t>
            </w:r>
          </w:p>
        </w:tc>
        <w:tc>
          <w:tcPr>
            <w:tcW w:type="dxa" w:w="2835"/>
            <w:vAlign w:val="center"/>
            <w:tcMar>
              <w:top w:w="70" w:type="dxa"/>
              <w:bottom w:w="70" w:type="dxa"/>
              <w:left w:w="90" w:type="dxa"/>
              <w:right w:w="90" w:type="dxa"/>
            </w:tcMar>
          </w:tcPr>
          <w:p>
            <w:pPr>
              <w:spacing w:after="0" w:line="276" w:lineRule="auto"/>
            </w:pPr>
            <w:r>
              <w:rPr>
                <w:b w:val="0"/>
                <w:color w:val="000000"/>
                <w:sz w:val="19"/>
              </w:rPr>
              <w:t>G′回升的原因句后</w:t>
            </w:r>
          </w:p>
        </w:tc>
      </w:tr>
      <w:tr>
        <w:trPr>
          <w:cantSplit/>
        </w:trPr>
        <w:tc>
          <w:tcPr>
            <w:tcW w:type="dxa" w:w="2041"/>
            <w:vAlign w:val="center"/>
            <w:tcMar>
              <w:top w:w="70" w:type="dxa"/>
              <w:bottom w:w="70" w:type="dxa"/>
              <w:left w:w="90" w:type="dxa"/>
              <w:right w:w="90" w:type="dxa"/>
            </w:tcMar>
          </w:tcPr>
          <w:p>
            <w:pPr>
              <w:spacing w:after="0" w:line="276" w:lineRule="auto"/>
            </w:pPr>
            <w:r>
              <w:rPr>
                <w:b w:val="0"/>
                <w:color w:val="000000"/>
                <w:sz w:val="19"/>
              </w:rPr>
              <w:t>实际食品再打印</w:t>
            </w:r>
          </w:p>
        </w:tc>
        <w:tc>
          <w:tcPr>
            <w:tcW w:type="dxa" w:w="4535"/>
            <w:vAlign w:val="center"/>
            <w:tcMar>
              <w:top w:w="70" w:type="dxa"/>
              <w:bottom w:w="70" w:type="dxa"/>
              <w:left w:w="90" w:type="dxa"/>
              <w:right w:w="90" w:type="dxa"/>
            </w:tcMar>
          </w:tcPr>
          <w:p>
            <w:pPr>
              <w:spacing w:after="0" w:line="276" w:lineRule="auto"/>
            </w:pPr>
            <w:r>
              <w:rPr>
                <w:b w:val="0"/>
                <w:color w:val="000000"/>
                <w:sz w:val="19"/>
              </w:rPr>
              <w:t>真正测试再打印性的食品研究[5]</w:t>
            </w:r>
          </w:p>
        </w:tc>
        <w:tc>
          <w:tcPr>
            <w:tcW w:type="dxa" w:w="2835"/>
            <w:vAlign w:val="center"/>
            <w:tcMar>
              <w:top w:w="70" w:type="dxa"/>
              <w:bottom w:w="70" w:type="dxa"/>
              <w:left w:w="90" w:type="dxa"/>
              <w:right w:w="90" w:type="dxa"/>
            </w:tcMar>
          </w:tcPr>
          <w:p>
            <w:pPr>
              <w:spacing w:after="0" w:line="276" w:lineRule="auto"/>
            </w:pPr>
            <w:r>
              <w:rPr>
                <w:b w:val="0"/>
                <w:color w:val="000000"/>
                <w:sz w:val="19"/>
              </w:rPr>
              <w:t>循环打印讨论</w:t>
            </w:r>
          </w:p>
        </w:tc>
      </w:tr>
    </w:tbl>
    <w:p>
      <w:pPr>
        <w:spacing w:after="40"/>
      </w:pPr>
    </w:p>
    <w:p>
      <w:r>
        <w:br w:type="page"/>
      </w:r>
    </w:p>
    <w:p>
      <w:pPr>
        <w:pStyle w:val="Heading1"/>
      </w:pPr>
      <w:r>
        <w:t>文献支撑与具体位置</w:t>
      </w:r>
    </w:p>
    <w:p>
      <w:pPr>
        <w:pStyle w:val="Heading2"/>
      </w:pPr>
      <w:r>
        <w:t>文献 1 Koev等2020</w:t>
      </w:r>
    </w:p>
    <w:p>
      <w:pPr>
        <w:widowControl/>
        <w:jc w:val="both"/>
      </w:pPr>
      <w:r>
        <w:rPr>
          <w:color w:val="000000"/>
          <w:sz w:val="19"/>
        </w:rPr>
        <w:t>[1] Koev TT, Muñoz-García JC, Iuga D, Khimyak YZ, Warren FJ. Structural heterogeneities in starch hydrogels. Carbohydrate Polymers. 2020;249:116834.</w:t>
      </w:r>
    </w:p>
    <w:p>
      <w:pPr>
        <w:widowControl/>
        <w:jc w:val="both"/>
      </w:pPr>
      <w:r>
        <w:rPr>
          <w:color w:val="000000"/>
          <w:sz w:val="19"/>
        </w:rPr>
        <w:t>DOI：</w:t>
      </w:r>
      <w:hyperlink r:id="rId9">
        <w:r>
          <w:rPr>
            <w:rFonts w:ascii="Noto Serif CJK SC" w:hAnsi="Noto Serif CJK SC" w:eastAsia="Noto Serif CJK SC"/>
            <w:sz w:val="19"/>
            <w:color w:val="000000"/>
          </w:rPr>
          <w:t>10.1016/j.carbpol.2020.116834</w:t>
        </w:r>
      </w:hyperlink>
      <w:r>
        <w:t xml:space="preserve">    </w:t>
      </w:r>
      <w:hyperlink r:id="rId10">
        <w:r>
          <w:rPr>
            <w:rFonts w:ascii="Noto Serif CJK SC" w:hAnsi="Noto Serif CJK SC" w:eastAsia="Noto Serif CJK SC"/>
            <w:sz w:val="19"/>
            <w:color w:val="000000"/>
          </w:rPr>
          <w:t>原文入口</w:t>
        </w:r>
      </w:hyperlink>
    </w:p>
    <w:p>
      <w:pPr>
        <w:widowControl/>
        <w:jc w:val="both"/>
      </w:pPr>
      <w:r>
        <w:rPr>
          <w:color w:val="000000"/>
          <w:sz w:val="20"/>
        </w:rPr>
        <w:t>具体位置：全文§3.2.2 Mechanical properties第3段及Figure S7；§3.3.4 Effect of storage conditions on local mobility第2段。</w:t>
      </w:r>
    </w:p>
    <w:p>
      <w:pPr>
        <w:widowControl/>
        <w:jc w:val="both"/>
      </w:pPr>
      <w:r>
        <w:rPr>
          <w:color w:val="000000"/>
          <w:sz w:val="20"/>
        </w:rPr>
        <w:t>支撑与插入位置：直链淀粉含量与G′的关系；链间再缔合、连接区及网络刚性的解释。用于流变第一段中直链链段对承载网络贡献降低的原因句。</w:t>
      </w:r>
    </w:p>
    <w:p>
      <w:pPr>
        <w:widowControl/>
        <w:jc w:val="both"/>
      </w:pPr>
      <w:r>
        <w:rPr>
          <w:color w:val="000000"/>
          <w:sz w:val="19"/>
        </w:rPr>
        <w:t>定位短摘：the predominantly linear amylose chains can partially align and interact with each other with far greater ease</w:t>
      </w:r>
    </w:p>
    <w:p>
      <w:pPr>
        <w:widowControl/>
        <w:jc w:val="both"/>
      </w:pPr>
      <w:r>
        <w:rPr>
          <w:color w:val="000000"/>
          <w:sz w:val="19"/>
        </w:rPr>
        <w:t>适用边界：其样品经121 ℃处理并储存8天，直链淀粉含量范围比本稿更宽。该文支持机制解释，不能据此认定本稿结晶区全部都是承载连接点，或将结晶度与G′视为唯一因果关系。</w:t>
      </w:r>
    </w:p>
    <w:p>
      <w:pPr>
        <w:widowControl/>
        <w:jc w:val="both"/>
      </w:pPr>
      <w:r>
        <w:rPr>
          <w:color w:val="000000"/>
          <w:sz w:val="18"/>
        </w:rPr>
        <w:t>已核查官方PMC全文。</w:t>
      </w:r>
    </w:p>
    <w:p>
      <w:pPr>
        <w:pStyle w:val="Heading2"/>
      </w:pPr>
      <w:r>
        <w:t>文献 2 Cheng等2024</w:t>
      </w:r>
    </w:p>
    <w:p>
      <w:pPr>
        <w:widowControl/>
        <w:jc w:val="both"/>
      </w:pPr>
      <w:r>
        <w:rPr>
          <w:color w:val="000000"/>
          <w:sz w:val="19"/>
        </w:rPr>
        <w:t>[2] Cheng Y, He Y, Li X, Gao W, Kang X, Sui J, Cui B. Impact of starch amylose and amylopectin on the rheological and 3D printing properties of corn starch. International Journal of Biological Macromolecules. 2024;278:134403.</w:t>
      </w:r>
    </w:p>
    <w:p>
      <w:pPr>
        <w:widowControl/>
        <w:jc w:val="both"/>
      </w:pPr>
      <w:r>
        <w:rPr>
          <w:color w:val="000000"/>
          <w:sz w:val="19"/>
        </w:rPr>
        <w:t>DOI：</w:t>
      </w:r>
      <w:hyperlink r:id="rId11">
        <w:r>
          <w:rPr>
            <w:rFonts w:ascii="Noto Serif CJK SC" w:hAnsi="Noto Serif CJK SC" w:eastAsia="Noto Serif CJK SC"/>
            <w:sz w:val="19"/>
            <w:color w:val="000000"/>
          </w:rPr>
          <w:t>10.1016/j.ijbiomac.2024.134403</w:t>
        </w:r>
      </w:hyperlink>
      <w:r>
        <w:t xml:space="preserve">    </w:t>
      </w:r>
      <w:hyperlink r:id="rId12">
        <w:r>
          <w:rPr>
            <w:rFonts w:ascii="Noto Serif CJK SC" w:hAnsi="Noto Serif CJK SC" w:eastAsia="Noto Serif CJK SC"/>
            <w:sz w:val="19"/>
            <w:color w:val="000000"/>
          </w:rPr>
          <w:t>原文入口</w:t>
        </w:r>
      </w:hyperlink>
    </w:p>
    <w:p>
      <w:pPr>
        <w:widowControl/>
        <w:jc w:val="both"/>
      </w:pPr>
      <w:r>
        <w:rPr>
          <w:color w:val="000000"/>
          <w:sz w:val="20"/>
        </w:rPr>
        <w:t>具体位置：正式摘要：以Amylose in starch-based gels开头的句子、高直链淀粉挤出困难的随后句，以及以Conversely, waxy starch gel开头的句子。</w:t>
      </w:r>
    </w:p>
    <w:p>
      <w:pPr>
        <w:widowControl/>
        <w:jc w:val="both"/>
      </w:pPr>
      <w:r>
        <w:rPr>
          <w:color w:val="000000"/>
          <w:sz w:val="20"/>
        </w:rPr>
        <w:t>支撑与插入位置：同类玉米淀粉中直链比例对G′、挤出和支撑的共同影响。用于流变第一段的文献佐证和打印段的平衡解释。</w:t>
      </w:r>
    </w:p>
    <w:p>
      <w:pPr>
        <w:widowControl/>
        <w:jc w:val="both"/>
      </w:pPr>
      <w:r>
        <w:rPr>
          <w:color w:val="000000"/>
          <w:sz w:val="19"/>
        </w:rPr>
        <w:t>定位短摘：waxy starch gel demonstrates continuous extrusion and adhesion but lacks adequate support.</w:t>
      </w:r>
    </w:p>
    <w:p>
      <w:pPr>
        <w:widowControl/>
        <w:jc w:val="both"/>
      </w:pPr>
      <w:r>
        <w:rPr>
          <w:color w:val="000000"/>
          <w:sz w:val="19"/>
        </w:rPr>
        <w:t>适用边界：不同淀粉类型的比较并非本稿CS/WCS的0%～16%复配梯度。该文的27%直链淀粉及88.12%精度不能用作本稿最优阈值；摘要不能支持循环次数及恢复率公式。</w:t>
      </w:r>
    </w:p>
    <w:p>
      <w:pPr>
        <w:widowControl/>
        <w:jc w:val="both"/>
      </w:pPr>
      <w:r>
        <w:rPr>
          <w:color w:val="000000"/>
          <w:sz w:val="18"/>
        </w:rPr>
        <w:t>已核查PubMed正式摘要与书目信息；引述范围限定为摘要。</w:t>
      </w:r>
    </w:p>
    <w:p>
      <w:r>
        <w:br w:type="page"/>
      </w:r>
    </w:p>
    <w:p>
      <w:pPr>
        <w:pStyle w:val="Heading1"/>
      </w:pPr>
      <w:r>
        <w:t>文献支撑与具体位置 续</w:t>
      </w:r>
    </w:p>
    <w:p>
      <w:pPr>
        <w:pStyle w:val="Heading2"/>
      </w:pPr>
      <w:r>
        <w:t>文献 3 Xu等2022</w:t>
      </w:r>
    </w:p>
    <w:p>
      <w:pPr>
        <w:widowControl/>
        <w:jc w:val="both"/>
      </w:pPr>
      <w:r>
        <w:rPr>
          <w:color w:val="000000"/>
          <w:sz w:val="19"/>
        </w:rPr>
        <w:t>[3] Xu M, Dong Q, Huang G, Zhang Y, Lu X, Zhang J, Zhang K, Huang Q. Physical and 3D Printing Properties of Arrowroot Starch Gels. Foods. 2022;11(14):2140.</w:t>
      </w:r>
    </w:p>
    <w:p>
      <w:pPr>
        <w:widowControl/>
        <w:jc w:val="both"/>
      </w:pPr>
      <w:r>
        <w:rPr>
          <w:color w:val="000000"/>
          <w:sz w:val="19"/>
        </w:rPr>
        <w:t>DOI：</w:t>
      </w:r>
      <w:hyperlink r:id="rId13">
        <w:r>
          <w:rPr>
            <w:rFonts w:ascii="Noto Serif CJK SC" w:hAnsi="Noto Serif CJK SC" w:eastAsia="Noto Serif CJK SC"/>
            <w:sz w:val="19"/>
            <w:color w:val="000000"/>
          </w:rPr>
          <w:t>10.3390/foods11142140</w:t>
        </w:r>
      </w:hyperlink>
      <w:r>
        <w:t xml:space="preserve">    </w:t>
      </w:r>
      <w:hyperlink r:id="rId14">
        <w:r>
          <w:rPr>
            <w:rFonts w:ascii="Noto Serif CJK SC" w:hAnsi="Noto Serif CJK SC" w:eastAsia="Noto Serif CJK SC"/>
            <w:sz w:val="19"/>
            <w:color w:val="000000"/>
          </w:rPr>
          <w:t>原文入口</w:t>
        </w:r>
      </w:hyperlink>
    </w:p>
    <w:p>
      <w:pPr>
        <w:widowControl/>
        <w:jc w:val="both"/>
      </w:pPr>
      <w:r>
        <w:rPr>
          <w:color w:val="000000"/>
          <w:sz w:val="20"/>
        </w:rPr>
        <w:t>具体位置：全文§3.5.2 Thermal and Rheological Properties of AS Gels第6段，Figure 6及Table 1；该段同时联系§3.6.4的实际打印结果。</w:t>
      </w:r>
    </w:p>
    <w:p>
      <w:pPr>
        <w:widowControl/>
        <w:jc w:val="both"/>
      </w:pPr>
      <w:r>
        <w:rPr>
          <w:color w:val="000000"/>
          <w:sz w:val="20"/>
        </w:rPr>
        <w:t>支撑与插入位置：10%凝胶恢复约80%却因G′低而塌陷，20%凝胶恢复约71%但成型较好，30%凝胶强度高而难挤出。用于恢复比例与绝对支撑须共同评价的句子，以及打印精度的平衡解释。</w:t>
      </w:r>
    </w:p>
    <w:p>
      <w:pPr>
        <w:widowControl/>
        <w:jc w:val="both"/>
      </w:pPr>
      <w:r>
        <w:rPr>
          <w:color w:val="000000"/>
          <w:sz w:val="19"/>
        </w:rPr>
        <w:t>定位短摘：although the recovery degree of 10% AS is 80%, its G′ was always at a relatively low level.</w:t>
      </w:r>
    </w:p>
    <w:p>
      <w:pPr>
        <w:widowControl/>
        <w:jc w:val="both"/>
      </w:pPr>
      <w:r>
        <w:rPr>
          <w:color w:val="000000"/>
          <w:sz w:val="19"/>
        </w:rPr>
        <w:t>适用边界：竹芋淀粉的浓度效应与本稿配方不同，文中G′及恢复比例不能当作普遍最佳窗口。该文三阶段扰动测试未验证实体制品回收后的三轮打印。</w:t>
      </w:r>
    </w:p>
    <w:p>
      <w:pPr>
        <w:widowControl/>
        <w:jc w:val="both"/>
      </w:pPr>
      <w:r>
        <w:rPr>
          <w:color w:val="000000"/>
          <w:sz w:val="18"/>
        </w:rPr>
        <w:t>已核查官方PMC全文。</w:t>
      </w:r>
    </w:p>
    <w:p>
      <w:pPr>
        <w:pStyle w:val="Heading2"/>
      </w:pPr>
      <w:r>
        <w:t>文献 4 Zhuang等2021</w:t>
      </w:r>
    </w:p>
    <w:p>
      <w:pPr>
        <w:widowControl/>
        <w:jc w:val="both"/>
      </w:pPr>
      <w:r>
        <w:rPr>
          <w:color w:val="000000"/>
          <w:sz w:val="19"/>
        </w:rPr>
        <w:t>[4] Zhuang P, Greenberg Z, He M. Biologically enhanced starch bio-ink for promoting 3D cell growth. Advanced Materials Technologies. 2021;6(12):2100551.</w:t>
      </w:r>
    </w:p>
    <w:p>
      <w:pPr>
        <w:widowControl/>
        <w:jc w:val="both"/>
      </w:pPr>
      <w:r>
        <w:rPr>
          <w:color w:val="000000"/>
          <w:sz w:val="19"/>
        </w:rPr>
        <w:t>DOI：</w:t>
      </w:r>
      <w:hyperlink r:id="rId15">
        <w:r>
          <w:rPr>
            <w:rFonts w:ascii="Noto Serif CJK SC" w:hAnsi="Noto Serif CJK SC" w:eastAsia="Noto Serif CJK SC"/>
            <w:sz w:val="19"/>
            <w:color w:val="000000"/>
          </w:rPr>
          <w:t>10.1002/admt.202100551</w:t>
        </w:r>
      </w:hyperlink>
      <w:r>
        <w:t xml:space="preserve">    </w:t>
      </w:r>
      <w:hyperlink r:id="rId16">
        <w:r>
          <w:rPr>
            <w:rFonts w:ascii="Noto Serif CJK SC" w:hAnsi="Noto Serif CJK SC" w:eastAsia="Noto Serif CJK SC"/>
            <w:sz w:val="19"/>
            <w:color w:val="000000"/>
          </w:rPr>
          <w:t>原文入口</w:t>
        </w:r>
      </w:hyperlink>
    </w:p>
    <w:p>
      <w:pPr>
        <w:widowControl/>
        <w:jc w:val="both"/>
      </w:pPr>
      <w:r>
        <w:rPr>
          <w:color w:val="000000"/>
          <w:sz w:val="20"/>
        </w:rPr>
        <w:t>具体位置：全文§2.3 Rheological characterization of nanocomposite starch-based hydrogels第3段及Figure 3c。段落以Thixotropy is a time-dependent shear-thinning behavior开头。</w:t>
      </w:r>
    </w:p>
    <w:p>
      <w:pPr>
        <w:widowControl/>
        <w:jc w:val="both"/>
      </w:pPr>
      <w:r>
        <w:rPr>
          <w:color w:val="000000"/>
          <w:sz w:val="20"/>
        </w:rPr>
        <w:t>支撑与插入位置：作者讨论弱物理关联在剪切下受扰动和聚集结构解离，并实测低—高—低剪切后的黏度恢复。用于流变第二段G′降低后回升的物理结构解释。</w:t>
      </w:r>
    </w:p>
    <w:p>
      <w:pPr>
        <w:widowControl/>
        <w:jc w:val="both"/>
      </w:pPr>
      <w:r>
        <w:rPr>
          <w:color w:val="000000"/>
          <w:sz w:val="19"/>
        </w:rPr>
        <w:t>定位短摘：the weak physical bonds are mechanically disrupted, and the inner structures disintegrate to separate from aggregates.</w:t>
      </w:r>
    </w:p>
    <w:p>
      <w:pPr>
        <w:widowControl/>
        <w:jc w:val="both"/>
      </w:pPr>
      <w:r>
        <w:rPr>
          <w:color w:val="000000"/>
          <w:sz w:val="19"/>
        </w:rPr>
        <w:t>适用边界：淀粉、胶原及明胶纳米颗粒组成的生物打印体系，只作物理扰动及恢复的机制旁证。不能证明本稿具体氢键重建、二次剪切强化、快速恢复或实体回收再打印。</w:t>
      </w:r>
    </w:p>
    <w:p>
      <w:pPr>
        <w:widowControl/>
        <w:jc w:val="both"/>
      </w:pPr>
      <w:r>
        <w:rPr>
          <w:color w:val="000000"/>
          <w:sz w:val="18"/>
        </w:rPr>
        <w:t>已核查官方PMC收录的作者接受稿全文。</w:t>
      </w:r>
    </w:p>
    <w:p>
      <w:r>
        <w:br w:type="page"/>
      </w:r>
    </w:p>
    <w:p>
      <w:pPr>
        <w:pStyle w:val="Heading1"/>
      </w:pPr>
      <w:r>
        <w:t>文献支撑与具体位置 续</w:t>
      </w:r>
    </w:p>
    <w:p>
      <w:pPr>
        <w:pStyle w:val="Heading2"/>
      </w:pPr>
      <w:r>
        <w:t>文献 5 Demircan等2023</w:t>
      </w:r>
    </w:p>
    <w:p>
      <w:pPr>
        <w:widowControl/>
        <w:jc w:val="both"/>
      </w:pPr>
      <w:r>
        <w:rPr>
          <w:color w:val="000000"/>
          <w:sz w:val="19"/>
        </w:rPr>
        <w:t>[5] Demircan E, Aydar EF, Mertdinç Z, Kasapoğlu KN, Özçelik B. 3D printable vegan plant-based meat analogue: Fortification with three different mushrooms, investigation of printability, and characterization. Food Research International. 2023;173:113259.</w:t>
      </w:r>
    </w:p>
    <w:p>
      <w:pPr>
        <w:widowControl/>
        <w:jc w:val="both"/>
      </w:pPr>
      <w:r>
        <w:rPr>
          <w:color w:val="000000"/>
          <w:sz w:val="19"/>
        </w:rPr>
        <w:t>DOI：</w:t>
      </w:r>
      <w:hyperlink r:id="rId17">
        <w:r>
          <w:rPr>
            <w:rFonts w:ascii="Noto Serif CJK SC" w:hAnsi="Noto Serif CJK SC" w:eastAsia="Noto Serif CJK SC"/>
            <w:sz w:val="19"/>
            <w:color w:val="000000"/>
          </w:rPr>
          <w:t>10.1016/j.foodres.2023.113259</w:t>
        </w:r>
      </w:hyperlink>
      <w:r>
        <w:t xml:space="preserve">    </w:t>
      </w:r>
      <w:hyperlink r:id="rId18">
        <w:r>
          <w:rPr>
            <w:rFonts w:ascii="Noto Serif CJK SC" w:hAnsi="Noto Serif CJK SC" w:eastAsia="Noto Serif CJK SC"/>
            <w:sz w:val="19"/>
            <w:color w:val="000000"/>
          </w:rPr>
          <w:t>原文入口</w:t>
        </w:r>
      </w:hyperlink>
    </w:p>
    <w:p>
      <w:pPr>
        <w:widowControl/>
        <w:jc w:val="both"/>
      </w:pPr>
      <w:r>
        <w:rPr>
          <w:color w:val="000000"/>
          <w:sz w:val="20"/>
        </w:rPr>
        <w:t>具体位置：正式摘要中以All inks开头的流变句，以及以LD and PO inks开头的再打印句；作者机构仓储的同文摘要亦可定位这两句。</w:t>
      </w:r>
    </w:p>
    <w:p>
      <w:pPr>
        <w:widowControl/>
        <w:jc w:val="both"/>
      </w:pPr>
      <w:r>
        <w:rPr>
          <w:color w:val="000000"/>
          <w:sz w:val="20"/>
        </w:rPr>
        <w:t>支撑与插入位置：所有墨水均剪切变稀且G′＞G″，LD与PO配方可再打印而GL配方不具此优势。用于循环打印中实际验证不能由基础流变指标替代的文献佐证。</w:t>
      </w:r>
    </w:p>
    <w:p>
      <w:pPr>
        <w:widowControl/>
        <w:jc w:val="both"/>
      </w:pPr>
      <w:r>
        <w:rPr>
          <w:color w:val="000000"/>
          <w:sz w:val="19"/>
        </w:rPr>
        <w:t>定位短摘：LD and PO inks brought the advantage of recycling as a result of their re-printability whereas GL could not.</w:t>
      </w:r>
    </w:p>
    <w:p>
      <w:pPr>
        <w:widowControl/>
        <w:jc w:val="both"/>
      </w:pPr>
      <w:r>
        <w:rPr>
          <w:color w:val="000000"/>
          <w:sz w:val="19"/>
        </w:rPr>
        <w:t>适用边界：植物蛋白与蘑菇体系，不等同本稿淀粉凝胶。摘要没有循环轮数、回收重装细节或各轮精度，不能据此补写这些信息，也不能证明本稿12%配方的精度。</w:t>
      </w:r>
    </w:p>
    <w:p>
      <w:pPr>
        <w:widowControl/>
        <w:jc w:val="both"/>
      </w:pPr>
      <w:r>
        <w:rPr>
          <w:color w:val="000000"/>
          <w:sz w:val="18"/>
        </w:rPr>
        <w:t>已核查PubMed正式摘要、Crossref书目及作者机构仓储摘要。</w:t>
      </w:r>
    </w:p>
    <w:p>
      <w:pPr>
        <w:pStyle w:val="Heading2"/>
      </w:pPr>
      <w:r>
        <w:t>文献 6 Cui等2024</w:t>
      </w:r>
    </w:p>
    <w:p>
      <w:pPr>
        <w:widowControl/>
        <w:jc w:val="both"/>
      </w:pPr>
      <w:r>
        <w:rPr>
          <w:color w:val="000000"/>
          <w:sz w:val="19"/>
        </w:rPr>
        <w:t>[6] Cui XR, Wang YS, Chen Y, Mu HY, Chen HH. Effects of wheat protein on hot-extrusion 3D-printing performance and the release behaviours of caffeic acid-loaded wheat starch. International Journal of Biological Macromolecules. 2024;258:129097.</w:t>
      </w:r>
    </w:p>
    <w:p>
      <w:pPr>
        <w:widowControl/>
        <w:jc w:val="both"/>
      </w:pPr>
      <w:r>
        <w:rPr>
          <w:color w:val="000000"/>
          <w:sz w:val="19"/>
        </w:rPr>
        <w:t>DOI：</w:t>
      </w:r>
      <w:hyperlink r:id="rId19">
        <w:r>
          <w:rPr>
            <w:rFonts w:ascii="Noto Serif CJK SC" w:hAnsi="Noto Serif CJK SC" w:eastAsia="Noto Serif CJK SC"/>
            <w:sz w:val="19"/>
            <w:color w:val="000000"/>
          </w:rPr>
          <w:t>10.1016/j.ijbiomac.2023.129097</w:t>
        </w:r>
      </w:hyperlink>
      <w:r>
        <w:t xml:space="preserve">    </w:t>
      </w:r>
      <w:hyperlink r:id="rId20">
        <w:r>
          <w:rPr>
            <w:rFonts w:ascii="Noto Serif CJK SC" w:hAnsi="Noto Serif CJK SC" w:eastAsia="Noto Serif CJK SC"/>
            <w:sz w:val="19"/>
            <w:color w:val="000000"/>
          </w:rPr>
          <w:t>原文入口</w:t>
        </w:r>
      </w:hyperlink>
    </w:p>
    <w:p>
      <w:pPr>
        <w:widowControl/>
        <w:jc w:val="both"/>
      </w:pPr>
      <w:r>
        <w:rPr>
          <w:color w:val="000000"/>
          <w:sz w:val="20"/>
        </w:rPr>
        <w:t>具体位置：正式摘要中以The rheological results show开头的句子，并参照前一句的线宽与精度结果。</w:t>
      </w:r>
    </w:p>
    <w:p>
      <w:pPr>
        <w:widowControl/>
        <w:jc w:val="both"/>
      </w:pPr>
      <w:r>
        <w:rPr>
          <w:color w:val="000000"/>
          <w:sz w:val="20"/>
        </w:rPr>
        <w:t>支撑与插入位置：小麦蛋白引入后τf、K降低、恢复率提高，与平滑挤出及精度改善同时出现。可补充在流动与打印关系的讨论中，无需与[2,3]重复堆叠。</w:t>
      </w:r>
    </w:p>
    <w:p>
      <w:pPr>
        <w:widowControl/>
        <w:jc w:val="both"/>
      </w:pPr>
      <w:r>
        <w:rPr>
          <w:color w:val="000000"/>
          <w:sz w:val="19"/>
        </w:rPr>
        <w:t>定位短摘：but increased their structural recovery rate, which facilitated smooth extrusion during 3D printing</w:t>
      </w:r>
    </w:p>
    <w:p>
      <w:pPr>
        <w:widowControl/>
        <w:jc w:val="both"/>
      </w:pPr>
      <w:r>
        <w:rPr>
          <w:color w:val="000000"/>
          <w:sz w:val="19"/>
        </w:rPr>
        <w:t>适用边界：热挤出小麦淀粉与蛋白复合体系。摘要不支持第二轮恢复率的计算公式、重复剪切必然强化网络或实体循环打印的具体机制。</w:t>
      </w:r>
    </w:p>
    <w:p>
      <w:pPr>
        <w:widowControl/>
        <w:jc w:val="both"/>
      </w:pPr>
      <w:r>
        <w:rPr>
          <w:color w:val="000000"/>
          <w:sz w:val="18"/>
        </w:rPr>
        <w:t>已核查PubMed正式摘要与书目信息；引述范围限定为摘要。</w:t>
      </w:r>
    </w:p>
    <w:p>
      <w:r>
        <w:br w:type="page"/>
      </w:r>
    </w:p>
    <w:p>
      <w:pPr>
        <w:pStyle w:val="Heading1"/>
      </w:pPr>
      <w:r>
        <w:t>方法和解释需要统一的内容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427"/>
      </w:tblGrid>
      <w:tr>
        <w:trPr>
          <w:cantSplit/>
          <w:tblHeader/>
        </w:trPr>
        <w:tc>
          <w:tcPr>
            <w:tcW w:type="dxa" w:w="1984"/>
            <w:vAlign w:val="center"/>
            <w:tcMar>
              <w:top w:w="70" w:type="dxa"/>
              <w:bottom w:w="70" w:type="dxa"/>
              <w:left w:w="90" w:type="dxa"/>
              <w:right w:w="90" w:type="dxa"/>
            </w:tcMar>
            <w:shd w:fill="E8EDF2"/>
          </w:tcPr>
          <w:p>
            <w:pPr>
              <w:spacing w:after="0" w:line="276" w:lineRule="auto"/>
            </w:pPr>
            <w:r>
              <w:rPr>
                <w:b/>
                <w:color w:val="000000"/>
                <w:sz w:val="19"/>
              </w:rPr>
              <w:t>统一写法</w:t>
            </w:r>
          </w:p>
        </w:tc>
        <w:tc>
          <w:tcPr>
            <w:tcW w:type="dxa" w:w="7427"/>
            <w:vAlign w:val="center"/>
            <w:tcMar>
              <w:top w:w="70" w:type="dxa"/>
              <w:bottom w:w="70" w:type="dxa"/>
              <w:left w:w="90" w:type="dxa"/>
              <w:right w:w="90" w:type="dxa"/>
            </w:tcMar>
            <w:shd w:fill="E8EDF2"/>
          </w:tcPr>
          <w:p>
            <w:pPr>
              <w:spacing w:after="0" w:line="276" w:lineRule="auto"/>
            </w:pPr>
            <w:r>
              <w:rPr>
                <w:b/>
                <w:color w:val="000000"/>
                <w:sz w:val="19"/>
              </w:rPr>
              <w:t>含义与解释边界</w:t>
            </w:r>
          </w:p>
        </w:tc>
      </w:tr>
      <w:tr>
        <w:trPr>
          <w:cantSplit/>
        </w:trPr>
        <w:tc>
          <w:tcPr>
            <w:tcW w:type="dxa" w:w="1984"/>
            <w:vAlign w:val="center"/>
            <w:tcMar>
              <w:top w:w="70" w:type="dxa"/>
              <w:bottom w:w="70" w:type="dxa"/>
              <w:left w:w="90" w:type="dxa"/>
              <w:right w:w="90" w:type="dxa"/>
            </w:tcMar>
          </w:tcPr>
          <w:p>
            <w:pPr>
              <w:spacing w:after="0" w:line="276" w:lineRule="auto"/>
            </w:pPr>
            <w:r>
              <w:rPr>
                <w:b w:val="0"/>
                <w:color w:val="000000"/>
                <w:sz w:val="19"/>
              </w:rPr>
              <w:t>G′与G″</w:t>
            </w:r>
          </w:p>
        </w:tc>
        <w:tc>
          <w:tcPr>
            <w:tcW w:type="dxa" w:w="7427"/>
            <w:vAlign w:val="center"/>
            <w:tcMar>
              <w:top w:w="70" w:type="dxa"/>
              <w:bottom w:w="70" w:type="dxa"/>
              <w:left w:w="90" w:type="dxa"/>
              <w:right w:w="90" w:type="dxa"/>
            </w:tcMar>
          </w:tcPr>
          <w:p>
            <w:pPr>
              <w:spacing w:after="0" w:line="276" w:lineRule="auto"/>
            </w:pPr>
            <w:r>
              <w:rPr>
                <w:b w:val="0"/>
                <w:color w:val="000000"/>
                <w:sz w:val="19"/>
              </w:rPr>
              <w:t>储能模量与损耗模量；G′＞G″表示弹性占优，不能单独界定线性黏弹区</w:t>
            </w:r>
          </w:p>
        </w:tc>
      </w:tr>
      <w:tr>
        <w:trPr>
          <w:cantSplit/>
        </w:trPr>
        <w:tc>
          <w:tcPr>
            <w:tcW w:type="dxa" w:w="1984"/>
            <w:vAlign w:val="center"/>
            <w:tcMar>
              <w:top w:w="70" w:type="dxa"/>
              <w:bottom w:w="70" w:type="dxa"/>
              <w:left w:w="90" w:type="dxa"/>
              <w:right w:w="90" w:type="dxa"/>
            </w:tcMar>
          </w:tcPr>
          <w:p>
            <w:pPr>
              <w:spacing w:after="0" w:line="276" w:lineRule="auto"/>
            </w:pPr>
            <w:r>
              <w:rPr>
                <w:b w:val="0"/>
                <w:color w:val="000000"/>
                <w:sz w:val="19"/>
              </w:rPr>
              <w:t>τf</w:t>
            </w:r>
          </w:p>
        </w:tc>
        <w:tc>
          <w:tcPr>
            <w:tcW w:type="dxa" w:w="7427"/>
            <w:vAlign w:val="center"/>
            <w:tcMar>
              <w:top w:w="70" w:type="dxa"/>
              <w:bottom w:w="70" w:type="dxa"/>
              <w:left w:w="90" w:type="dxa"/>
              <w:right w:w="90" w:type="dxa"/>
            </w:tcMar>
          </w:tcPr>
          <w:p>
            <w:pPr>
              <w:spacing w:after="0" w:line="276" w:lineRule="auto"/>
            </w:pPr>
            <w:r>
              <w:rPr>
                <w:b w:val="0"/>
                <w:color w:val="000000"/>
                <w:sz w:val="19"/>
              </w:rPr>
              <w:t>G′与G″交点的流动应力；区别于屈服应力τy</w:t>
            </w:r>
          </w:p>
        </w:tc>
      </w:tr>
      <w:tr>
        <w:trPr>
          <w:cantSplit/>
        </w:trPr>
        <w:tc>
          <w:tcPr>
            <w:tcW w:type="dxa" w:w="1984"/>
            <w:vAlign w:val="center"/>
            <w:tcMar>
              <w:top w:w="70" w:type="dxa"/>
              <w:bottom w:w="70" w:type="dxa"/>
              <w:left w:w="90" w:type="dxa"/>
              <w:right w:w="90" w:type="dxa"/>
            </w:tcMar>
          </w:tcPr>
          <w:p>
            <w:pPr>
              <w:spacing w:after="0" w:line="276" w:lineRule="auto"/>
            </w:pPr>
            <w:r>
              <w:rPr>
                <w:b w:val="0"/>
                <w:color w:val="000000"/>
                <w:sz w:val="19"/>
              </w:rPr>
              <w:t>n与K</w:t>
            </w:r>
          </w:p>
        </w:tc>
        <w:tc>
          <w:tcPr>
            <w:tcW w:type="dxa" w:w="7427"/>
            <w:vAlign w:val="center"/>
            <w:tcMar>
              <w:top w:w="70" w:type="dxa"/>
              <w:bottom w:w="70" w:type="dxa"/>
              <w:left w:w="90" w:type="dxa"/>
              <w:right w:w="90" w:type="dxa"/>
            </w:tcMar>
          </w:tcPr>
          <w:p>
            <w:pPr>
              <w:spacing w:after="0" w:line="276" w:lineRule="auto"/>
            </w:pPr>
            <w:r>
              <w:rPr>
                <w:b w:val="0"/>
                <w:color w:val="000000"/>
                <w:sz w:val="19"/>
              </w:rPr>
              <w:t>流动行为指数与稠度系数；n无量纲，K单位为Pa·sⁿ</w:t>
            </w:r>
          </w:p>
        </w:tc>
      </w:tr>
      <w:tr>
        <w:trPr>
          <w:cantSplit/>
        </w:trPr>
        <w:tc>
          <w:tcPr>
            <w:tcW w:type="dxa" w:w="1984"/>
            <w:vAlign w:val="center"/>
            <w:tcMar>
              <w:top w:w="70" w:type="dxa"/>
              <w:bottom w:w="70" w:type="dxa"/>
              <w:left w:w="90" w:type="dxa"/>
              <w:right w:w="90" w:type="dxa"/>
            </w:tcMar>
          </w:tcPr>
          <w:p>
            <w:pPr>
              <w:spacing w:after="0" w:line="276" w:lineRule="auto"/>
            </w:pPr>
            <w:r>
              <w:rPr>
                <w:b w:val="0"/>
                <w:color w:val="000000"/>
                <w:sz w:val="19"/>
              </w:rPr>
              <w:t>SRR₃–₁与SRR₅–₃</w:t>
            </w:r>
          </w:p>
        </w:tc>
        <w:tc>
          <w:tcPr>
            <w:tcW w:type="dxa" w:w="7427"/>
            <w:vAlign w:val="center"/>
            <w:tcMar>
              <w:top w:w="70" w:type="dxa"/>
              <w:bottom w:w="70" w:type="dxa"/>
              <w:left w:w="90" w:type="dxa"/>
              <w:right w:w="90" w:type="dxa"/>
            </w:tcMar>
          </w:tcPr>
          <w:p>
            <w:pPr>
              <w:spacing w:after="0" w:line="276" w:lineRule="auto"/>
            </w:pPr>
            <w:r>
              <w:rPr>
                <w:b w:val="0"/>
                <w:color w:val="000000"/>
                <w:sz w:val="19"/>
              </w:rPr>
              <w:t>分别为G′₃/G′₁和G′₅/G′₃的百分数，参照阶段不同</w:t>
            </w:r>
          </w:p>
        </w:tc>
      </w:tr>
      <w:tr>
        <w:trPr>
          <w:cantSplit/>
        </w:trPr>
        <w:tc>
          <w:tcPr>
            <w:tcW w:type="dxa" w:w="1984"/>
            <w:vAlign w:val="center"/>
            <w:tcMar>
              <w:top w:w="70" w:type="dxa"/>
              <w:bottom w:w="70" w:type="dxa"/>
              <w:left w:w="90" w:type="dxa"/>
              <w:right w:w="90" w:type="dxa"/>
            </w:tcMar>
          </w:tcPr>
          <w:p>
            <w:pPr>
              <w:spacing w:after="0" w:line="276" w:lineRule="auto"/>
            </w:pPr>
            <w:r>
              <w:rPr>
                <w:b w:val="0"/>
                <w:color w:val="000000"/>
                <w:sz w:val="19"/>
              </w:rPr>
              <w:t>受扰动后的恢复与循环打印</w:t>
            </w:r>
          </w:p>
        </w:tc>
        <w:tc>
          <w:tcPr>
            <w:tcW w:type="dxa" w:w="7427"/>
            <w:vAlign w:val="center"/>
            <w:tcMar>
              <w:top w:w="70" w:type="dxa"/>
              <w:bottom w:w="70" w:type="dxa"/>
              <w:left w:w="90" w:type="dxa"/>
              <w:right w:w="90" w:type="dxa"/>
            </w:tcMar>
          </w:tcPr>
          <w:p>
            <w:pPr>
              <w:spacing w:after="0" w:line="276" w:lineRule="auto"/>
            </w:pPr>
            <w:r>
              <w:rPr>
                <w:b w:val="0"/>
                <w:color w:val="000000"/>
                <w:sz w:val="19"/>
              </w:rPr>
              <w:t>前者是流变响应，后者是实际回收再打印的功能验证</w:t>
            </w:r>
          </w:p>
        </w:tc>
      </w:tr>
    </w:tbl>
    <w:p>
      <w:pPr>
        <w:spacing w:after="40"/>
      </w:pPr>
    </w:p>
    <w:p>
      <w:pPr>
        <w:widowControl/>
        <w:jc w:val="both"/>
      </w:pPr>
      <w:r>
        <w:rPr>
          <w:color w:val="000000"/>
          <w:sz w:val="20"/>
        </w:rPr>
        <w:t>1. 恢复率须给出公式和阶段G′取值方式。按旧稿公式，G′₅/G′₁×100%=SRR₃–₁×SRR₅–₃/100。以表3已报比例估算，M-CS12%约为90.72%，M-CS16%约为89.18%；这些是派生估算，不能替代原始重复测量与误差统计。</w:t>
      </w:r>
    </w:p>
    <w:p>
      <w:pPr>
        <w:widowControl/>
        <w:jc w:val="both"/>
      </w:pPr>
      <w:r>
        <w:rPr>
          <w:color w:val="000000"/>
          <w:sz w:val="20"/>
        </w:rPr>
        <w:t>2. 第一次恢复率从94.75%到88.37%的差为6.38个百分点。现有SRR表未给出标准差或显著性字母，不宜写显著降低、恢复最快或完全恢复。恢复速度须由时间曲线和明确时间指标评价。</w:t>
      </w:r>
    </w:p>
    <w:p>
      <w:pPr>
        <w:widowControl/>
        <w:jc w:val="both"/>
      </w:pPr>
      <w:r>
        <w:rPr>
          <w:color w:val="000000"/>
          <w:sz w:val="20"/>
        </w:rPr>
        <w:t>3. 幂律关系为η=Kγ̇ⁿ⁻¹。n升高而仍小于1表示保持剪切变稀且程度减弱；不同n对应K的单位指数不同，流动阻力应结合相同剪切速率下的实测黏度评价。没有喷嘴压力实测时，不将K降低写成已证明挤出压力降低。</w:t>
      </w:r>
    </w:p>
    <w:p>
      <w:pPr>
        <w:widowControl/>
        <w:jc w:val="both"/>
      </w:pPr>
      <w:r>
        <w:rPr>
          <w:color w:val="000000"/>
          <w:sz w:val="20"/>
        </w:rPr>
        <w:t>4. 应力图内分图标记为d，流变稿图注写a，须统一。新稳态剪切图横轴约0.1～100 s⁻¹，而8月21日方法写0.01～10 s⁻¹，应核对仪器记录及实际拟合范围；五阶段低—高—低—高—低应变不能称五个完整周期。</w:t>
      </w:r>
    </w:p>
    <w:p>
      <w:pPr>
        <w:widowControl/>
        <w:jc w:val="both"/>
      </w:pPr>
      <w:r>
        <w:rPr>
          <w:color w:val="000000"/>
          <w:sz w:val="20"/>
        </w:rPr>
        <w:t>5. 单次打印中8%与12%的精度均属于同一统计组，不能写12%显著优于8%。循环表的字母比较按列解释，不能据此推断同一配方跨三轮的显著差异。16%的成型精度下降应保留在正文中，作为过度柔化的功能边界。</w:t>
      </w:r>
    </w:p>
    <w:p>
      <w:pPr>
        <w:widowControl/>
        <w:jc w:val="both"/>
      </w:pPr>
      <w:r>
        <w:rPr>
          <w:color w:val="000000"/>
          <w:sz w:val="20"/>
        </w:rPr>
        <w:t>6. 8月21日方法已描述首次在25 ℃打印后立即回收成型制品、重装注射器并排空气，随后在相同条件下重复打印。整合稿应保留该流程，核对是否补水、加热或搅拌及各轮间隔，并报告相同打印参数。现有三轮精度支持本研究条件下的重复使用潜力，不能据此推广至长期存放、更多循环或食品质量保持。</w:t>
      </w:r>
    </w:p>
    <w:p>
      <w:pPr>
        <w:pStyle w:val="Heading2"/>
      </w:pPr>
      <w:r>
        <w:t>正文精炼原则</w:t>
      </w:r>
    </w:p>
    <w:p>
      <w:pPr>
        <w:widowControl/>
        <w:jc w:val="both"/>
      </w:pPr>
      <w:r>
        <w:rPr>
          <w:color w:val="000000"/>
          <w:sz w:val="20"/>
        </w:rPr>
        <w:t>精炼时保留G′与τf降低、剪切变稀、受扰动后恢复及16%成型变差这四项主线证据；将完整拟合参数留在表3，将恢复率定义、阶段时长与取值方式放入方法。删除仅由恢复比例推导二次剪切强化、快速重建或保障层间结合的解释，以有证据的物理扰动与恢复表述替换。</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Noto Serif CJK SC" w:hAnsi="Noto Serif CJK SC" w:eastAsia="Noto Serif CJK SC" w:cs="Noto Serif CJK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cstheme="majorBidi" w:ascii="Noto Serif CJK SC" w:hAnsi="Noto Serif CJK SC" w:eastAsia="Noto Serif CJK SC" w:cs="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ascii="Noto Serif CJK SC" w:hAnsi="Noto Serif CJK SC" w:eastAsia="Noto Serif CJK SC" w:cs="Noto Serif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cstheme="majorBidi" w:ascii="Noto Serif CJK SC" w:hAnsi="Noto Serif CJK SC" w:eastAsia="Noto Serif CJK SC" w:cs="Noto Serif CJK SC"/>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carbpol.2020.116834" TargetMode="External"/><Relationship Id="rId10" Type="http://schemas.openxmlformats.org/officeDocument/2006/relationships/hyperlink" Target="https://pmc.ncbi.nlm.nih.gov/articles/PMC7519636/" TargetMode="External"/><Relationship Id="rId11" Type="http://schemas.openxmlformats.org/officeDocument/2006/relationships/hyperlink" Target="https://doi.org/10.1016/j.ijbiomac.2024.134403" TargetMode="External"/><Relationship Id="rId12" Type="http://schemas.openxmlformats.org/officeDocument/2006/relationships/hyperlink" Target="https://pubmed.ncbi.nlm.nih.gov/39094882/" TargetMode="External"/><Relationship Id="rId13" Type="http://schemas.openxmlformats.org/officeDocument/2006/relationships/hyperlink" Target="https://doi.org/10.3390/foods11142140" TargetMode="External"/><Relationship Id="rId14" Type="http://schemas.openxmlformats.org/officeDocument/2006/relationships/hyperlink" Target="https://pmc.ncbi.nlm.nih.gov/articles/PMC9317205/" TargetMode="External"/><Relationship Id="rId15" Type="http://schemas.openxmlformats.org/officeDocument/2006/relationships/hyperlink" Target="https://doi.org/10.1002/admt.202100551" TargetMode="External"/><Relationship Id="rId16" Type="http://schemas.openxmlformats.org/officeDocument/2006/relationships/hyperlink" Target="https://pmc.ncbi.nlm.nih.gov/articles/PMC8680409/" TargetMode="External"/><Relationship Id="rId17" Type="http://schemas.openxmlformats.org/officeDocument/2006/relationships/hyperlink" Target="https://doi.org/10.1016/j.foodres.2023.113259" TargetMode="External"/><Relationship Id="rId18" Type="http://schemas.openxmlformats.org/officeDocument/2006/relationships/hyperlink" Target="https://pubmed.ncbi.nlm.nih.gov/37803572/" TargetMode="External"/><Relationship Id="rId19" Type="http://schemas.openxmlformats.org/officeDocument/2006/relationships/hyperlink" Target="https://doi.org/10.1016/j.ijbiomac.2023.129097" TargetMode="External"/><Relationship Id="rId20" Type="http://schemas.openxmlformats.org/officeDocument/2006/relationships/hyperlink" Target="https://pubmed.ncbi.nlm.nih.gov/381580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流变特性与打印性能的讨论重构</dc:title>
  <dc:subject>淀粉复合凝胶流变与3D打印及循环打印的结果与讨论</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