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直链淀粉含量与应力扫描结果的文献依据</w:t>
      </w:r>
    </w:p>
    <w:p>
      <w:r>
        <w:rPr>
          <w:b w:val="0"/>
        </w:rPr>
        <w:t>已有研究同时报告低直链玉米淀粉凝胶具有较低的储能模量和G′＝G″交点应力，最适合补充到你应力扫描段落的是Mauro等的研究[1]。以下将直接支持两个指标的证据，与仅支持G′或改变其他组分的研究分开说明。</w:t>
      </w:r>
    </w:p>
    <w:p>
      <w:pPr>
        <w:pStyle w:val="Heading1"/>
      </w:pPr>
      <w:r>
        <w:rPr>
          <w:b w:val="0"/>
        </w:rPr>
        <w:t>最贴近本研究的国外证据</w:t>
      </w:r>
    </w:p>
    <w:p>
      <w:r>
        <w:rPr>
          <w:b w:val="0"/>
        </w:rPr>
        <w:t>Mauro RR, Vela AJ, Ronda F. Foods, 2023, 12(12): 2281。作者均来自西班牙巴利亚多利德大学。研究比较不同来源的淀粉凝胶，其中普通与蜡质玉米淀粉在相同总淀粉浓度下的结果与你的变化方向一致。</w:t>
      </w:r>
    </w:p>
    <w:p>
      <w:pPr>
        <w:spacing w:line="300" w:lineRule="exact"/>
      </w:pPr>
      <w:r>
        <w:rPr>
          <w:b w:val="0"/>
          <w:sz w:val="21"/>
        </w:rPr>
      </w:r>
      <w:hyperlink r:id="rId10">
        <w:r>
          <w:rPr>
            <w:rFonts w:ascii="Liberation Serif" w:hAnsi="Liberation Serif" w:eastAsia="Noto Serif CJK SC"/>
            <w:color w:val="000000"/>
            <w:sz w:val="21"/>
          </w:rPr>
          <w:t>DOI 10.3390/foods12122281</w:t>
        </w:r>
      </w:hyperlink>
    </w:p>
    <w:p>
      <w:pPr>
        <w:keepNext/>
      </w:pPr>
      <w:r>
        <w:rPr>
          <w:b/>
        </w:rPr>
        <w:t>同为7.8%总淀粉浓度时的普通与蜡质玉米凝胶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38"/>
        <w:gridCol w:w="2203"/>
        <w:gridCol w:w="2203"/>
        <w:gridCol w:w="2650"/>
      </w:tblGrid>
      <w:tr>
        <w:trPr>
          <w:cantSplit/>
          <w:tblHeader/>
        </w:trPr>
        <w:tc>
          <w:tcPr>
            <w:tcW w:type="dxa" w:w="2938"/>
            <w:vAlign w:val="center"/>
            <w:tcMar>
              <w:top w:w="75" w:type="dxa"/>
              <w:bottom w:w="75" w:type="dxa"/>
              <w:left w:w="90" w:type="dxa"/>
              <w:right w:w="90" w:type="dxa"/>
            </w:tcMar>
            <w:shd w:fill="E8EDF2"/>
          </w:tcPr>
          <w:p>
            <w:pPr>
              <w:spacing w:after="0" w:line="300" w:lineRule="exact"/>
              <w:jc w:val="left"/>
            </w:pPr>
            <w:r>
              <w:rPr>
                <w:b/>
                <w:sz w:val="21"/>
              </w:rPr>
              <w:t>指标</w:t>
            </w:r>
          </w:p>
        </w:tc>
        <w:tc>
          <w:tcPr>
            <w:tcW w:type="dxa" w:w="2203"/>
            <w:vAlign w:val="center"/>
            <w:tcMar>
              <w:top w:w="75" w:type="dxa"/>
              <w:bottom w:w="75" w:type="dxa"/>
              <w:left w:w="90" w:type="dxa"/>
              <w:right w:w="90" w:type="dxa"/>
            </w:tcMar>
            <w:shd w:fill="E8EDF2"/>
          </w:tcPr>
          <w:p>
            <w:pPr>
              <w:spacing w:after="0" w:line="300" w:lineRule="exact"/>
              <w:jc w:val="center"/>
            </w:pPr>
            <w:r>
              <w:rPr>
                <w:b/>
                <w:sz w:val="21"/>
              </w:rPr>
              <w:t>普通玉米淀粉</w:t>
            </w:r>
          </w:p>
        </w:tc>
        <w:tc>
          <w:tcPr>
            <w:tcW w:type="dxa" w:w="2203"/>
            <w:vAlign w:val="center"/>
            <w:tcMar>
              <w:top w:w="75" w:type="dxa"/>
              <w:bottom w:w="75" w:type="dxa"/>
              <w:left w:w="90" w:type="dxa"/>
              <w:right w:w="90" w:type="dxa"/>
            </w:tcMar>
            <w:shd w:fill="E8EDF2"/>
          </w:tcPr>
          <w:p>
            <w:pPr>
              <w:spacing w:after="0" w:line="300" w:lineRule="exact"/>
              <w:jc w:val="center"/>
            </w:pPr>
            <w:r>
              <w:rPr>
                <w:b/>
                <w:sz w:val="21"/>
              </w:rPr>
              <w:t>蜡质玉米淀粉</w:t>
            </w:r>
          </w:p>
        </w:tc>
        <w:tc>
          <w:tcPr>
            <w:tcW w:type="dxa" w:w="2650"/>
            <w:vAlign w:val="center"/>
            <w:tcMar>
              <w:top w:w="75" w:type="dxa"/>
              <w:bottom w:w="75" w:type="dxa"/>
              <w:left w:w="90" w:type="dxa"/>
              <w:right w:w="90" w:type="dxa"/>
            </w:tcMar>
            <w:shd w:fill="E8EDF2"/>
          </w:tcPr>
          <w:p>
            <w:pPr>
              <w:spacing w:after="0" w:line="300" w:lineRule="exact"/>
              <w:jc w:val="center"/>
            </w:pPr>
            <w:r>
              <w:rPr>
                <w:b/>
                <w:sz w:val="21"/>
              </w:rPr>
              <w:t>原文位置</w:t>
            </w:r>
          </w:p>
        </w:tc>
      </w:tr>
      <w:tr>
        <w:trPr>
          <w:cantSplit/>
        </w:trPr>
        <w:tc>
          <w:tcPr>
            <w:tcW w:type="dxa" w:w="2938"/>
            <w:vAlign w:val="center"/>
            <w:tcMar>
              <w:top w:w="75" w:type="dxa"/>
              <w:bottom w:w="75" w:type="dxa"/>
              <w:left w:w="90" w:type="dxa"/>
              <w:right w:w="90" w:type="dxa"/>
            </w:tcMar>
          </w:tcPr>
          <w:p>
            <w:pPr>
              <w:spacing w:after="0" w:line="300" w:lineRule="exact"/>
              <w:jc w:val="left"/>
            </w:pPr>
            <w:r>
              <w:rPr>
                <w:b w:val="0"/>
                <w:sz w:val="21"/>
              </w:rPr>
              <w:t>原料直链淀粉含量</w:t>
            </w:r>
          </w:p>
        </w:tc>
        <w:tc>
          <w:tcPr>
            <w:tcW w:type="dxa" w:w="2203"/>
            <w:vAlign w:val="center"/>
            <w:tcMar>
              <w:top w:w="75" w:type="dxa"/>
              <w:bottom w:w="75" w:type="dxa"/>
              <w:left w:w="90" w:type="dxa"/>
              <w:right w:w="90" w:type="dxa"/>
            </w:tcMar>
          </w:tcPr>
          <w:p>
            <w:pPr>
              <w:spacing w:after="0" w:line="300" w:lineRule="exact"/>
              <w:jc w:val="center"/>
            </w:pPr>
            <w:r>
              <w:rPr>
                <w:b w:val="0"/>
                <w:sz w:val="21"/>
              </w:rPr>
              <w:t>19.8 ± 0.8%</w:t>
            </w:r>
          </w:p>
        </w:tc>
        <w:tc>
          <w:tcPr>
            <w:tcW w:type="dxa" w:w="2203"/>
            <w:vAlign w:val="center"/>
            <w:tcMar>
              <w:top w:w="75" w:type="dxa"/>
              <w:bottom w:w="75" w:type="dxa"/>
              <w:left w:w="90" w:type="dxa"/>
              <w:right w:w="90" w:type="dxa"/>
            </w:tcMar>
          </w:tcPr>
          <w:p>
            <w:pPr>
              <w:spacing w:after="0" w:line="300" w:lineRule="exact"/>
              <w:jc w:val="center"/>
            </w:pPr>
            <w:r>
              <w:rPr>
                <w:b w:val="0"/>
                <w:sz w:val="21"/>
              </w:rPr>
              <w:t>2.8 ± 0.1%</w:t>
            </w:r>
          </w:p>
        </w:tc>
        <w:tc>
          <w:tcPr>
            <w:tcW w:type="dxa" w:w="2650"/>
            <w:vAlign w:val="center"/>
            <w:tcMar>
              <w:top w:w="75" w:type="dxa"/>
              <w:bottom w:w="75" w:type="dxa"/>
              <w:left w:w="90" w:type="dxa"/>
              <w:right w:w="90" w:type="dxa"/>
            </w:tcMar>
          </w:tcPr>
          <w:p>
            <w:pPr>
              <w:spacing w:after="0" w:line="300" w:lineRule="exact"/>
              <w:jc w:val="center"/>
            </w:pPr>
            <w:r>
              <w:rPr>
                <w:b w:val="0"/>
                <w:sz w:val="21"/>
              </w:rPr>
              <w:t>Table 2</w:t>
            </w:r>
          </w:p>
        </w:tc>
      </w:tr>
      <w:tr>
        <w:trPr>
          <w:cantSplit/>
        </w:trPr>
        <w:tc>
          <w:tcPr>
            <w:tcW w:type="dxa" w:w="2938"/>
            <w:vAlign w:val="center"/>
            <w:tcMar>
              <w:top w:w="75" w:type="dxa"/>
              <w:bottom w:w="75" w:type="dxa"/>
              <w:left w:w="90" w:type="dxa"/>
              <w:right w:w="90" w:type="dxa"/>
            </w:tcMar>
          </w:tcPr>
          <w:p>
            <w:pPr>
              <w:spacing w:after="0" w:line="300" w:lineRule="exact"/>
              <w:jc w:val="left"/>
            </w:pPr>
            <w:r>
              <w:rPr>
                <w:b w:val="0"/>
                <w:sz w:val="21"/>
              </w:rPr>
              <w:t>G′₁  储能模量</w:t>
            </w:r>
          </w:p>
        </w:tc>
        <w:tc>
          <w:tcPr>
            <w:tcW w:type="dxa" w:w="2203"/>
            <w:vAlign w:val="center"/>
            <w:tcMar>
              <w:top w:w="75" w:type="dxa"/>
              <w:bottom w:w="75" w:type="dxa"/>
              <w:left w:w="90" w:type="dxa"/>
              <w:right w:w="90" w:type="dxa"/>
            </w:tcMar>
          </w:tcPr>
          <w:p>
            <w:pPr>
              <w:spacing w:after="0" w:line="300" w:lineRule="exact"/>
              <w:jc w:val="center"/>
            </w:pPr>
            <w:r>
              <w:rPr>
                <w:b w:val="0"/>
                <w:sz w:val="21"/>
              </w:rPr>
              <w:t>641 ± 8 Pa</w:t>
            </w:r>
          </w:p>
        </w:tc>
        <w:tc>
          <w:tcPr>
            <w:tcW w:type="dxa" w:w="2203"/>
            <w:vAlign w:val="center"/>
            <w:tcMar>
              <w:top w:w="75" w:type="dxa"/>
              <w:bottom w:w="75" w:type="dxa"/>
              <w:left w:w="90" w:type="dxa"/>
              <w:right w:w="90" w:type="dxa"/>
            </w:tcMar>
          </w:tcPr>
          <w:p>
            <w:pPr>
              <w:spacing w:after="0" w:line="300" w:lineRule="exact"/>
              <w:jc w:val="center"/>
            </w:pPr>
            <w:r>
              <w:rPr>
                <w:b w:val="0"/>
                <w:sz w:val="21"/>
              </w:rPr>
              <w:t>8 ± 1 Pa</w:t>
            </w:r>
          </w:p>
        </w:tc>
        <w:tc>
          <w:tcPr>
            <w:tcW w:type="dxa" w:w="2650"/>
            <w:vAlign w:val="center"/>
            <w:tcMar>
              <w:top w:w="75" w:type="dxa"/>
              <w:bottom w:w="75" w:type="dxa"/>
              <w:left w:w="90" w:type="dxa"/>
              <w:right w:w="90" w:type="dxa"/>
            </w:tcMar>
          </w:tcPr>
          <w:p>
            <w:pPr>
              <w:spacing w:after="0" w:line="300" w:lineRule="exact"/>
              <w:jc w:val="center"/>
            </w:pPr>
            <w:r>
              <w:rPr>
                <w:b w:val="0"/>
                <w:sz w:val="21"/>
              </w:rPr>
              <w:t>Table S2</w:t>
            </w:r>
          </w:p>
        </w:tc>
      </w:tr>
      <w:tr>
        <w:trPr>
          <w:cantSplit/>
        </w:trPr>
        <w:tc>
          <w:tcPr>
            <w:tcW w:type="dxa" w:w="2938"/>
            <w:vAlign w:val="center"/>
            <w:tcMar>
              <w:top w:w="75" w:type="dxa"/>
              <w:bottom w:w="75" w:type="dxa"/>
              <w:left w:w="90" w:type="dxa"/>
              <w:right w:w="90" w:type="dxa"/>
            </w:tcMar>
          </w:tcPr>
          <w:p>
            <w:pPr>
              <w:spacing w:after="0" w:line="300" w:lineRule="exact"/>
              <w:jc w:val="left"/>
            </w:pPr>
            <w:r>
              <w:rPr>
                <w:b w:val="0"/>
                <w:sz w:val="21"/>
              </w:rPr>
              <w:t>G′＝G″交点应力</w:t>
            </w:r>
          </w:p>
        </w:tc>
        <w:tc>
          <w:tcPr>
            <w:tcW w:type="dxa" w:w="2203"/>
            <w:vAlign w:val="center"/>
            <w:tcMar>
              <w:top w:w="75" w:type="dxa"/>
              <w:bottom w:w="75" w:type="dxa"/>
              <w:left w:w="90" w:type="dxa"/>
              <w:right w:w="90" w:type="dxa"/>
            </w:tcMar>
          </w:tcPr>
          <w:p>
            <w:pPr>
              <w:spacing w:after="0" w:line="300" w:lineRule="exact"/>
              <w:jc w:val="center"/>
            </w:pPr>
            <w:r>
              <w:rPr>
                <w:b w:val="0"/>
                <w:sz w:val="21"/>
              </w:rPr>
              <w:t>711 ± 14 Pa</w:t>
            </w:r>
          </w:p>
        </w:tc>
        <w:tc>
          <w:tcPr>
            <w:tcW w:type="dxa" w:w="2203"/>
            <w:vAlign w:val="center"/>
            <w:tcMar>
              <w:top w:w="75" w:type="dxa"/>
              <w:bottom w:w="75" w:type="dxa"/>
              <w:left w:w="90" w:type="dxa"/>
              <w:right w:w="90" w:type="dxa"/>
            </w:tcMar>
          </w:tcPr>
          <w:p>
            <w:pPr>
              <w:spacing w:after="0" w:line="300" w:lineRule="exact"/>
              <w:jc w:val="center"/>
            </w:pPr>
            <w:r>
              <w:rPr>
                <w:b w:val="0"/>
                <w:sz w:val="21"/>
              </w:rPr>
              <w:t>33 ± 7 Pa</w:t>
            </w:r>
          </w:p>
        </w:tc>
        <w:tc>
          <w:tcPr>
            <w:tcW w:type="dxa" w:w="2650"/>
            <w:vAlign w:val="center"/>
            <w:tcMar>
              <w:top w:w="75" w:type="dxa"/>
              <w:bottom w:w="75" w:type="dxa"/>
              <w:left w:w="90" w:type="dxa"/>
              <w:right w:w="90" w:type="dxa"/>
            </w:tcMar>
          </w:tcPr>
          <w:p>
            <w:pPr>
              <w:spacing w:after="0" w:line="300" w:lineRule="exact"/>
              <w:jc w:val="center"/>
            </w:pPr>
            <w:r>
              <w:rPr>
                <w:b w:val="0"/>
                <w:sz w:val="21"/>
              </w:rPr>
              <w:t>Table S3</w:t>
            </w:r>
          </w:p>
        </w:tc>
      </w:tr>
    </w:tbl>
    <w:p>
      <w:pPr>
        <w:spacing w:after="0"/>
      </w:pPr>
    </w:p>
    <w:p>
      <w:pPr>
        <w:spacing w:line="300" w:lineRule="exact"/>
      </w:pPr>
      <w:r>
        <w:rPr>
          <w:b w:val="0"/>
          <w:sz w:val="21"/>
        </w:rPr>
        <w:t>注：7.8%为凝胶中总淀粉质量分数，不是直链淀粉含量；直链含量来自原料表。数值为原文均值±标准差。G′₁为频率扫描幂律拟合得到的1 Hz储能模量系数，不是应力扫描平台值。</w:t>
      </w:r>
    </w:p>
    <w:p>
      <w:pPr>
        <w:pStyle w:val="Heading1"/>
      </w:pPr>
      <w:r>
        <w:rPr>
          <w:b w:val="0"/>
        </w:rPr>
        <w:t>原文具体位置和指标对应关系</w:t>
      </w:r>
    </w:p>
    <w:p>
      <w:pPr>
        <w:spacing w:line="300" w:lineRule="exact"/>
      </w:pPr>
      <w:r>
        <w:rPr>
          <w:b w:val="0"/>
          <w:sz w:val="21"/>
        </w:rPr>
        <w:t>方法第2.7节：25 ℃测试；频率扫描为1–10 Hz，1%应变。另以1 Hz应变扫描确定“the stress at the cross point (G′ = G″)”，与本稿τf的交点定义对应。两篇研究的扫描控制方式仍有区别。</w:t>
      </w:r>
    </w:p>
    <w:p>
      <w:pPr>
        <w:spacing w:line="300" w:lineRule="exact"/>
      </w:pPr>
      <w:r>
        <w:rPr>
          <w:b w:val="0"/>
          <w:sz w:val="21"/>
        </w:rPr>
        <w:t>G′证据：第3.4.1节第3段、Figure 2A；具体数值见补充PDF第2页Table S2中Normal Maize与Waxy maize各自的7.8%行。</w:t>
      </w:r>
    </w:p>
    <w:p>
      <w:pPr>
        <w:spacing w:line="300" w:lineRule="exact"/>
      </w:pPr>
      <w:r>
        <w:rPr>
          <w:b w:val="0"/>
          <w:sz w:val="21"/>
        </w:rPr>
        <w:t>交点应力证据：第3.4.2节第1–3段、Figure 3A；具体数值见补充PDF第3页Table S3的同名样品7.8%行，列名为Crossing Point Stress。</w:t>
      </w:r>
    </w:p>
    <w:p>
      <w:pPr>
        <w:spacing w:line="300" w:lineRule="exact"/>
      </w:pPr>
      <w:r>
        <w:rPr>
          <w:b w:val="0"/>
          <w:sz w:val="21"/>
        </w:rPr>
        <w:t>Table S3另外列出的τmax是线性黏弹区终点应力，不能代替τf；Figure 3C也表示τmax。原文使用“交点应力”这一名称，并未将其记为τf。</w:t>
      </w:r>
    </w:p>
    <w:p>
      <w:pPr>
        <w:spacing w:line="300" w:lineRule="exact"/>
      </w:pPr>
      <w:r>
        <w:rPr>
          <w:b w:val="0"/>
          <w:sz w:val="21"/>
        </w:rPr>
        <w:t>适用范围：该研究是普通与蜡质淀粉类型的对比，不是你所用CS／WCS复配比例梯度，且制胶、储存和测试条件有差异。因此可写“与本研究变化方向一致”，不能据此把直链含量认定为唯一原因，或概括为所有淀粉体系的普遍规律。</w:t>
      </w:r>
    </w:p>
    <w:p>
      <w:r>
        <w:br w:type="page"/>
      </w:r>
    </w:p>
    <w:p>
      <w:pPr>
        <w:pStyle w:val="Heading1"/>
      </w:pPr>
      <w:r>
        <w:rPr>
          <w:b w:val="0"/>
        </w:rPr>
        <w:t>国内外补充证据的使用范围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3240"/>
        <w:gridCol w:w="3701"/>
      </w:tblGrid>
      <w:tr>
        <w:trPr>
          <w:cantSplit/>
          <w:tblHeader/>
        </w:trPr>
        <w:tc>
          <w:tcPr>
            <w:tcW w:type="dxa" w:w="3053"/>
            <w:vAlign w:val="center"/>
            <w:tcMar>
              <w:top w:w="75" w:type="dxa"/>
              <w:bottom w:w="75" w:type="dxa"/>
              <w:left w:w="90" w:type="dxa"/>
              <w:right w:w="90" w:type="dxa"/>
            </w:tcMar>
            <w:shd w:fill="E8EDF2"/>
          </w:tcPr>
          <w:p>
            <w:pPr>
              <w:spacing w:after="0" w:line="300" w:lineRule="exact"/>
              <w:jc w:val="left"/>
            </w:pPr>
            <w:r>
              <w:rPr>
                <w:b/>
                <w:sz w:val="21"/>
              </w:rPr>
              <w:t>研究及作者机构</w:t>
            </w:r>
          </w:p>
        </w:tc>
        <w:tc>
          <w:tcPr>
            <w:tcW w:type="dxa" w:w="3240"/>
            <w:vAlign w:val="center"/>
            <w:tcMar>
              <w:top w:w="75" w:type="dxa"/>
              <w:bottom w:w="75" w:type="dxa"/>
              <w:left w:w="90" w:type="dxa"/>
              <w:right w:w="90" w:type="dxa"/>
            </w:tcMar>
            <w:shd w:fill="E8EDF2"/>
          </w:tcPr>
          <w:p>
            <w:pPr>
              <w:spacing w:after="0" w:line="300" w:lineRule="exact"/>
              <w:jc w:val="left"/>
            </w:pPr>
            <w:r>
              <w:rPr>
                <w:b/>
                <w:sz w:val="21"/>
              </w:rPr>
              <w:t>已核实的结论</w:t>
            </w:r>
          </w:p>
        </w:tc>
        <w:tc>
          <w:tcPr>
            <w:tcW w:type="dxa" w:w="3701"/>
            <w:vAlign w:val="center"/>
            <w:tcMar>
              <w:top w:w="75" w:type="dxa"/>
              <w:bottom w:w="75" w:type="dxa"/>
              <w:left w:w="90" w:type="dxa"/>
              <w:right w:w="90" w:type="dxa"/>
            </w:tcMar>
            <w:shd w:fill="E8EDF2"/>
          </w:tcPr>
          <w:p>
            <w:pPr>
              <w:spacing w:after="0" w:line="300" w:lineRule="exact"/>
              <w:jc w:val="left"/>
            </w:pPr>
            <w:r>
              <w:rPr>
                <w:b/>
                <w:sz w:val="21"/>
              </w:rPr>
              <w:t>在本段中的用途</w:t>
            </w:r>
          </w:p>
        </w:tc>
      </w:tr>
      <w:tr>
        <w:trPr>
          <w:cantSplit/>
        </w:trPr>
        <w:tc>
          <w:tcPr>
            <w:tcW w:type="dxa" w:w="3053"/>
            <w:vAlign w:val="center"/>
            <w:tcMar>
              <w:top w:w="75" w:type="dxa"/>
              <w:bottom w:w="75" w:type="dxa"/>
              <w:left w:w="90" w:type="dxa"/>
              <w:right w:w="90" w:type="dxa"/>
            </w:tcMar>
          </w:tcPr>
          <w:p>
            <w:pPr>
              <w:spacing w:after="0" w:line="300" w:lineRule="exact"/>
              <w:jc w:val="left"/>
            </w:pPr>
            <w:r>
              <w:rPr>
                <w:b w:val="0"/>
                <w:sz w:val="21"/>
              </w:rPr>
              <w:t>Koev等 2020 [2]</w:t>
              <w:br/>
              <w:t>英国大学与研究机构</w:t>
            </w:r>
          </w:p>
        </w:tc>
        <w:tc>
          <w:tcPr>
            <w:tcW w:type="dxa" w:w="3240"/>
            <w:vAlign w:val="center"/>
            <w:tcMar>
              <w:top w:w="75" w:type="dxa"/>
              <w:bottom w:w="75" w:type="dxa"/>
              <w:left w:w="90" w:type="dxa"/>
              <w:right w:w="90" w:type="dxa"/>
            </w:tcMar>
          </w:tcPr>
          <w:p>
            <w:pPr>
              <w:spacing w:after="0" w:line="300" w:lineRule="exact"/>
              <w:jc w:val="left"/>
            </w:pPr>
            <w:r>
              <w:rPr>
                <w:b w:val="0"/>
                <w:sz w:val="21"/>
              </w:rPr>
              <w:t>玉米淀粉直链含量与G′相关</w:t>
              <w:br/>
              <w:t>R²＝0.9305</w:t>
            </w:r>
          </w:p>
        </w:tc>
        <w:tc>
          <w:tcPr>
            <w:tcW w:type="dxa" w:w="3701"/>
            <w:vAlign w:val="center"/>
            <w:tcMar>
              <w:top w:w="75" w:type="dxa"/>
              <w:bottom w:w="75" w:type="dxa"/>
              <w:left w:w="90" w:type="dxa"/>
              <w:right w:w="90" w:type="dxa"/>
            </w:tcMar>
          </w:tcPr>
          <w:p>
            <w:pPr>
              <w:spacing w:after="0" w:line="300" w:lineRule="exact"/>
              <w:jc w:val="left"/>
            </w:pPr>
            <w:r>
              <w:rPr>
                <w:b w:val="0"/>
                <w:sz w:val="21"/>
              </w:rPr>
              <w:t>支持G′方向及链再缔合机制</w:t>
              <w:br/>
              <w:t>未提供τf趋势证据</w:t>
            </w:r>
          </w:p>
        </w:tc>
      </w:tr>
      <w:tr>
        <w:trPr>
          <w:cantSplit/>
        </w:trPr>
        <w:tc>
          <w:tcPr>
            <w:tcW w:type="dxa" w:w="3053"/>
            <w:vAlign w:val="center"/>
            <w:tcMar>
              <w:top w:w="75" w:type="dxa"/>
              <w:bottom w:w="75" w:type="dxa"/>
              <w:left w:w="90" w:type="dxa"/>
              <w:right w:w="90" w:type="dxa"/>
            </w:tcMar>
          </w:tcPr>
          <w:p>
            <w:pPr>
              <w:spacing w:after="0" w:line="300" w:lineRule="exact"/>
              <w:jc w:val="left"/>
            </w:pPr>
            <w:r>
              <w:rPr>
                <w:b w:val="0"/>
                <w:sz w:val="21"/>
              </w:rPr>
              <w:t>Cheng等 2024 [3]</w:t>
              <w:br/>
              <w:t>齐鲁工业大学等国内机构</w:t>
            </w:r>
          </w:p>
        </w:tc>
        <w:tc>
          <w:tcPr>
            <w:tcW w:type="dxa" w:w="3240"/>
            <w:vAlign w:val="center"/>
            <w:tcMar>
              <w:top w:w="75" w:type="dxa"/>
              <w:bottom w:w="75" w:type="dxa"/>
              <w:left w:w="90" w:type="dxa"/>
              <w:right w:w="90" w:type="dxa"/>
            </w:tcMar>
          </w:tcPr>
          <w:p>
            <w:pPr>
              <w:spacing w:after="0" w:line="300" w:lineRule="exact"/>
              <w:jc w:val="left"/>
            </w:pPr>
            <w:r>
              <w:rPr>
                <w:b w:val="0"/>
                <w:sz w:val="21"/>
              </w:rPr>
              <w:t>正式摘要报告直链淀粉增强G′；蜡质凝胶支撑不足</w:t>
            </w:r>
          </w:p>
        </w:tc>
        <w:tc>
          <w:tcPr>
            <w:tcW w:type="dxa" w:w="3701"/>
            <w:vAlign w:val="center"/>
            <w:tcMar>
              <w:top w:w="75" w:type="dxa"/>
              <w:bottom w:w="75" w:type="dxa"/>
              <w:left w:w="90" w:type="dxa"/>
              <w:right w:w="90" w:type="dxa"/>
            </w:tcMar>
          </w:tcPr>
          <w:p>
            <w:pPr>
              <w:spacing w:after="0" w:line="300" w:lineRule="exact"/>
              <w:jc w:val="left"/>
            </w:pPr>
            <w:r>
              <w:rPr>
                <w:b w:val="0"/>
                <w:sz w:val="21"/>
              </w:rPr>
              <w:t>国内G′及打印关联证据</w:t>
              <w:br/>
              <w:t>摘要未报告τf，全文未核验</w:t>
            </w:r>
          </w:p>
        </w:tc>
      </w:tr>
      <w:tr>
        <w:trPr>
          <w:cantSplit/>
        </w:trPr>
        <w:tc>
          <w:tcPr>
            <w:tcW w:type="dxa" w:w="3053"/>
            <w:vAlign w:val="center"/>
            <w:tcMar>
              <w:top w:w="75" w:type="dxa"/>
              <w:bottom w:w="75" w:type="dxa"/>
              <w:left w:w="90" w:type="dxa"/>
              <w:right w:w="90" w:type="dxa"/>
            </w:tcMar>
          </w:tcPr>
          <w:p>
            <w:pPr>
              <w:spacing w:after="0" w:line="300" w:lineRule="exact"/>
              <w:jc w:val="left"/>
            </w:pPr>
            <w:r>
              <w:rPr>
                <w:b w:val="0"/>
                <w:sz w:val="21"/>
              </w:rPr>
              <w:t>Tian等 2023 [4]</w:t>
              <w:br/>
              <w:t>贵州大学及毕节农科所</w:t>
            </w:r>
          </w:p>
        </w:tc>
        <w:tc>
          <w:tcPr>
            <w:tcW w:type="dxa" w:w="3240"/>
            <w:vAlign w:val="center"/>
            <w:tcMar>
              <w:top w:w="75" w:type="dxa"/>
              <w:bottom w:w="75" w:type="dxa"/>
              <w:left w:w="90" w:type="dxa"/>
              <w:right w:w="90" w:type="dxa"/>
            </w:tcMar>
          </w:tcPr>
          <w:p>
            <w:pPr>
              <w:spacing w:after="0" w:line="300" w:lineRule="exact"/>
              <w:jc w:val="left"/>
            </w:pPr>
            <w:r>
              <w:rPr>
                <w:b w:val="0"/>
                <w:sz w:val="21"/>
              </w:rPr>
              <w:t>米粉凝胶G′排序与直链含量排序一致</w:t>
            </w:r>
          </w:p>
        </w:tc>
        <w:tc>
          <w:tcPr>
            <w:tcW w:type="dxa" w:w="3701"/>
            <w:vAlign w:val="center"/>
            <w:tcMar>
              <w:top w:w="75" w:type="dxa"/>
              <w:bottom w:w="75" w:type="dxa"/>
              <w:left w:w="90" w:type="dxa"/>
              <w:right w:w="90" w:type="dxa"/>
            </w:tcMar>
          </w:tcPr>
          <w:p>
            <w:pPr>
              <w:spacing w:after="0" w:line="300" w:lineRule="exact"/>
              <w:jc w:val="left"/>
            </w:pPr>
            <w:r>
              <w:rPr>
                <w:b w:val="0"/>
                <w:sz w:val="21"/>
              </w:rPr>
              <w:t>国内G′方向的全文证据</w:t>
              <w:br/>
              <w:t>无可对应本稿τf的应力比较</w:t>
            </w:r>
          </w:p>
        </w:tc>
      </w:tr>
      <w:tr>
        <w:trPr>
          <w:cantSplit/>
        </w:trPr>
        <w:tc>
          <w:tcPr>
            <w:tcW w:type="dxa" w:w="3053"/>
            <w:vAlign w:val="center"/>
            <w:tcMar>
              <w:top w:w="75" w:type="dxa"/>
              <w:bottom w:w="75" w:type="dxa"/>
              <w:left w:w="90" w:type="dxa"/>
              <w:right w:w="90" w:type="dxa"/>
            </w:tcMar>
          </w:tcPr>
          <w:p>
            <w:pPr>
              <w:spacing w:after="0" w:line="300" w:lineRule="exact"/>
              <w:jc w:val="left"/>
            </w:pPr>
            <w:r>
              <w:rPr>
                <w:b w:val="0"/>
                <w:sz w:val="21"/>
              </w:rPr>
              <w:t>Cheng等 2024 [5]</w:t>
              <w:br/>
              <w:t>齐鲁工业大学等国内机构</w:t>
            </w:r>
          </w:p>
        </w:tc>
        <w:tc>
          <w:tcPr>
            <w:tcW w:type="dxa" w:w="3240"/>
            <w:vAlign w:val="center"/>
            <w:tcMar>
              <w:top w:w="75" w:type="dxa"/>
              <w:bottom w:w="75" w:type="dxa"/>
              <w:left w:w="90" w:type="dxa"/>
              <w:right w:w="90" w:type="dxa"/>
            </w:tcMar>
          </w:tcPr>
          <w:p>
            <w:pPr>
              <w:spacing w:after="0" w:line="300" w:lineRule="exact"/>
              <w:jc w:val="left"/>
            </w:pPr>
            <w:r>
              <w:rPr>
                <w:b w:val="0"/>
                <w:sz w:val="21"/>
              </w:rPr>
              <w:t>正式摘要报告相结构转变伴随G′和τf降低</w:t>
            </w:r>
          </w:p>
        </w:tc>
        <w:tc>
          <w:tcPr>
            <w:tcW w:type="dxa" w:w="3701"/>
            <w:vAlign w:val="center"/>
            <w:tcMar>
              <w:top w:w="75" w:type="dxa"/>
              <w:bottom w:w="75" w:type="dxa"/>
              <w:left w:w="90" w:type="dxa"/>
              <w:right w:w="90" w:type="dxa"/>
            </w:tcMar>
          </w:tcPr>
          <w:p>
            <w:pPr>
              <w:spacing w:after="0" w:line="300" w:lineRule="exact"/>
              <w:jc w:val="left"/>
            </w:pPr>
            <w:r>
              <w:rPr>
                <w:b w:val="0"/>
                <w:sz w:val="21"/>
              </w:rPr>
              <w:t>研究变量为明胶比例</w:t>
              <w:br/>
              <w:t>不能充当降低直链比例的直接证据</w:t>
            </w:r>
          </w:p>
        </w:tc>
      </w:tr>
    </w:tbl>
    <w:p>
      <w:pPr>
        <w:spacing w:after="0"/>
      </w:pPr>
    </w:p>
    <w:p>
      <w:pPr>
        <w:spacing w:line="300" w:lineRule="exact"/>
      </w:pPr>
      <w:r>
        <w:rPr>
          <w:b w:val="0"/>
          <w:sz w:val="21"/>
        </w:rPr>
        <w:t>国内研究可以补强“直链含量较低时G′较低”的论述。本次可核验的国内文献中，尚未确认一篇通过降低直链淀粉比例同时报告G′与本稿定义的τf降低的研究；这不代表此类研究不存在。国内外归类依据作者机构，而非作者姓名或期刊语言。</w:t>
      </w:r>
    </w:p>
    <w:p>
      <w:pPr>
        <w:pStyle w:val="Heading1"/>
      </w:pPr>
      <w:r>
        <w:rPr>
          <w:b w:val="0"/>
        </w:rPr>
        <w:t>可单独用于应力扫描部分的文字</w:t>
      </w:r>
    </w:p>
    <w:p>
      <w:r>
        <w:rPr>
          <w:b w:val="0"/>
        </w:rPr>
        <w:t>如图5a所示，在1～100 Pa的低应力范围内，各样品均表现为G′＞G″，呈弹性主导的类固体特征；相同应力下，G′随WCS添加量增加而降低，说明凝胶的弹性响应减弱。G′与G″交点对应的流动应力（τf）由CS的995.53 Pa降至M-CS16%的232.70 Pa（表3）。Mauro等在相同总淀粉浓度下比较普通与蜡质玉米淀粉凝胶，发现低直链含量的蜡质玉米凝胶具有较低的G′和G′＝G″交点应力，与本研究两个指标的变化方向一致[1]。Koev等也发现玉米淀粉凝胶的直链淀粉含量与G′呈正相关[2]。这可能与WCS引入后直链淀粉相对比例降低有关：以线性链段为主的直链淀粉更易发生链间再缔合并参与连接区形成，其相对减少可能降低对凝胶网络连接的贡献，从而使弹性响应减弱[2]。τf降低则说明凝胶在更低的振荡应力下达到黏性响应占优的转变。上述变化与前述有序程度及凝胶质地的变化相呼应；考虑到直链比例还会影响挤出连续性和沉积后的支撑能力[3]，其对成型表现的影响应结合下文实际3D打印结果讨论。</w:t>
      </w:r>
    </w:p>
    <w:p>
      <w:pPr>
        <w:pStyle w:val="Heading1"/>
      </w:pPr>
      <w:r>
        <w:rPr>
          <w:b w:val="0"/>
        </w:rPr>
        <w:t>现有引用的调整建议</w:t>
      </w:r>
    </w:p>
    <w:p>
      <w:pPr>
        <w:spacing w:line="300" w:lineRule="exact"/>
      </w:pPr>
      <w:r>
        <w:rPr>
          <w:b w:val="0"/>
          <w:sz w:val="21"/>
        </w:rPr>
        <w:t>两个指标同步降低的佐证优先换为Mauro等[1]；链再缔合与连接区的原因解释保留Koev等[2]，并把引用紧接在该解释之后。你现有的Cheng淀粉／明胶文献[5]可用于讨论网络改变与流变行为的联系，但不宜表述成直链比例降低实验。</w:t>
      </w:r>
    </w:p>
    <w:p>
      <w:pPr>
        <w:spacing w:line="300" w:lineRule="exact"/>
      </w:pPr>
      <w:r>
        <w:rPr>
          <w:b w:val="0"/>
          <w:sz w:val="21"/>
        </w:rPr>
        <w:t>上述段落不将τf视为稳态剪切模型中的屈服应力，也不依据G′或τf降低直接断言实际挤出压力降低、挤出膨胀减小或打印精度提高；这些需要对应的打印实验或专门证据。图号暂按上传文档图题“图5”使用，合稿时统一。</w:t>
      </w:r>
    </w:p>
    <w:p>
      <w:r>
        <w:br w:type="page"/>
      </w:r>
    </w:p>
    <w:p>
      <w:pPr>
        <w:pStyle w:val="Heading1"/>
      </w:pPr>
      <w:r>
        <w:rPr>
          <w:b w:val="0"/>
        </w:rPr>
        <w:t>参考文献与可核验位置</w:t>
      </w:r>
    </w:p>
    <w:p>
      <w:pPr>
        <w:keepNext/>
        <w:spacing w:line="300" w:lineRule="exact"/>
        <w:jc w:val="left"/>
      </w:pPr>
      <w:r>
        <w:rPr>
          <w:b w:val="0"/>
          <w:sz w:val="21"/>
        </w:rPr>
        <w:t>[1] Mauro RR, Vela AJ, Ronda F. Impact of Starch Concentration on the Pasting and Rheological Properties of Gluten-Free Gels. Effects of Amylose Content and Thermal and Hydration Properties. Foods. 2023;12(12):2281.</w:t>
      </w:r>
    </w:p>
    <w:p>
      <w:pPr>
        <w:keepNext/>
        <w:spacing w:line="300" w:lineRule="exact"/>
      </w:pPr>
      <w:r>
        <w:rPr>
          <w:b w:val="0"/>
          <w:sz w:val="21"/>
        </w:rPr>
      </w:r>
      <w:hyperlink r:id="rId10">
        <w:r>
          <w:rPr>
            <w:rFonts w:ascii="Liberation Serif" w:hAnsi="Liberation Serif" w:eastAsia="Noto Serif CJK SC"/>
            <w:color w:val="000000"/>
            <w:sz w:val="21"/>
          </w:rPr>
          <w:t>DOI 10.3390/foods12122281</w:t>
        </w:r>
      </w:hyperlink>
      <w:r>
        <w:t xml:space="preserve">  |  </w:t>
      </w:r>
      <w:hyperlink r:id="rId11">
        <w:r>
          <w:rPr>
            <w:rFonts w:ascii="Liberation Serif" w:hAnsi="Liberation Serif" w:eastAsia="Noto Serif CJK SC"/>
            <w:color w:val="000000"/>
            <w:sz w:val="21"/>
          </w:rPr>
          <w:t>PMC全文</w:t>
        </w:r>
      </w:hyperlink>
      <w:r>
        <w:t xml:space="preserve">  |  </w:t>
      </w:r>
      <w:hyperlink r:id="rId12">
        <w:r>
          <w:rPr>
            <w:rFonts w:ascii="Liberation Serif" w:hAnsi="Liberation Serif" w:eastAsia="Noto Serif CJK SC"/>
            <w:color w:val="000000"/>
            <w:sz w:val="21"/>
          </w:rPr>
          <w:t>官方补充材料</w:t>
        </w:r>
      </w:hyperlink>
    </w:p>
    <w:p>
      <w:pPr>
        <w:spacing w:line="300" w:lineRule="exact"/>
      </w:pPr>
      <w:r>
        <w:rPr>
          <w:b w:val="0"/>
          <w:sz w:val="21"/>
        </w:rPr>
        <w:t>全文与官方补充材料已核验。Table 2为直链含量；第2.7节为指标定义；第3.4.1节第3段／Figure 2A／Table S2为G′；第3.4.2节／Figure 3A／Table S3为交点应力。</w:t>
      </w:r>
    </w:p>
    <w:p>
      <w:pPr>
        <w:keepNext/>
        <w:spacing w:line="300" w:lineRule="exact"/>
        <w:jc w:val="left"/>
      </w:pPr>
      <w:r>
        <w:rPr>
          <w:b w:val="0"/>
          <w:sz w:val="21"/>
        </w:rPr>
        <w:t>[2] Koev TT, Muñoz-García JC, Iuga D, Khimyak YZ, Warren FJ. Structural heterogeneities in starch hydrogels. Carbohydrate Polymers. 2020;249:116834.</w:t>
      </w:r>
    </w:p>
    <w:p>
      <w:pPr>
        <w:keepNext/>
        <w:spacing w:line="300" w:lineRule="exact"/>
      </w:pPr>
      <w:r>
        <w:rPr>
          <w:b w:val="0"/>
          <w:sz w:val="21"/>
        </w:rPr>
      </w:r>
      <w:hyperlink r:id="rId13">
        <w:r>
          <w:rPr>
            <w:rFonts w:ascii="Liberation Serif" w:hAnsi="Liberation Serif" w:eastAsia="Noto Serif CJK SC"/>
            <w:color w:val="000000"/>
            <w:sz w:val="21"/>
          </w:rPr>
          <w:t>DOI 10.1016/j.carbpol.2020.116834</w:t>
        </w:r>
      </w:hyperlink>
      <w:r>
        <w:t xml:space="preserve">  |  </w:t>
      </w:r>
      <w:hyperlink r:id="rId14">
        <w:r>
          <w:rPr>
            <w:rFonts w:ascii="Liberation Serif" w:hAnsi="Liberation Serif" w:eastAsia="Noto Serif CJK SC"/>
            <w:color w:val="000000"/>
            <w:sz w:val="21"/>
          </w:rPr>
          <w:t>PMC全文</w:t>
        </w:r>
      </w:hyperlink>
    </w:p>
    <w:p>
      <w:pPr>
        <w:spacing w:line="300" w:lineRule="exact"/>
      </w:pPr>
      <w:r>
        <w:rPr>
          <w:b w:val="0"/>
          <w:sz w:val="21"/>
        </w:rPr>
        <w:t>全文已核验。第3.2.2节Mechanical properties第3段及Figure S7：AM与G′相关，R²＝0.9305；同段解释链再缔合和连接区形成，线性直链比高度支化链更易排列、相互作用。第3.3.4节第2段补充直链较快再缔合与紧密网络的联系。未提供τf下降的实测证据。</w:t>
      </w:r>
    </w:p>
    <w:p>
      <w:pPr>
        <w:keepNext/>
        <w:spacing w:line="300" w:lineRule="exact"/>
        <w:jc w:val="left"/>
      </w:pPr>
      <w:r>
        <w:rPr>
          <w:b w:val="0"/>
          <w:sz w:val="21"/>
        </w:rPr>
        <w:t>[3] Cheng Y, et al. Impact of starch amylose and amylopectin on the rheological and 3D printing properties of corn starch. International Journal of Biological Macromolecules. 2024;278:134403.</w:t>
      </w:r>
    </w:p>
    <w:p>
      <w:pPr>
        <w:keepNext/>
        <w:spacing w:line="300" w:lineRule="exact"/>
      </w:pPr>
      <w:r>
        <w:rPr>
          <w:b w:val="0"/>
          <w:sz w:val="21"/>
        </w:rPr>
      </w:r>
      <w:hyperlink r:id="rId15">
        <w:r>
          <w:rPr>
            <w:rFonts w:ascii="Liberation Serif" w:hAnsi="Liberation Serif" w:eastAsia="Noto Serif CJK SC"/>
            <w:color w:val="000000"/>
            <w:sz w:val="21"/>
          </w:rPr>
          <w:t>DOI 10.1016/j.ijbiomac.2024.134403</w:t>
        </w:r>
      </w:hyperlink>
      <w:r>
        <w:t xml:space="preserve">  |  </w:t>
      </w:r>
      <w:hyperlink r:id="rId16">
        <w:r>
          <w:rPr>
            <w:rFonts w:ascii="Liberation Serif" w:hAnsi="Liberation Serif" w:eastAsia="Noto Serif CJK SC"/>
            <w:color w:val="000000"/>
            <w:sz w:val="21"/>
          </w:rPr>
          <w:t>PubMed正式摘要 PMID 39094882</w:t>
        </w:r>
      </w:hyperlink>
    </w:p>
    <w:p>
      <w:pPr>
        <w:spacing w:line="300" w:lineRule="exact"/>
      </w:pPr>
      <w:r>
        <w:rPr>
          <w:b w:val="0"/>
          <w:sz w:val="21"/>
        </w:rPr>
        <w:t>本次核验正式摘要，未核验全文。摘要第2句以“Amylose in starch-based gels”起始，报告直链促进凝胶结构、增强G′及支撑；以“Conversely, waxy starch gel”起始的句子报告蜡质凝胶连续挤出、黏附良好但支撑不足。摘要未报告τf。</w:t>
      </w:r>
    </w:p>
    <w:p>
      <w:pPr>
        <w:keepNext/>
        <w:spacing w:line="300" w:lineRule="exact"/>
        <w:jc w:val="left"/>
      </w:pPr>
      <w:r>
        <w:rPr>
          <w:b w:val="0"/>
          <w:sz w:val="21"/>
        </w:rPr>
        <w:t>[4] Tian J, Qin L, Zeng X, Ge P, Fan J, Zhu Y. The Role of Amylose in Gel Forming of Rice Flour. Foods. 2023;12(6):1210.</w:t>
      </w:r>
    </w:p>
    <w:p>
      <w:pPr>
        <w:keepNext/>
        <w:spacing w:line="300" w:lineRule="exact"/>
      </w:pPr>
      <w:r>
        <w:rPr>
          <w:b w:val="0"/>
          <w:sz w:val="21"/>
        </w:rPr>
      </w:r>
      <w:hyperlink r:id="rId17">
        <w:r>
          <w:rPr>
            <w:rFonts w:ascii="Liberation Serif" w:hAnsi="Liberation Serif" w:eastAsia="Noto Serif CJK SC"/>
            <w:color w:val="000000"/>
            <w:sz w:val="21"/>
          </w:rPr>
          <w:t>DOI 10.3390/foods12061210</w:t>
        </w:r>
      </w:hyperlink>
      <w:r>
        <w:t xml:space="preserve">  |  </w:t>
      </w:r>
      <w:hyperlink r:id="rId18">
        <w:r>
          <w:rPr>
            <w:rFonts w:ascii="Liberation Serif" w:hAnsi="Liberation Serif" w:eastAsia="Noto Serif CJK SC"/>
            <w:color w:val="000000"/>
            <w:sz w:val="21"/>
          </w:rPr>
          <w:t>PMC全文</w:t>
        </w:r>
      </w:hyperlink>
    </w:p>
    <w:p>
      <w:pPr>
        <w:spacing w:line="300" w:lineRule="exact"/>
      </w:pPr>
      <w:r>
        <w:rPr>
          <w:b w:val="0"/>
          <w:sz w:val="21"/>
        </w:rPr>
        <w:t>全文已核验。第3.3节Rheological Properties of Gels及Figure 1A：在相同扫描频率下，米粉凝胶G′排序与直链含量排序一致。此处为频率扫描证据，不能替代流动应力比较。</w:t>
      </w:r>
    </w:p>
    <w:p>
      <w:pPr>
        <w:keepNext/>
        <w:spacing w:line="300" w:lineRule="exact"/>
        <w:jc w:val="left"/>
      </w:pPr>
      <w:r>
        <w:rPr>
          <w:b w:val="0"/>
          <w:sz w:val="21"/>
        </w:rPr>
        <w:t>[5] Cheng Y, et al. Investigation of the mechanism of gelatin to enhance 3D printing accuracy of corn starch gel: From perspective of phase morphological changes. International Journal of Biological Macromolecules. 2024;254:127323.</w:t>
      </w:r>
    </w:p>
    <w:p>
      <w:pPr>
        <w:keepNext/>
        <w:spacing w:line="300" w:lineRule="exact"/>
      </w:pPr>
      <w:r>
        <w:rPr>
          <w:b w:val="0"/>
          <w:sz w:val="21"/>
        </w:rPr>
      </w:r>
      <w:hyperlink r:id="rId19">
        <w:r>
          <w:rPr>
            <w:rFonts w:ascii="Liberation Serif" w:hAnsi="Liberation Serif" w:eastAsia="Noto Serif CJK SC"/>
            <w:color w:val="000000"/>
            <w:sz w:val="21"/>
          </w:rPr>
          <w:t>DOI 10.1016/j.ijbiomac.2023.127323</w:t>
        </w:r>
      </w:hyperlink>
      <w:r>
        <w:t xml:space="preserve">  |  </w:t>
      </w:r>
      <w:hyperlink r:id="rId20">
        <w:r>
          <w:rPr>
            <w:rFonts w:ascii="Liberation Serif" w:hAnsi="Liberation Serif" w:eastAsia="Noto Serif CJK SC"/>
            <w:color w:val="000000"/>
            <w:sz w:val="21"/>
          </w:rPr>
          <w:t>PubMed正式摘要 PMID 37879577</w:t>
        </w:r>
      </w:hyperlink>
    </w:p>
    <w:p>
      <w:pPr>
        <w:spacing w:line="300" w:lineRule="exact"/>
      </w:pPr>
      <w:r>
        <w:rPr>
          <w:b w:val="0"/>
          <w:sz w:val="21"/>
        </w:rPr>
        <w:t>本次核验正式摘要，未核验全文。摘要第3句以“The transition process from starch continuous phase”起始，报告相转变、网络松散及τf和G′降低；后文又报告明胶连续相形成可提高两者。研究对象为明胶比例引起的相结构变化，并非CS／WCS直链比例梯度。</w:t>
      </w:r>
    </w:p>
    <w:p>
      <w:pPr>
        <w:spacing w:line="300" w:lineRule="exact"/>
      </w:pPr>
      <w:r>
        <w:rPr>
          <w:b w:val="0"/>
          <w:sz w:val="20"/>
        </w:rPr>
        <w:t>检索与筛选说明：截至2026年10月7日，以amylose、waxy／normal starch、storage modulus及flow stress／crossover stress等组合检索PubMed、Crossref及公开原始论文与补充材料，并核对国内作者机构。仅有临界应变、交叉频率、交叉温度或Herschel–Bulkley屈服应力的论文，不列为τf的直接证据。本文件为针对本问题的文献核验与写作建议。</w:t>
      </w:r>
    </w:p>
    <w:sectPr w:rsidR="00FC693F" w:rsidRPr="0006063C" w:rsidSect="00034616">
      <w:footerReference w:type="default" r:id="rId9"/>
      <w:pgSz w:w="12240" w:h="15840"/>
      <w:pgMar w:top="1008" w:right="1123" w:bottom="936"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应力扫描文献依据  ·  2026年10月7日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120"/>
      <w:jc w:val="both"/>
    </w:pPr>
    <w:rPr>
      <w:rFonts w:ascii="Liberation Serif" w:hAnsi="Liberation Serif" w:cs="Liberation Serif" w:eastAsia="Noto Serif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erif" w:hAnsi="Liberation Serif" w:cs="Liberation Serif" w:eastAsia="Noto Serif CJK SC"/>
      <w:color w:val="000000"/>
    </w:rPr>
  </w:style>
  <w:style w:type="character" w:customStyle="1" w:styleId="HeaderChar">
    <w:name w:val="Header Char"/>
    <w:basedOn w:val="DefaultParagraphFont"/>
    <w:link w:val="Header"/>
    <w:uiPriority w:val="99"/>
    <w:rsid w:val="00E618BF"/>
    <w:rPr>
      <w:rFonts w:ascii="Liberation Serif" w:hAnsi="Liberation Serif" w:cs="Liberation Serif" w:eastAsia="Noto Serif CJK SC"/>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erif" w:hAnsi="Liberation Serif" w:cs="Liberation Serif" w:eastAsia="Noto Serif CJK SC"/>
      <w:color w:val="000000"/>
    </w:rPr>
  </w:style>
  <w:style w:type="character" w:customStyle="1" w:styleId="FooterChar">
    <w:name w:val="Footer Char"/>
    <w:basedOn w:val="DefaultParagraphFont"/>
    <w:link w:val="Footer"/>
    <w:uiPriority w:val="99"/>
    <w:rsid w:val="00E618BF"/>
    <w:rPr>
      <w:rFonts w:ascii="Liberation Serif" w:hAnsi="Liberation Serif" w:cs="Liberation Serif" w:eastAsia="Noto Serif CJK SC"/>
      <w:color w:val="000000"/>
    </w:rPr>
  </w:style>
  <w:style w:type="paragraph" w:styleId="Heading1">
    <w:name w:val="heading 1"/>
    <w:basedOn w:val="Normal"/>
    <w:next w:val="Normal"/>
    <w:link w:val="Heading1Char"/>
    <w:uiPriority w:val="9"/>
    <w:qFormat/>
    <w:rsid w:val="00FC693F"/>
    <w:pPr>
      <w:keepNext/>
      <w:keepLines/>
      <w:spacing w:before="180" w:after="120"/>
      <w:outlineLvl w:val="0"/>
    </w:pPr>
    <w:rPr>
      <w:rFonts w:cstheme="majorBidi" w:ascii="Liberation Serif" w:hAnsi="Liberation Serif" w:cs="Liberation Serif" w:eastAsia="Noto Sans CJK S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cstheme="majorBidi" w:ascii="Liberation Serif" w:hAnsi="Liberation Serif" w:cs="Liberation Serif"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Liberation Serif" w:hAnsi="Liberation Serif" w:cs="Liberation Serif" w:eastAsia="Noto Serif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Liberation Serif" w:hAnsi="Liberation Serif" w:cs="Liberation Serif" w:eastAsia="Noto Serif CJK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Liberation Serif" w:hAnsi="Liberation Serif" w:cs="Liberation Serif" w:eastAsia="Noto Serif CJK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Liberation Serif" w:hAnsi="Liberation Serif" w:cs="Liberation Serif" w:eastAsia="Noto Serif CJK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Liberation Serif" w:hAnsi="Liberation Serif" w:cs="Liberation Serif" w:eastAsia="Noto Serif CJK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Liberation Serif" w:hAnsi="Liberation Serif" w:cs="Liberation Serif" w:eastAsia="Noto Serif CJK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Liberation Serif" w:hAnsi="Liberation Serif" w:cs="Liberation Serif" w:eastAsia="Noto Serif CJK SC"/>
      <w:i/>
      <w:iCs/>
      <w:color w:val="000000"/>
      <w:sz w:val="20"/>
      <w:szCs w:val="20"/>
    </w:rPr>
  </w:style>
  <w:style w:type="character" w:default="1" w:styleId="DefaultParagraphFont">
    <w:name w:val="Default Paragraph Font"/>
    <w:uiPriority w:val="1"/>
    <w:semiHidden/>
    <w:unhideWhenUsed/>
    <w:rPr>
      <w:rFonts w:ascii="Liberation Serif" w:hAnsi="Liberation Serif" w:cs="Liberation Serif" w:eastAsia="Noto Serif CJK SC"/>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erif" w:hAnsi="Liberation Serif" w:cs="Liberation Serif" w:eastAsia="Noto Serif CJK SC"/>
      <w:color w:val="000000"/>
    </w:rPr>
  </w:style>
  <w:style w:type="character" w:customStyle="1" w:styleId="Heading1Char">
    <w:name w:val="Heading 1 Char"/>
    <w:basedOn w:val="DefaultParagraphFont"/>
    <w:link w:val="Heading1"/>
    <w:uiPriority w:val="9"/>
    <w:rsid w:val="00FC693F"/>
    <w:rPr>
      <w:rFonts w:cstheme="majorBidi" w:ascii="Liberation Serif" w:hAnsi="Liberation Serif" w:cs="Liberation Serif" w:eastAsia="Noto Serif CJK SC"/>
      <w:b/>
      <w:bCs/>
      <w:color w:val="000000"/>
      <w:sz w:val="28"/>
      <w:szCs w:val="28"/>
    </w:rPr>
  </w:style>
  <w:style w:type="character" w:customStyle="1" w:styleId="Heading2Char">
    <w:name w:val="Heading 2 Char"/>
    <w:basedOn w:val="DefaultParagraphFont"/>
    <w:link w:val="Heading2"/>
    <w:uiPriority w:val="9"/>
    <w:rsid w:val="00FC693F"/>
    <w:rPr>
      <w:rFonts w:cstheme="majorBidi" w:ascii="Liberation Serif" w:hAnsi="Liberation Serif" w:cs="Liberation Serif" w:eastAsia="Noto Serif CJK SC"/>
      <w:b/>
      <w:bCs/>
      <w:color w:val="000000"/>
      <w:sz w:val="26"/>
      <w:szCs w:val="26"/>
    </w:rPr>
  </w:style>
  <w:style w:type="character" w:customStyle="1" w:styleId="Heading3Char">
    <w:name w:val="Heading 3 Char"/>
    <w:basedOn w:val="DefaultParagraphFont"/>
    <w:link w:val="Heading3"/>
    <w:uiPriority w:val="9"/>
    <w:rsid w:val="00FC693F"/>
    <w:rPr>
      <w:rFonts w:cstheme="majorBidi" w:ascii="Liberation Serif" w:hAnsi="Liberation Serif" w:cs="Liberation Serif" w:eastAsia="Noto Serif CJK SC"/>
      <w:b/>
      <w:bCs/>
      <w:color w:val="000000"/>
    </w:rPr>
  </w:style>
  <w:style w:type="paragraph" w:styleId="Title">
    <w:name w:val="Title"/>
    <w:basedOn w:val="Normal"/>
    <w:next w:val="Normal"/>
    <w:link w:val="TitleChar"/>
    <w:uiPriority w:val="10"/>
    <w:qFormat/>
    <w:rsid w:val="00FC693F"/>
    <w:pPr>
      <w:keepNext/>
      <w:spacing w:after="120" w:line="240" w:lineRule="auto" w:before="0"/>
      <w:contextualSpacing/>
    </w:pPr>
    <w:rPr>
      <w:rFonts w:cstheme="majorBidi" w:ascii="Liberation Serif" w:hAnsi="Liberation Serif" w:cs="Liberation Serif" w:eastAsia="Noto Sans CJK SC"/>
      <w:b w:val="0"/>
      <w:color w:val="000000"/>
      <w:spacing w:val="5"/>
      <w:kern w:val="28"/>
      <w:sz w:val="34"/>
      <w:szCs w:val="52"/>
    </w:rPr>
  </w:style>
  <w:style w:type="character" w:customStyle="1" w:styleId="TitleChar">
    <w:name w:val="Title Char"/>
    <w:basedOn w:val="DefaultParagraphFont"/>
    <w:link w:val="Title"/>
    <w:uiPriority w:val="10"/>
    <w:rsid w:val="00FC693F"/>
    <w:rPr>
      <w:rFonts w:cstheme="majorBidi" w:ascii="Liberation Serif" w:hAnsi="Liberation Serif" w:cs="Liberation Serif" w:eastAsia="Noto Serif CJK SC"/>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Liberation Serif" w:hAnsi="Liberation Serif" w:cs="Liberation Serif" w:eastAsia="Noto Serif CJK SC"/>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Liberation Serif" w:hAnsi="Liberation Serif" w:cs="Liberation Serif" w:eastAsia="Noto Serif CJK SC"/>
      <w:i/>
      <w:iCs/>
      <w:color w:val="000000"/>
      <w:spacing w:val="15"/>
      <w:sz w:val="24"/>
      <w:szCs w:val="24"/>
    </w:rPr>
  </w:style>
  <w:style w:type="paragraph" w:styleId="ListParagraph">
    <w:name w:val="List Paragraph"/>
    <w:basedOn w:val="Normal"/>
    <w:uiPriority w:val="34"/>
    <w:qFormat/>
    <w:rsid w:val="00FC693F"/>
    <w:pPr>
      <w:ind w:left="720"/>
      <w:contextualSpacing/>
    </w:pPr>
    <w:rPr>
      <w:rFonts w:ascii="Liberation Serif" w:hAnsi="Liberation Serif" w:cs="Liberation Serif" w:eastAsia="Noto Serif CJK SC"/>
      <w:color w:val="000000"/>
    </w:rPr>
  </w:style>
  <w:style w:type="paragraph" w:styleId="BodyText">
    <w:name w:val="Body Text"/>
    <w:basedOn w:val="Normal"/>
    <w:link w:val="BodyTextChar"/>
    <w:uiPriority w:val="99"/>
    <w:unhideWhenUsed/>
    <w:rsid w:val="00AA1D8D"/>
    <w:pPr>
      <w:spacing w:after="120"/>
    </w:pPr>
    <w:rPr>
      <w:rFonts w:ascii="Liberation Serif" w:hAnsi="Liberation Serif" w:cs="Liberation Serif" w:eastAsia="Noto Serif CJK SC"/>
      <w:color w:val="000000"/>
    </w:rPr>
  </w:style>
  <w:style w:type="character" w:customStyle="1" w:styleId="BodyTextChar">
    <w:name w:val="Body Text Char"/>
    <w:basedOn w:val="DefaultParagraphFont"/>
    <w:link w:val="BodyText"/>
    <w:uiPriority w:val="99"/>
    <w:rsid w:val="00AA1D8D"/>
    <w:rPr>
      <w:rFonts w:ascii="Liberation Serif" w:hAnsi="Liberation Serif" w:cs="Liberation Serif" w:eastAsia="Noto Serif CJK SC"/>
      <w:color w:val="000000"/>
    </w:rPr>
  </w:style>
  <w:style w:type="paragraph" w:styleId="BodyText2">
    <w:name w:val="Body Text 2"/>
    <w:basedOn w:val="Normal"/>
    <w:link w:val="BodyText2Char"/>
    <w:uiPriority w:val="99"/>
    <w:unhideWhenUsed/>
    <w:rsid w:val="00AA1D8D"/>
    <w:pPr>
      <w:spacing w:after="120" w:line="480" w:lineRule="auto"/>
    </w:pPr>
    <w:rPr>
      <w:rFonts w:ascii="Liberation Serif" w:hAnsi="Liberation Serif" w:cs="Liberation Serif" w:eastAsia="Noto Serif CJK SC"/>
      <w:color w:val="000000"/>
    </w:rPr>
  </w:style>
  <w:style w:type="character" w:customStyle="1" w:styleId="BodyText2Char">
    <w:name w:val="Body Text 2 Char"/>
    <w:basedOn w:val="DefaultParagraphFont"/>
    <w:link w:val="BodyText2"/>
    <w:uiPriority w:val="99"/>
    <w:rsid w:val="00AA1D8D"/>
    <w:rPr>
      <w:rFonts w:ascii="Liberation Serif" w:hAnsi="Liberation Serif" w:cs="Liberation Serif" w:eastAsia="Noto Serif CJK SC"/>
      <w:color w:val="000000"/>
    </w:rPr>
  </w:style>
  <w:style w:type="paragraph" w:styleId="BodyText3">
    <w:name w:val="Body Text 3"/>
    <w:basedOn w:val="Normal"/>
    <w:link w:val="BodyText3Char"/>
    <w:uiPriority w:val="99"/>
    <w:unhideWhenUsed/>
    <w:rsid w:val="00AA1D8D"/>
    <w:pPr>
      <w:spacing w:after="120"/>
    </w:pPr>
    <w:rPr>
      <w:rFonts w:ascii="Liberation Serif" w:hAnsi="Liberation Serif" w:cs="Liberation Serif" w:eastAsia="Noto Serif CJK SC"/>
      <w:color w:val="000000"/>
      <w:sz w:val="16"/>
      <w:szCs w:val="16"/>
    </w:rPr>
  </w:style>
  <w:style w:type="character" w:customStyle="1" w:styleId="BodyText3Char">
    <w:name w:val="Body Text 3 Char"/>
    <w:basedOn w:val="DefaultParagraphFont"/>
    <w:link w:val="BodyText3"/>
    <w:uiPriority w:val="99"/>
    <w:rsid w:val="00AA1D8D"/>
    <w:rPr>
      <w:rFonts w:ascii="Liberation Serif" w:hAnsi="Liberation Serif" w:cs="Liberation Serif" w:eastAsia="Noto Serif CJK SC"/>
      <w:color w:val="000000"/>
      <w:sz w:val="16"/>
      <w:szCs w:val="16"/>
    </w:rPr>
  </w:style>
  <w:style w:type="paragraph" w:styleId="List">
    <w:name w:val="List"/>
    <w:basedOn w:val="Normal"/>
    <w:uiPriority w:val="99"/>
    <w:unhideWhenUsed/>
    <w:rsid w:val="00AA1D8D"/>
    <w:pPr>
      <w:ind w:left="360" w:hanging="360"/>
      <w:contextualSpacing/>
    </w:pPr>
    <w:rPr>
      <w:rFonts w:ascii="Liberation Serif" w:hAnsi="Liberation Serif" w:cs="Liberation Serif" w:eastAsia="Noto Serif CJK SC"/>
      <w:color w:val="000000"/>
    </w:rPr>
  </w:style>
  <w:style w:type="paragraph" w:styleId="List2">
    <w:name w:val="List 2"/>
    <w:basedOn w:val="Normal"/>
    <w:uiPriority w:val="99"/>
    <w:unhideWhenUsed/>
    <w:rsid w:val="00326F90"/>
    <w:pPr>
      <w:ind w:left="720" w:hanging="360"/>
      <w:contextualSpacing/>
    </w:pPr>
    <w:rPr>
      <w:rFonts w:ascii="Liberation Serif" w:hAnsi="Liberation Serif" w:cs="Liberation Serif" w:eastAsia="Noto Serif CJK SC"/>
      <w:color w:val="000000"/>
    </w:rPr>
  </w:style>
  <w:style w:type="paragraph" w:styleId="List3">
    <w:name w:val="List 3"/>
    <w:basedOn w:val="Normal"/>
    <w:uiPriority w:val="99"/>
    <w:unhideWhenUsed/>
    <w:rsid w:val="00326F90"/>
    <w:pPr>
      <w:ind w:left="1080" w:hanging="360"/>
      <w:contextualSpacing/>
    </w:pPr>
    <w:rPr>
      <w:rFonts w:ascii="Liberation Serif" w:hAnsi="Liberation Serif" w:cs="Liberation Serif" w:eastAsia="Noto Serif CJK SC"/>
      <w:color w:val="000000"/>
    </w:rPr>
  </w:style>
  <w:style w:type="paragraph" w:styleId="ListBullet">
    <w:name w:val="List Bullet"/>
    <w:basedOn w:val="Normal"/>
    <w:uiPriority w:val="99"/>
    <w:unhideWhenUsed/>
    <w:rsid w:val="00326F90"/>
    <w:pPr>
      <w:numPr>
        <w:numId w:val="1"/>
      </w:numPr>
      <w:contextualSpacing/>
    </w:pPr>
    <w:rPr>
      <w:rFonts w:ascii="Liberation Serif" w:hAnsi="Liberation Serif" w:cs="Liberation Serif" w:eastAsia="Noto Serif CJK SC"/>
      <w:color w:val="000000"/>
    </w:rPr>
  </w:style>
  <w:style w:type="paragraph" w:styleId="ListBullet2">
    <w:name w:val="List Bullet 2"/>
    <w:basedOn w:val="Normal"/>
    <w:uiPriority w:val="99"/>
    <w:unhideWhenUsed/>
    <w:rsid w:val="00326F90"/>
    <w:pPr>
      <w:numPr>
        <w:numId w:val="2"/>
      </w:numPr>
      <w:contextualSpacing/>
    </w:pPr>
    <w:rPr>
      <w:rFonts w:ascii="Liberation Serif" w:hAnsi="Liberation Serif" w:cs="Liberation Serif" w:eastAsia="Noto Serif CJK SC"/>
      <w:color w:val="000000"/>
    </w:rPr>
  </w:style>
  <w:style w:type="paragraph" w:styleId="ListBullet3">
    <w:name w:val="List Bullet 3"/>
    <w:basedOn w:val="Normal"/>
    <w:uiPriority w:val="99"/>
    <w:unhideWhenUsed/>
    <w:rsid w:val="00326F90"/>
    <w:pPr>
      <w:numPr>
        <w:numId w:val="3"/>
      </w:numPr>
      <w:contextualSpacing/>
    </w:pPr>
    <w:rPr>
      <w:rFonts w:ascii="Liberation Serif" w:hAnsi="Liberation Serif" w:cs="Liberation Serif" w:eastAsia="Noto Serif CJK SC"/>
      <w:color w:val="000000"/>
    </w:rPr>
  </w:style>
  <w:style w:type="paragraph" w:styleId="ListNumber">
    <w:name w:val="List Number"/>
    <w:basedOn w:val="Normal"/>
    <w:uiPriority w:val="99"/>
    <w:unhideWhenUsed/>
    <w:rsid w:val="00326F90"/>
    <w:pPr>
      <w:numPr>
        <w:numId w:val="5"/>
      </w:numPr>
      <w:contextualSpacing/>
    </w:pPr>
    <w:rPr>
      <w:rFonts w:ascii="Liberation Serif" w:hAnsi="Liberation Serif" w:cs="Liberation Serif" w:eastAsia="Noto Serif CJK SC"/>
      <w:color w:val="000000"/>
    </w:rPr>
  </w:style>
  <w:style w:type="paragraph" w:styleId="ListNumber2">
    <w:name w:val="List Number 2"/>
    <w:basedOn w:val="Normal"/>
    <w:uiPriority w:val="99"/>
    <w:unhideWhenUsed/>
    <w:rsid w:val="0029639D"/>
    <w:pPr>
      <w:numPr>
        <w:numId w:val="6"/>
      </w:numPr>
      <w:contextualSpacing/>
    </w:pPr>
    <w:rPr>
      <w:rFonts w:ascii="Liberation Serif" w:hAnsi="Liberation Serif" w:cs="Liberation Serif" w:eastAsia="Noto Serif CJK SC"/>
      <w:color w:val="000000"/>
    </w:rPr>
  </w:style>
  <w:style w:type="paragraph" w:styleId="ListNumber3">
    <w:name w:val="List Number 3"/>
    <w:basedOn w:val="Normal"/>
    <w:uiPriority w:val="99"/>
    <w:unhideWhenUsed/>
    <w:rsid w:val="0029639D"/>
    <w:pPr>
      <w:numPr>
        <w:numId w:val="7"/>
      </w:numPr>
      <w:contextualSpacing/>
    </w:pPr>
    <w:rPr>
      <w:rFonts w:ascii="Liberation Serif" w:hAnsi="Liberation Serif" w:cs="Liberation Serif" w:eastAsia="Noto Serif CJK SC"/>
      <w:color w:val="000000"/>
    </w:rPr>
  </w:style>
  <w:style w:type="paragraph" w:styleId="ListContinue">
    <w:name w:val="List Continue"/>
    <w:basedOn w:val="Normal"/>
    <w:uiPriority w:val="99"/>
    <w:unhideWhenUsed/>
    <w:rsid w:val="0029639D"/>
    <w:pPr>
      <w:spacing w:after="120"/>
      <w:ind w:left="360"/>
      <w:contextualSpacing/>
    </w:pPr>
    <w:rPr>
      <w:rFonts w:ascii="Liberation Serif" w:hAnsi="Liberation Serif" w:cs="Liberation Serif" w:eastAsia="Noto Serif CJK SC"/>
      <w:color w:val="000000"/>
    </w:rPr>
  </w:style>
  <w:style w:type="paragraph" w:styleId="ListContinue2">
    <w:name w:val="List Continue 2"/>
    <w:basedOn w:val="Normal"/>
    <w:uiPriority w:val="99"/>
    <w:unhideWhenUsed/>
    <w:rsid w:val="0029639D"/>
    <w:pPr>
      <w:spacing w:after="120"/>
      <w:ind w:left="720"/>
      <w:contextualSpacing/>
    </w:pPr>
    <w:rPr>
      <w:rFonts w:ascii="Liberation Serif" w:hAnsi="Liberation Serif" w:cs="Liberation Serif" w:eastAsia="Noto Serif CJK SC"/>
      <w:color w:val="000000"/>
    </w:rPr>
  </w:style>
  <w:style w:type="paragraph" w:styleId="ListContinue3">
    <w:name w:val="List Continue 3"/>
    <w:basedOn w:val="Normal"/>
    <w:uiPriority w:val="99"/>
    <w:unhideWhenUsed/>
    <w:rsid w:val="0029639D"/>
    <w:pPr>
      <w:spacing w:after="120"/>
      <w:ind w:left="1080"/>
      <w:contextualSpacing/>
    </w:pPr>
    <w:rPr>
      <w:rFonts w:ascii="Liberation Serif" w:hAnsi="Liberation Serif" w:cs="Liberation Serif" w:eastAsia="Noto Serif CJK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erif" w:hAnsi="Liberation Serif" w:cs="Liberation Serif" w:eastAsia="Noto Serif CJK SC"/>
      <w:color w:val="000000"/>
      <w:sz w:val="20"/>
      <w:szCs w:val="20"/>
    </w:rPr>
  </w:style>
  <w:style w:type="character" w:customStyle="1" w:styleId="MacroTextChar">
    <w:name w:val="Macro Text Char"/>
    <w:basedOn w:val="DefaultParagraphFont"/>
    <w:link w:val="MacroText"/>
    <w:uiPriority w:val="99"/>
    <w:rsid w:val="0029639D"/>
    <w:rPr>
      <w:rFonts w:ascii="Liberation Serif" w:hAnsi="Liberation Serif" w:cs="Liberation Serif" w:eastAsia="Noto Serif CJK SC"/>
      <w:color w:val="000000"/>
      <w:sz w:val="20"/>
      <w:szCs w:val="20"/>
    </w:rPr>
  </w:style>
  <w:style w:type="paragraph" w:styleId="Quote">
    <w:name w:val="Quote"/>
    <w:basedOn w:val="Normal"/>
    <w:next w:val="Normal"/>
    <w:link w:val="QuoteChar"/>
    <w:uiPriority w:val="29"/>
    <w:qFormat/>
    <w:rsid w:val="00FC693F"/>
    <w:rPr>
      <w:rFonts w:ascii="Liberation Serif" w:hAnsi="Liberation Serif" w:cs="Liberation Serif" w:eastAsia="Noto Serif CJK SC"/>
      <w:i/>
      <w:iCs/>
      <w:color w:val="000000"/>
    </w:rPr>
  </w:style>
  <w:style w:type="character" w:customStyle="1" w:styleId="QuoteChar">
    <w:name w:val="Quote Char"/>
    <w:basedOn w:val="DefaultParagraphFont"/>
    <w:link w:val="Quote"/>
    <w:uiPriority w:val="29"/>
    <w:rsid w:val="00FC693F"/>
    <w:rPr>
      <w:rFonts w:ascii="Liberation Serif" w:hAnsi="Liberation Serif" w:cs="Liberation Serif" w:eastAsia="Noto Serif CJK SC"/>
      <w:i/>
      <w:iCs/>
      <w:color w:val="000000"/>
    </w:rPr>
  </w:style>
  <w:style w:type="character" w:customStyle="1" w:styleId="Heading4Char">
    <w:name w:val="Heading 4 Char"/>
    <w:basedOn w:val="DefaultParagraphFont"/>
    <w:link w:val="Heading4"/>
    <w:uiPriority w:val="9"/>
    <w:semiHidden/>
    <w:rsid w:val="00FC693F"/>
    <w:rPr>
      <w:rFonts w:cstheme="majorBidi" w:ascii="Liberation Serif" w:hAnsi="Liberation Serif" w:cs="Liberation Serif" w:eastAsia="Noto Serif CJK SC"/>
      <w:b/>
      <w:bCs/>
      <w:i/>
      <w:iCs/>
      <w:color w:val="000000"/>
    </w:rPr>
  </w:style>
  <w:style w:type="character" w:customStyle="1" w:styleId="Heading5Char">
    <w:name w:val="Heading 5 Char"/>
    <w:basedOn w:val="DefaultParagraphFont"/>
    <w:link w:val="Heading5"/>
    <w:uiPriority w:val="9"/>
    <w:semiHidden/>
    <w:rsid w:val="00FC693F"/>
    <w:rPr>
      <w:rFonts w:cstheme="majorBidi" w:ascii="Liberation Serif" w:hAnsi="Liberation Serif" w:cs="Liberation Serif" w:eastAsia="Noto Serif CJK SC"/>
      <w:color w:val="000000"/>
    </w:rPr>
  </w:style>
  <w:style w:type="character" w:customStyle="1" w:styleId="Heading6Char">
    <w:name w:val="Heading 6 Char"/>
    <w:basedOn w:val="DefaultParagraphFont"/>
    <w:link w:val="Heading6"/>
    <w:uiPriority w:val="9"/>
    <w:semiHidden/>
    <w:rsid w:val="00FC693F"/>
    <w:rPr>
      <w:rFonts w:cstheme="majorBidi" w:ascii="Liberation Serif" w:hAnsi="Liberation Serif" w:cs="Liberation Serif" w:eastAsia="Noto Serif CJK SC"/>
      <w:i/>
      <w:iCs/>
      <w:color w:val="000000"/>
    </w:rPr>
  </w:style>
  <w:style w:type="character" w:customStyle="1" w:styleId="Heading7Char">
    <w:name w:val="Heading 7 Char"/>
    <w:basedOn w:val="DefaultParagraphFont"/>
    <w:link w:val="Heading7"/>
    <w:uiPriority w:val="9"/>
    <w:semiHidden/>
    <w:rsid w:val="00FC693F"/>
    <w:rPr>
      <w:rFonts w:cstheme="majorBidi" w:ascii="Liberation Serif" w:hAnsi="Liberation Serif" w:cs="Liberation Serif" w:eastAsia="Noto Serif CJK SC"/>
      <w:i/>
      <w:iCs/>
      <w:color w:val="000000"/>
    </w:rPr>
  </w:style>
  <w:style w:type="character" w:customStyle="1" w:styleId="Heading8Char">
    <w:name w:val="Heading 8 Char"/>
    <w:basedOn w:val="DefaultParagraphFont"/>
    <w:link w:val="Heading8"/>
    <w:uiPriority w:val="9"/>
    <w:semiHidden/>
    <w:rsid w:val="00FC693F"/>
    <w:rPr>
      <w:rFonts w:cstheme="majorBidi" w:ascii="Liberation Serif" w:hAnsi="Liberation Serif" w:cs="Liberation Serif" w:eastAsia="Noto Serif CJK SC"/>
      <w:color w:val="000000"/>
      <w:sz w:val="20"/>
      <w:szCs w:val="20"/>
    </w:rPr>
  </w:style>
  <w:style w:type="character" w:customStyle="1" w:styleId="Heading9Char">
    <w:name w:val="Heading 9 Char"/>
    <w:basedOn w:val="DefaultParagraphFont"/>
    <w:link w:val="Heading9"/>
    <w:uiPriority w:val="9"/>
    <w:semiHidden/>
    <w:rsid w:val="00FC693F"/>
    <w:rPr>
      <w:rFonts w:cstheme="majorBidi" w:ascii="Liberation Serif" w:hAnsi="Liberation Serif" w:cs="Liberation Serif" w:eastAsia="Noto Serif CJK SC"/>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cs="Liberation Serif" w:eastAsia="Noto Serif CJK SC"/>
      <w:b/>
      <w:bCs/>
      <w:color w:val="000000"/>
      <w:sz w:val="18"/>
      <w:szCs w:val="18"/>
    </w:rPr>
  </w:style>
  <w:style w:type="character" w:styleId="Strong">
    <w:name w:val="Strong"/>
    <w:basedOn w:val="DefaultParagraphFont"/>
    <w:uiPriority w:val="22"/>
    <w:qFormat/>
    <w:rsid w:val="00FC693F"/>
    <w:rPr>
      <w:rFonts w:ascii="Liberation Serif" w:hAnsi="Liberation Serif" w:cs="Liberation Serif" w:eastAsia="Noto Serif CJK SC"/>
      <w:b/>
      <w:bCs/>
      <w:color w:val="000000"/>
    </w:rPr>
  </w:style>
  <w:style w:type="character" w:styleId="Emphasis">
    <w:name w:val="Emphasis"/>
    <w:basedOn w:val="DefaultParagraphFont"/>
    <w:uiPriority w:val="20"/>
    <w:qFormat/>
    <w:rsid w:val="00FC693F"/>
    <w:rPr>
      <w:rFonts w:ascii="Liberation Serif" w:hAnsi="Liberation Serif" w:cs="Liberation Serif" w:eastAsia="Noto Serif CJK SC"/>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Liberation Serif" w:hAnsi="Liberation Serif" w:cs="Liberation Serif" w:eastAsia="Noto Serif CJK SC"/>
      <w:b/>
      <w:bCs/>
      <w:i/>
      <w:iCs/>
      <w:color w:val="000000"/>
    </w:rPr>
  </w:style>
  <w:style w:type="character" w:customStyle="1" w:styleId="IntenseQuoteChar">
    <w:name w:val="Intense Quote Char"/>
    <w:basedOn w:val="DefaultParagraphFont"/>
    <w:link w:val="IntenseQuote"/>
    <w:uiPriority w:val="30"/>
    <w:rsid w:val="00FC693F"/>
    <w:rPr>
      <w:rFonts w:ascii="Liberation Serif" w:hAnsi="Liberation Serif" w:cs="Liberation Serif" w:eastAsia="Noto Serif CJK SC"/>
      <w:b/>
      <w:bCs/>
      <w:i/>
      <w:iCs/>
      <w:color w:val="000000"/>
    </w:rPr>
  </w:style>
  <w:style w:type="character" w:styleId="SubtleEmphasis">
    <w:name w:val="Subtle Emphasis"/>
    <w:basedOn w:val="DefaultParagraphFont"/>
    <w:uiPriority w:val="19"/>
    <w:qFormat/>
    <w:rsid w:val="00FC693F"/>
    <w:rPr>
      <w:rFonts w:ascii="Liberation Serif" w:hAnsi="Liberation Serif" w:cs="Liberation Serif" w:eastAsia="Noto Serif CJK SC"/>
      <w:i/>
      <w:iCs/>
      <w:color w:val="000000"/>
    </w:rPr>
  </w:style>
  <w:style w:type="character" w:styleId="IntenseEmphasis">
    <w:name w:val="Intense Emphasis"/>
    <w:basedOn w:val="DefaultParagraphFont"/>
    <w:uiPriority w:val="21"/>
    <w:qFormat/>
    <w:rsid w:val="00FC693F"/>
    <w:rPr>
      <w:rFonts w:ascii="Liberation Serif" w:hAnsi="Liberation Serif" w:cs="Liberation Serif" w:eastAsia="Noto Serif CJK SC"/>
      <w:b/>
      <w:bCs/>
      <w:i/>
      <w:iCs/>
      <w:color w:val="000000"/>
    </w:rPr>
  </w:style>
  <w:style w:type="character" w:styleId="SubtleReference">
    <w:name w:val="Subtle Reference"/>
    <w:basedOn w:val="DefaultParagraphFont"/>
    <w:uiPriority w:val="31"/>
    <w:qFormat/>
    <w:rsid w:val="00FC693F"/>
    <w:rPr>
      <w:rFonts w:ascii="Liberation Serif" w:hAnsi="Liberation Serif" w:cs="Liberation Serif" w:eastAsia="Noto Serif CJK SC"/>
      <w:smallCaps/>
      <w:color w:val="000000"/>
      <w:u w:val="single"/>
    </w:rPr>
  </w:style>
  <w:style w:type="character" w:styleId="IntenseReference">
    <w:name w:val="Intense Reference"/>
    <w:basedOn w:val="DefaultParagraphFont"/>
    <w:uiPriority w:val="32"/>
    <w:qFormat/>
    <w:rsid w:val="00FC693F"/>
    <w:rPr>
      <w:rFonts w:ascii="Liberation Serif" w:hAnsi="Liberation Serif" w:cs="Liberation Serif" w:eastAsia="Noto Serif CJK SC"/>
      <w:b/>
      <w:bCs/>
      <w:smallCaps/>
      <w:color w:val="000000"/>
      <w:spacing w:val="5"/>
      <w:u w:val="single"/>
    </w:rPr>
  </w:style>
  <w:style w:type="character" w:styleId="BookTitle">
    <w:name w:val="Book Title"/>
    <w:basedOn w:val="DefaultParagraphFont"/>
    <w:uiPriority w:val="33"/>
    <w:qFormat/>
    <w:rsid w:val="00FC693F"/>
    <w:rPr>
      <w:rFonts w:ascii="Liberation Serif" w:hAnsi="Liberation Serif" w:cs="Liberation Serif" w:eastAsia="Noto Serif CJK SC"/>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Liberation Serif" w:hAnsi="Liberation Serif" w:cs="Liberation Serif" w:eastAsia="Noto Serif CJK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3390/foods12122281" TargetMode="External"/><Relationship Id="rId11" Type="http://schemas.openxmlformats.org/officeDocument/2006/relationships/hyperlink" Target="https://pmc.ncbi.nlm.nih.gov/articles/PMC10297029/" TargetMode="External"/><Relationship Id="rId12" Type="http://schemas.openxmlformats.org/officeDocument/2006/relationships/hyperlink" Target="https://www.mdpi.com/2304-8158/12/12/2281/s1" TargetMode="External"/><Relationship Id="rId13" Type="http://schemas.openxmlformats.org/officeDocument/2006/relationships/hyperlink" Target="https://doi.org/10.1016/j.carbpol.2020.116834" TargetMode="External"/><Relationship Id="rId14" Type="http://schemas.openxmlformats.org/officeDocument/2006/relationships/hyperlink" Target="https://pmc.ncbi.nlm.nih.gov/articles/PMC7519636/" TargetMode="External"/><Relationship Id="rId15" Type="http://schemas.openxmlformats.org/officeDocument/2006/relationships/hyperlink" Target="https://doi.org/10.1016/j.ijbiomac.2024.134403" TargetMode="External"/><Relationship Id="rId16" Type="http://schemas.openxmlformats.org/officeDocument/2006/relationships/hyperlink" Target="https://pubmed.ncbi.nlm.nih.gov/39094882/" TargetMode="External"/><Relationship Id="rId17" Type="http://schemas.openxmlformats.org/officeDocument/2006/relationships/hyperlink" Target="https://doi.org/10.3390/foods12061210" TargetMode="External"/><Relationship Id="rId18" Type="http://schemas.openxmlformats.org/officeDocument/2006/relationships/hyperlink" Target="https://pmc.ncbi.nlm.nih.gov/articles/PMC10047920/" TargetMode="External"/><Relationship Id="rId19" Type="http://schemas.openxmlformats.org/officeDocument/2006/relationships/hyperlink" Target="https://doi.org/10.1016/j.ijbiomac.2023.127323" TargetMode="External"/><Relationship Id="rId20" Type="http://schemas.openxmlformats.org/officeDocument/2006/relationships/hyperlink" Target="https://pubmed.ncbi.nlm.nih.gov/378795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直链淀粉含量与应力扫描结果的文献依据</dc:title>
  <dc:subject>储能模量与G′＝G″交点应力的国内外文献证据</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