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fe"/>
        <w:keepNext/>
        <w:spacing w:after="100"/>
      </w:pPr>
      <w:r>
        <w:t>附录v40：检查点C模型证据与推断说明</w:t>
      </w:r>
    </w:p>
    <w:p>
      <w:pPr>
        <w:spacing w:after="100"/>
      </w:pPr>
      <w:r>
        <w:t>本附录与正文v48使用同一检查点C结果。旧附录v39完整保留为历史审计附件；其中历史表不并入本批正式证据。</w:t>
      </w:r>
    </w:p>
    <w:p>
      <w:pPr>
        <w:pStyle w:val="afff0"/>
        <w:keepNext/>
        <w:spacing w:after="100"/>
      </w:pPr>
      <w:r>
        <w:t>A. 数据、尺度与控制</w:t>
      </w:r>
    </w:p>
    <w:p>
      <w:pPr>
        <w:spacing w:after="100"/>
      </w:pPr>
      <w:r>
        <w:t>每份模型使用3274人、2410家庭及24项基期编码列。CESD8使用2012年修正均值13.5754428833、标准差4.2592386459统一标准化；X沿用已冻结wfdms系列，入口尺度核对见input_scale_check.json。线性载荷0、.4、.6、.8、1，以十年为单位。自由形状X固定首末载荷0和1。</w:t>
      </w:r>
    </w:p>
    <w:p>
      <w:pPr>
        <w:pStyle w:val="af3"/>
        <w:keepNext/>
        <w:spacing w:after="100"/>
      </w:pPr>
      <w:r>
        <w:t>控制变量映射</w:t>
      </w:r>
    </w:p>
    <w:tbl>
      <w:tblPr>
        <w:tblW w:w="90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</w:tcPr>
          <w:p>
            <w:pPr>
              <w:spacing w:after="100"/>
            </w:pPr>
            <w:r>
              <w:t>模型列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源变量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sex12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c2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edu12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c3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urban12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c4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prov122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c5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prov123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c6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cdn12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c7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cdar12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c8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cdsc121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c9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cdsc122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c10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minor12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c11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ageg12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c12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pinc12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c13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pinc212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c14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cores12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c15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heal121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c16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heal123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c17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marr12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c18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eco122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c19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eco123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c20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hwc122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c21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hwc123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c22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hukou12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c23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adl12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100"/>
            </w:pPr>
            <w:r>
              <w:t>c24</w:t>
            </w:r>
          </w:p>
        </w:tc>
        <w:tc>
          <w:tcPr>
            <w:tcW w:w="4500" w:type="dxa"/>
          </w:tcPr>
          <w:p>
            <w:pPr>
              <w:spacing w:after="100"/>
            </w:pPr>
            <w:r>
              <w:t>finc12</w:t>
            </w:r>
          </w:p>
        </w:tc>
      </w:tr>
    </w:tbl>
    <w:p>
      <w:pPr>
        <w:pStyle w:val="afff0"/>
        <w:keepNext/>
        <w:spacing w:after="100"/>
      </w:pPr>
      <w:r>
        <w:t>B. 完整模型采用表</w:t>
      </w:r>
    </w:p>
    <w:tbl>
      <w:tblPr>
        <w:tblW w:w="90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w="2250" w:type="dxa"/>
          </w:tcPr>
          <w:p>
            <w:pPr>
              <w:spacing w:after="100"/>
            </w:pPr>
            <w:r>
              <w:t>模型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状态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SY残差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可采用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C1_MI02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C1_MI03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C1_MI04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C1_MI05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C1_MI06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C1_MI08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C1_MI09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C1_MI10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CONDITIONAL_FIXED_ZERO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0.032750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SW_MI02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0.032126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SW_MI03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0.033684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SW_MI04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0.033343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SW_MI05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0.033463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SW_MI06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0.029551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0.033711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SW_MI08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0.032605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SW_MI09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0.035928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SW_MI10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0.032037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-0.087631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XLIN_MI02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-0.087805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XLIN_MI03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-0.083419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XLIN_MI04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-0.084954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XLIN_MI05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-0.085347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XLIN_MI06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-0.091246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-0.086237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XLIN_MI08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-0.087903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XLIN_MI09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-0.082590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XLIN_MI10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INADMISSIBLE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-0.088437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P002_MI01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0.020000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P008_MI01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0.080000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P020_MI01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0.200000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spacing w:after="100"/>
            </w:pPr>
            <w:r>
              <w:t>P040_MI01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CONDITIONAL_REVIEWABLE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0.400000</w:t>
            </w:r>
          </w:p>
        </w:tc>
        <w:tc>
          <w:tcPr>
            <w:tcW w:w="2250" w:type="dxa"/>
          </w:tcPr>
          <w:p>
            <w:pPr>
              <w:spacing w:after="100"/>
            </w:pPr>
            <w:r>
              <w:t>TRUE</w:t>
            </w:r>
          </w:p>
        </w:tc>
      </w:tr>
    </w:tbl>
    <w:p>
      <w:pPr>
        <w:pStyle w:val="afff0"/>
        <w:keepNext/>
        <w:spacing w:after="100"/>
      </w:pPr>
      <w:r>
        <w:t>C. 拟合指标</w:t>
      </w:r>
    </w:p>
    <w:tbl>
      <w:tblPr>
        <w:tblW w:w="90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w="1800" w:type="dxa"/>
          </w:tcPr>
          <w:p>
            <w:pPr>
              <w:spacing w:after="100"/>
            </w:pPr>
            <w:r>
              <w:t>模型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CFI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TLI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RMSEA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SRMR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C1_MI06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0.976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C1_MI09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C1_MI10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0.022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SW_MI06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SW_MI09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SW_MI10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0.983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0.956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XLIN_MI06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0.972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0.956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XLIN_MI09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XLIN_MI10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P002_MI01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P008_MI01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0.965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P020_MI01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0.977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0.964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100"/>
            </w:pPr>
            <w:r>
              <w:t>P040_MI01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0.973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0.958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0.014</w:t>
            </w:r>
          </w:p>
        </w:tc>
        <w:tc>
          <w:tcPr>
            <w:tcW w:w="1800" w:type="dxa"/>
          </w:tcPr>
          <w:p>
            <w:pPr>
              <w:spacing w:after="100"/>
            </w:pPr>
            <w:r>
              <w:t>0.024</w:t>
            </w:r>
          </w:p>
        </w:tc>
      </w:tr>
    </w:tbl>
    <w:p>
      <w:pPr>
        <w:pStyle w:val="afff0"/>
        <w:keepNext/>
        <w:spacing w:after="100"/>
      </w:pPr>
      <w:r>
        <w:t>D. 第一份插补的固定残差剖面</w:t>
      </w:r>
    </w:p>
    <w:tbl>
      <w:tblPr>
        <w:tblW w:w="90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1500" w:type="dxa"/>
          </w:tcPr>
          <w:p>
            <w:pPr>
              <w:spacing w:after="100"/>
            </w:pPr>
            <w:r>
              <w:t>固定残差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路径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估计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SE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95%条件区间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合法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-0.424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0.104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[-0.628, -0.220]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0.195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0.188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[-0.174, 0.563]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-0.716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0.473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[-1.642, 0.211]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0.426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0.137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[0.158, 0.694]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-0.418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0.102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[-0.618, -0.218]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0.166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0.175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[-0.177, 0.510]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-0.687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0.422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[-1.514, 0.140]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0.386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0.132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[0.126, 0.645]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-0.404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0.097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[-0.594, -0.213]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0.091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0.148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[-0.199, 0.380]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-0.621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0.313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[-1.233, -0.008]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0.08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0.267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0.122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[0.028, 0.506]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0.20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-0.385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0.095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[-0.571, -0.199]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0.20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-0.032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0.116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[-0.259, 0.196]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0.20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-0.544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0.196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[-0.927, -0.160]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0.20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0.044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0.107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[-0.165, 0.254]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0.40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-0.380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0.103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[-0.582, -0.178]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0.40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-0.167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0.086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[-0.336, 0.001]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0.40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-0.479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0.117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[-0.708, -0.250]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0.40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-0.247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0.085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[-0.414, -0.081]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TRUE</w:t>
            </w:r>
          </w:p>
        </w:tc>
      </w:tr>
    </w:tbl>
    <w:p>
      <w:pPr>
        <w:spacing w:after="100"/>
      </w:pPr>
      <w:r>
        <w:t>单份区间为固定规格下渐近Wald诊断。非法点仅保留定位信息；本表不是MI区间、置信集合或边界检验。</w:t>
      </w:r>
    </w:p>
    <w:p>
      <w:pPr>
        <w:pStyle w:val="afff0"/>
        <w:keepNext/>
        <w:spacing w:after="100"/>
      </w:pPr>
      <w:r>
        <w:t>E. 条件MI合并与模拟精度</w:t>
      </w:r>
    </w:p>
    <w:tbl>
      <w:tblPr>
        <w:tblW w:w="90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1500" w:type="dxa"/>
          </w:tcPr>
          <w:p>
            <w:pPr>
              <w:spacing w:after="100"/>
            </w:pPr>
            <w:r>
              <w:t>规格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路径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p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FMI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MCSE/SE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精度标记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C1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0.00005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0.00097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0.00941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C1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0.30058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0.00048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0.00662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C1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0.13361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0.00056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0.00712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C1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0.00194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0.00114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0.01020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SW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bii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0.01744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0.00079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0.00849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SW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bis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0.70564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0.00022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0.00451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SW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bss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0.68621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0.00035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0.00563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100"/>
            </w:pPr>
            <w:r>
              <w:t>SW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bsyiy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0.15619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0.00064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0.00762</w:t>
            </w:r>
          </w:p>
        </w:tc>
        <w:tc>
          <w:tcPr>
            <w:tcW w:w="1500" w:type="dxa"/>
          </w:tcPr>
          <w:p>
            <w:pPr>
              <w:spacing w:after="100"/>
            </w:pPr>
            <w:r>
              <w:t>FALSE</w:t>
            </w:r>
          </w:p>
        </w:tc>
      </w:tr>
    </w:tbl>
    <w:p>
      <w:pPr>
        <w:spacing w:after="100"/>
      </w:pPr>
      <w:r>
        <w:t>MCSE/SE超过.05仅作报告标记，不自动追加插补。使用大样本完整数据自由度近似下的Rubin规则，协方差按同一参数顺序合并，不平均P值。</w:t>
      </w:r>
    </w:p>
    <w:p>
      <w:pPr>
        <w:pStyle w:val="afff0"/>
        <w:keepNext/>
        <w:spacing w:after="100"/>
      </w:pPr>
      <w:r>
        <w:t>F. 参数几何与追溯</w:t>
      </w:r>
    </w:p>
    <w:p>
      <w:pPr>
        <w:spacing w:after="100"/>
      </w:pPr>
      <w:r>
        <w:t>PSI为增长因子结构残差协方差，G为给定协变量后的增长因子联合协方差，THETA为测量残差协方差，SIGMA为模型蕴含的条件观测协方差。TECH3为参数估计协方差，不能替代上述潜变量几何检查。预定SY=0允许PSI/G的零特征值，其他负方差或额外秩亏仍不通过。</w:t>
      </w:r>
    </w:p>
    <w:p>
      <w:pPr>
        <w:spacing w:after="100"/>
      </w:pPr>
      <w:r>
        <w:t>完整输入、输出、TECH1/TECH3/TECH4、参数顺序绑定、局部残差、数据哈希、起点核查与独立复算记录见配套公开数据包。微观数据、真实人员／家庭标识和插补对象未公开。所有模型尝试与未采用结果均保留。</w:t>
      </w:r>
    </w:p>
    <w:sectPr w:rsidR="00B030DE" w:rsidRPr="00F90165" w:rsidSect="007D354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10788</TotalTime>
  <Pages>103</Pages>
  <Words>32075</Words>
  <Characters>182829</Characters>
  <Application>Microsoft Office Word</Application>
  <DocSecurity>0</DocSecurity>
  <Lines>1523</Lines>
  <Paragraphs>428</Paragraphs>
  <ScaleCrop>false</ScaleCrop>
  <Company/>
  <LinksUpToDate>false</LinksUpToDate>
  <CharactersWithSpaces>214476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2025-11-10T13:23:00Z</dcterms:created>
  <dcterms:modified xsi:type="dcterms:W3CDTF">2026-02-14T15:02:00Z</dcterms:modified>
</cp:coreProperties>
</file>