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_round2D.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Chars="0" w:firstLine="0"/>
        <w:jc w:val="center"/>
        <w:rPr>
          <w:lang w:eastAsia="zh-CN"/>
        </w:rPr>
      </w:pPr>
      <w:r>
        <w:t xml:space="preserve">多子女家庭代际亲近度、家内差异与老年抑郁症状的纵向关联〔阶段稿：潜调节待评议〕</w:t>
      </w:r>
    </w:p>
    <w:p w14:paraId="0403CF24" w14:textId="77777777" w:rsidR="00822B47" w:rsidRPr="00946D56" w:rsidRDefault="00822B47" w:rsidP="00403CA0">
      <w:pPr>
        <w:ind w:firstLineChars="0" w:firstLine="0"/>
        <w:jc w:val="center"/>
        <w:rPr>
          <w:lang w:eastAsia="zh-CN"/>
        </w:rPr>
      </w:pPr>
    </w:p>
    <w:p>
      <w:pPr>
        <w:pStyle w:val="af5"/>
        <w:ind w:firstLine="361"/>
        <w:jc w:val="left"/>
      </w:pPr>
      <w:r>
        <w:t xml:space="preserve">摘要：本文使用中国家庭追踪调查2012—2022年五期资料，考察多子女家庭代际亲近度、家内相对差异与老年抑郁症状轨迹的关联。共同分析队列含3274名基期年龄大于60岁的受访者；四类差异的调节分析分别限定于基期相应指标可计算者。协变量缺失采用10份家庭—个人分层多重插补。主要平行过程工作模型允许每期亲近度与抑郁的测量残差相关，亲近度采用自由形状，抑郁采用十年线性变化近似。基期亲近度较高者的基期抑郁较低（估计−0.350，95%区间[−0.639, −0.061]）；变化之间的关联为−0.246（[−1.442, 0.949]），现有估计尚不明确。潜在初始差异调节未取得可合并估计。观测基期差异调节按阶段计划延期，尚未执行。三项SD资源差异尚未执行，H4.2b未完成正式统计检验。本文报告固定模型与现有插补假设下的关联，不将未能估计或区间包含零解释为效应不存在，也不将其解释为干预效果。</w:t>
      </w:r>
    </w:p>
    <w:p>
      <w:pPr>
        <w:ind w:firstLine="420"/>
        <w:rPr>
          <w:lang w:eastAsia="zh-CN"/>
        </w:rPr>
      </w:pPr>
      <w:r>
        <w:t xml:space="preserve">关键词：代际亲近度；家庭内部差异；抑郁症状；平行过程潜增长模型；中国家庭追踪调查</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footerReference w:type="first" r:id="rIdRound2DFooter"/>
          <w:footerReference w:type="even" r:id="rIdRound2DFooter"/>
          <w:footerReference w:type="default" r:id="rIdRound2DFooter"/>
          <w:headerReference w:type="even" r:id="rId8"/>
          <w:headerReference w:type="default" r:id="rId9"/>
          <w:headerReference w:type="first" r:id="rId12"/>
          <w:footnotePr>
            <w:numRestart w:val="eachSect"/>
          </w:footnotePr>
          <w:pgSz w:w="11906" w:h="16838" w:orient="portrait"/>
          <w:pgMar w:top="1440" w:right="1440" w:bottom="1440" w:left="1440" w:header="720" w:footer="720" w:gutter="0"/>
          <w:cols w:space="720"/>
          <w:docGrid w:linePitch="326"/>
        </w:sectPr>
      </w:pPr>
    </w:p>
    <w:p>
      <w:pPr>
        <w:pStyle w:val="affe"/>
        <w:keepNext w:val="1"/>
        <w:spacing w:before="240" w:after="240"/>
        <w:ind w:firstLine="420"/>
      </w:pPr>
      <w:r>
        <w:t xml:space="preserve">引言</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lang w:eastAsia="zh-CN"/>
        </w:rPr>
        <w:t>首先</w:t>
      </w:r>
      <w:r w:rsidR="00665A5B" w:rsidRPr="00946D56">
        <w:rPr>
          <w:rFonts w:hint="eastAsia"/>
          <w:lang w:eastAsia="zh-CN"/>
        </w:rPr>
        <w:t>，</w:t>
      </w:r>
      <w:r w:rsidR="00ED3EF9" w:rsidRPr="00946D56">
        <w:rPr>
          <w:rFonts w:hint="eastAsia"/>
          <w:lang w:eastAsia="zh-CN"/>
        </w:rPr>
        <w:t>未能兼顾多子女代际关系状况。</w:t>
      </w:r>
      <w:r w:rsidR="00000B0A" w:rsidRPr="00946D56">
        <w:rPr>
          <w:rFonts w:hint="eastAsia"/>
          <w:lang w:eastAsia="zh-CN"/>
        </w:rPr>
        <w:t>同一家庭内的代际关系可能存在差异。</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2021a, 2024; Li et al., 2023; Zhang et al., 2024,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pPr>
        <w:ind w:firstLine="420"/>
        <w:rPr>
          <w:lang w:eastAsia="zh-CN"/>
        </w:rPr>
      </w:pPr>
      <w:r>
        <w:t xml:space="preserve">低生育率并不意味着家内关系差异失去研究意义。当前老年人的子女结构形成于更早的生育时期，多子女家庭仍是理解其亲情联系和养老经验的重要场景。不同出生队列、地区和社会群体的家庭结构也存在差别。本文据此考察多子女家庭中的关系差异，不用当前预期寿命推算某种家庭结构必然延续多少年。</w:t>
      </w:r>
    </w:p>
    <w:p w14:paraId="5A407CC7" w14:textId="75F614F9" w:rsidR="005C1AA2" w:rsidRPr="00946D56" w:rsidRDefault="00584312" w:rsidP="00A02D7B">
      <w:pPr>
        <w:ind w:firstLine="422"/>
        <w:rPr>
          <w:lang w:eastAsia="zh-CN"/>
        </w:rPr>
      </w:pPr>
      <w:r w:rsidRPr="00946D56">
        <w:rPr>
          <w:rFonts w:hint="eastAsia"/>
          <w:lang w:eastAsia="zh-CN"/>
        </w:rPr>
        <w:t>其次，</w:t>
      </w:r>
      <w:r w:rsidR="00ED3EF9" w:rsidRPr="00946D56">
        <w:rPr>
          <w:rFonts w:hint="eastAsia"/>
          <w:lang w:eastAsia="zh-CN"/>
        </w:rPr>
        <w:t>对代际关系时间变化的关注不足。代际关系也会随时间变化。</w:t>
      </w:r>
      <w:r w:rsidR="00000B0A" w:rsidRPr="00946D56">
        <w:rPr>
          <w:rFonts w:hint="eastAsia"/>
          <w:lang w:eastAsia="zh-CN"/>
        </w:rPr>
        <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et al.,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pPr>
        <w:ind w:firstLine="420"/>
        <w:rPr>
          <w:lang w:eastAsia="zh-CN"/>
        </w:rPr>
      </w:pPr>
      <w:r>
        <w:t xml:space="preserve">本文利用CFPS五期追踪资料，将总体亲近度、家内相对差异与抑郁的基期水平和后续变化区分开来，围绕以下研究问题开展分析：</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pPr>
        <w:pStyle w:val="afff2"/>
        <w:ind w:firstLine="420"/>
      </w:pPr>
      <w:r>
        <w:t xml:space="preserve">2. 不同亲近度家内差异的基期水平及变化与老年人抑郁轨迹有何关联？</w:t>
      </w:r>
    </w:p>
    <w:p>
      <w:pPr>
        <w:pStyle w:val="afff2"/>
        <w:ind w:firstLine="420"/>
      </w:pPr>
      <w:r>
        <w:t xml:space="preserve">3. 家内差异的基期状态是否改变总体亲近度变化与抑郁变化之间的关联？</w:t>
      </w:r>
    </w:p>
    <w:p>
      <w:pPr>
        <w:pStyle w:val="afff2"/>
        <w:ind w:firstLine="420"/>
      </w:pPr>
      <w:r>
        <w:t xml:space="preserve">4. 相应条件关联是否因父母性别或社会经济资源而不同？原计划优先检验预先限定的三项资源差异；本阶段按计算预算延期，尚未执行。</w:t>
      </w:r>
    </w:p>
    <w:p>
      <w:pPr>
        <w:pStyle w:val="affe"/>
        <w:keepNext w:val="1"/>
        <w:spacing w:before="240" w:after="240"/>
        <w:ind w:firstLine="420"/>
      </w:pPr>
      <w:r>
        <w:t xml:space="preserve">理论框架与研究假设</w:t>
      </w:r>
    </w:p>
    <w:p w14:paraId="118B391C" w14:textId="41F4AE4F" w:rsidR="00ED3EF9" w:rsidRPr="00946D56" w:rsidRDefault="00ED3EF9" w:rsidP="0065738C">
      <w:pPr>
        <w:pStyle w:val="afff0"/>
        <w:spacing w:before="120" w:after="120"/>
        <w:ind w:firstLine="422"/>
        <w:keepNext w:val="1"/>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一个家庭中多条亲子关系可能不同；当积极与消极关系并存时，可借助“集体矛盾心理”框架理解</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通过汇总同一家庭多个亲子二元组的关系来描述其组合与差异；差异程度本身不证明存在矛盾心理。</w:t>
      </w:r>
      <w:r w:rsidR="00C165AD" w:rsidRPr="00946D56">
        <w:rPr>
          <w:rFonts w:hint="eastAsia"/>
          <w:lang w:eastAsia="zh-CN"/>
        </w:rPr>
        <w:t/>
      </w:r>
      <w:r w:rsidRPr="00946D56">
        <w:rPr>
          <w:rFonts w:hint="eastAsia"/>
          <w:lang w:eastAsia="zh-CN"/>
        </w:rPr>
        <w:t>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交换等代际关系维度的差异明显，这些差异可能与老年父母及成年子女的健康福祉相关</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et al.,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et al.,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年中国老人接受各子女的代际工具性支持呈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et al.,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其次，代际关系家内差异可能与老年父母及成年子女的健康福祉有关：对于父母而言，美国研究发现亲子关系质量的最低水平能够预测老年父母的幸福感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
      </w:r>
      <w:r w:rsidRPr="00946D56">
        <w:rPr>
          <w:rFonts w:hint="eastAsia"/>
          <w:lang w:eastAsia="zh-CN"/>
        </w:rPr>
        <w:t>；亲子关系中的亲密上限水平正向预测，疏远下限水平负向预测父母抑郁症状。此外，亲子关系之间存在互动效应，消极关系的存在会削弱积极亲子关系对抑郁的益处</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et al.,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et al., 2024; Li et al.,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pPr>
        <w:ind w:firstLine="420"/>
        <w:rPr>
          <w:lang w:eastAsia="zh-CN"/>
        </w:rPr>
      </w:pPr>
      <w:r>
        <w:t xml:space="preserve">本文聚焦代际亲近度维度，以加法关联与交互关联分别考察家内差异、整体亲近度和抑郁轨迹的关系。</w:t>
      </w:r>
    </w:p>
    <w:p w14:paraId="20CCEA24" w14:textId="77777777" w:rsidR="00ED3EF9" w:rsidRPr="00946D56" w:rsidRDefault="00ED3EF9" w:rsidP="009C4AFF">
      <w:pPr>
        <w:pStyle w:val="afff0"/>
        <w:spacing w:before="120" w:after="120"/>
        <w:ind w:firstLine="422"/>
        <w:keepNext w:val="1"/>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lang w:eastAsia="zh-CN"/>
        </w:rPr>
        <w:t>整体质量来看</w:t>
      </w:r>
      <w:r w:rsidR="008044DC" w:rsidRPr="00946D56">
        <w:rPr>
          <w:rFonts w:hint="eastAsia"/>
          <w:lang w:eastAsia="zh-CN"/>
        </w:rPr>
        <w:t>，既有研究提示</w:t>
      </w:r>
      <w:r w:rsidR="00C43531" w:rsidRPr="00946D56">
        <w:rPr>
          <w:rFonts w:hint="eastAsia"/>
          <w:lang w:eastAsia="zh-CN"/>
        </w:rPr>
        <w:t/>
      </w:r>
      <w:r w:rsidR="008044DC" w:rsidRPr="00946D56">
        <w:rPr>
          <w:rFonts w:hint="eastAsia"/>
          <w:lang w:eastAsia="zh-CN"/>
        </w:rPr>
        <w:t>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与较好的老年心理健康相关，</w:t>
      </w:r>
      <w:r w:rsidR="00C43531" w:rsidRPr="00946D56">
        <w:rPr>
          <w:rFonts w:hint="eastAsia"/>
          <w:lang w:eastAsia="zh-CN"/>
        </w:rPr>
        <w:t>部分研究发现关系质量较</w:t>
      </w:r>
      <w:proofErr w:type="gramStart"/>
      <w:r w:rsidR="00C43531" w:rsidRPr="00946D56">
        <w:rPr>
          <w:rFonts w:hint="eastAsia"/>
          <w:lang w:eastAsia="zh-CN"/>
        </w:rPr>
        <w:t>高者的心理健康</w:t>
      </w:r>
      <w:proofErr w:type="gramEnd"/>
      <w:r w:rsidR="00C43531" w:rsidRPr="00946D56">
        <w:rPr>
          <w:rFonts w:hint="eastAsia"/>
          <w:lang w:eastAsia="zh-CN"/>
        </w:rPr>
        <w:t>状况较好，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伴随较差的</w:t>
      </w:r>
      <w:r w:rsidRPr="00946D56">
        <w:rPr>
          <w:rFonts w:hint="eastAsia"/>
          <w:lang w:eastAsia="zh-CN"/>
        </w:rPr>
        <w:t>心理健康</w:t>
      </w:r>
      <w:r w:rsidR="00C43531" w:rsidRPr="00946D56">
        <w:rPr>
          <w:rFonts w:hint="eastAsia"/>
          <w:lang w:eastAsia="zh-CN"/>
        </w:rPr>
        <w:t>，相应关联因关系指标与研究设计而异</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et al.,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lang w:eastAsia="zh-CN"/>
        </w:rPr>
        <w:t>内部差异</w:t>
      </w:r>
      <w:r w:rsidR="008A0661" w:rsidRPr="00946D56">
        <w:rPr>
          <w:rFonts w:hint="eastAsia"/>
          <w:lang w:eastAsia="zh-CN"/>
        </w:rPr>
        <w:t>来看</w:t>
      </w:r>
      <w:r w:rsidR="00A21A90" w:rsidRPr="00946D56">
        <w:rPr>
          <w:rFonts w:hint="eastAsia"/>
          <w:lang w:eastAsia="zh-CN"/>
        </w:rPr>
        <w:t>，也可能伴随</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et al.,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lang w:eastAsia="zh-CN"/>
        </w:rPr>
        <w:t>亲近度平均水平（均值）视为积极关系，亲近度标准差作为差异程度的指标</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的影响，部分研究讨论了中国家庭亲子关系中的性别差异</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本文将父母对儿子与女儿的平均亲近度之差作为有符号的相对评价指标。较小的差值表示评价相对偏向女儿，不能直接推断父母与任何一方的绝对关系恶化；它与抑郁的关联方向仍需检验。另一方面，家庭中的年龄与排行次序可能塑造不同的责任期待，部分家庭</w:t>
      </w:r>
      <w:r w:rsidRPr="00946D56">
        <w:rPr>
          <w:rFonts w:hint="eastAsia"/>
          <w:lang w:eastAsia="zh-CN"/>
        </w:rPr>
        <w:t>/</w:t>
      </w:r>
      <w:r w:rsidRPr="00946D56">
        <w:rPr>
          <w:rFonts w:hint="eastAsia"/>
          <w:lang w:eastAsia="zh-CN"/>
        </w:rPr>
        <w:t>家族的养老传统中，老大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。父母对老大与其他子女</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的相对评价，可能与责任期待及实际互动有关。差值本身不能确认家庭凝聚力或社会网络受损。本文保留原先关于相对评价方向的理论预测，将亲近度的性别差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作为相对评价维度，结合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lang w:eastAsia="zh-CN"/>
        </w:rPr>
        <w:t>集成</w:t>
      </w:r>
      <w:r w:rsidR="0090732B" w:rsidRPr="00946D56">
        <w:rPr>
          <w:rFonts w:hint="eastAsia"/>
          <w:lang w:eastAsia="zh-CN"/>
        </w:rPr>
        <w:t>到</w:t>
      </w:r>
      <w:r w:rsidR="00381A61" w:rsidRPr="00946D56">
        <w:rPr>
          <w:rFonts w:hint="eastAsia"/>
          <w:lang w:eastAsia="zh-CN"/>
        </w:rPr>
        <w:t>家庭层次则</w:t>
      </w:r>
      <w:r w:rsidR="0090732B" w:rsidRPr="00946D56">
        <w:rPr>
          <w:rFonts w:hint="eastAsia"/>
          <w:lang w:eastAsia="zh-CN"/>
        </w:rPr>
        <w:t>可由“均值、标准差、性别差、排行差”等</w:t>
      </w:r>
      <w:r w:rsidR="00381A61" w:rsidRPr="00946D56">
        <w:rPr>
          <w:rFonts w:hint="eastAsia"/>
          <w:lang w:eastAsia="zh-CN"/>
        </w:rPr>
        <w:t>不同维度描述</w:t>
      </w:r>
      <w:r w:rsidR="0090732B" w:rsidRPr="00946D56">
        <w:rPr>
          <w:rFonts w:hint="eastAsia"/>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pPr>
        <w:pStyle w:val="afff2"/>
        <w:ind w:firstLine="420"/>
        <w:outlineLvl w:val="2"/>
      </w:pPr>
      <w:r>
        <w:t xml:space="preserve">假设2.1：较大的家内标准差，以及相对偏向女儿或其他子女的较小有符号差值，将削弱总体亲近度与较低抑郁之间的负向关联。</w:t>
      </w:r>
    </w:p>
    <w:p>
      <w:pPr>
        <w:pStyle w:val="afff2"/>
        <w:ind w:firstLine="420"/>
        <w:outlineLvl w:val="2"/>
      </w:pPr>
      <w:r>
        <w:t xml:space="preserve">假设2.2：较高的总体亲近度将缓冲上述家内差异与较高抑郁之间的关联。这里的差异指标是相对评价，不能直接等同于父母与特定子女的绝对疏远。</w:t>
      </w:r>
    </w:p>
    <w:p w14:paraId="31211A43" w14:textId="0086B238" w:rsidR="00ED3EF9" w:rsidRPr="00946D56" w:rsidRDefault="00ED3EF9" w:rsidP="009C4AFF">
      <w:pPr>
        <w:pStyle w:val="afff0"/>
        <w:spacing w:before="120" w:after="120"/>
        <w:ind w:firstLine="422"/>
        <w:keepNext w:val="1"/>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pPr>
        <w:pStyle w:val="afff2"/>
        <w:ind w:firstLine="420"/>
        <w:outlineLvl w:val="2"/>
      </w:pPr>
      <w:r>
        <w:t xml:space="preserve">假设3.1：代际亲近度与抑郁之间的基期关联及变化关联，在老年女性中更强。</w:t>
      </w:r>
    </w:p>
    <w:p>
      <w:pPr>
        <w:pStyle w:val="afff2"/>
        <w:ind w:firstLine="420"/>
        <w:outlineLvl w:val="2"/>
      </w:pPr>
      <w:r>
        <w:t xml:space="preserve">假设3.2：相应调节关联在老年女性中更强。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pPr>
        <w:pStyle w:val="afff2"/>
        <w:ind w:firstLine="420"/>
        <w:outlineLvl w:val="2"/>
      </w:pPr>
      <w:r>
        <w:t xml:space="preserve">假设4.1a：社会经济资源状况（学历、居住地、个人收入）更好者的抑郁状况，较少受到代际关系家内差异的影响；更差者的抑郁状况，直接效应更易受到代际关系的影响。</w:t>
      </w:r>
    </w:p>
    <w:p>
      <w:pPr>
        <w:pStyle w:val="afff2"/>
        <w:ind w:firstLine="420"/>
        <w:outlineLvl w:val="2"/>
      </w:pPr>
      <w:r>
        <w:t xml:space="preserve">假设4.1b：社会经济资源状况（学历、居住地、个人收入）更好者的抑郁状况，较易受到代际关系家内差异的影响；更差者的抑郁状况，直接效应更少受到代际关系的影响。</w:t>
      </w:r>
    </w:p>
    <w:p>
      <w:pPr>
        <w:pStyle w:val="afff2"/>
        <w:ind w:firstLine="420"/>
        <w:outlineLvl w:val="2"/>
      </w:pPr>
      <w:r>
        <w:t xml:space="preserve">假设4.2a：社会经济资源状况（学历、居住地、个人收入）更好者的抑郁状况，对代际关系不和谐因素更不敏感，"积极关系的缓解效应" "消极关系的弱化效应"更弱；更差者的抑郁状况，更易受到代际关系的影响。</w:t>
      </w:r>
    </w:p>
    <w:p>
      <w:pPr>
        <w:pStyle w:val="afff2"/>
        <w:ind w:firstLine="420"/>
        <w:outlineLvl w:val="2"/>
      </w:pPr>
      <w:r>
        <w:t xml:space="preserve">假设4.2b：社会经济资源状况（学历、居住地、个人收入）更好者的抑郁状况，对代际关系不和谐因素更为敏感，"积极关系的缓解效应" "消极关系的弱化效应"更强；更差者的抑郁状况，更少受到代际关系的影响。</w:t>
      </w:r>
    </w:p>
    <w:p w14:paraId="0B22F5B6" w14:textId="03EE9D30" w:rsidR="00CD4205" w:rsidRPr="00946D56" w:rsidRDefault="00CD4205" w:rsidP="009C4AFF">
      <w:pPr>
        <w:pStyle w:val="afff0"/>
        <w:spacing w:before="120" w:after="120"/>
        <w:ind w:firstLine="422"/>
        <w:keepNext w:val="1"/>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et al.,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已有少数家内差异纵向研究提示</w:t>
      </w:r>
      <w:r w:rsidRPr="00946D56">
        <w:rPr>
          <w:rFonts w:hint="eastAsia"/>
          <w:lang w:eastAsia="zh-CN"/>
        </w:rPr>
        <w:t/>
      </w:r>
      <w:r w:rsidR="00951D08" w:rsidRPr="00946D56">
        <w:rPr>
          <w:rFonts w:hint="eastAsia"/>
          <w:lang w:eastAsia="zh-CN"/>
        </w:rPr>
        <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影响老年心理健康过程可能具有时间差异</w:t>
      </w:r>
      <w:r w:rsidR="00E02389" w:rsidRPr="00946D56">
        <w:rPr>
          <w:rFonts w:hint="eastAsia"/>
          <w:lang w:eastAsia="zh-CN"/>
        </w:rPr>
        <w:t/>
      </w:r>
      <w:r w:rsidR="00875690" w:rsidRPr="00946D56">
        <w:rPr>
          <w:rFonts w:hint="eastAsia"/>
          <w:lang w:eastAsia="zh-CN"/>
        </w:rPr>
        <w:t>：当期效应与累积效应</w:t>
      </w:r>
      <w:r w:rsidR="00FE6EEA" w:rsidRPr="00946D56">
        <w:rPr>
          <w:rFonts w:hint="eastAsia"/>
          <w:lang w:eastAsia="zh-CN"/>
        </w:rPr>
        <w:t>。</w:t>
      </w:r>
      <w:r w:rsidR="00875690" w:rsidRPr="00946D56">
        <w:rPr>
          <w:rFonts w:hint="eastAsia"/>
          <w:lang w:eastAsia="zh-CN"/>
        </w:rPr>
        <w:t>例如：</w:t>
      </w:r>
      <w:r w:rsidRPr="00946D56">
        <w:rPr>
          <w:rFonts w:hint="eastAsia"/>
          <w:lang w:eastAsia="zh-CN"/>
        </w:rPr>
        <w:t>疏离型（紧密型）亲子关系与最低（最高）认知功能水平和最快（最慢）认知功能下降相关</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估计了不同年龄段的健康轨迹</w:t>
      </w:r>
      <w:r w:rsidR="002928AF" w:rsidRPr="00946D56">
        <w:rPr>
          <w:lang w:eastAsia="zh-CN"/>
        </w:rPr>
        <w:t/>
      </w:r>
      <w:r w:rsidR="002928AF" w:rsidRPr="00946D56">
        <w:rPr>
          <w:rFonts w:hint="eastAsia"/>
          <w:lang w:eastAsia="zh-CN"/>
        </w:rPr>
        <w:t/>
      </w:r>
      <w:r w:rsidR="00591275" w:rsidRPr="00946D56">
        <w:rPr>
          <w:rFonts w:hint="eastAsia"/>
          <w:lang w:eastAsia="zh-CN"/>
        </w:rPr>
        <w:t/>
      </w:r>
      <w:r w:rsidR="002928AF" w:rsidRPr="00946D56">
        <w:rPr>
          <w:lang w:eastAsia="zh-CN"/>
        </w:rPr>
        <w:t>。</w:t>
      </w:r>
      <w:r w:rsidR="00591275" w:rsidRPr="00946D56">
        <w:rPr>
          <w:rFonts w:hint="eastAsia"/>
          <w:lang w:eastAsia="zh-CN"/>
        </w:rPr>
        <w:t>但</w:t>
      </w:r>
      <w:r w:rsidR="00CA7522" w:rsidRPr="00946D56">
        <w:rPr>
          <w:rFonts w:hint="eastAsia"/>
          <w:lang w:eastAsia="zh-CN"/>
        </w:rPr>
        <w:t>本质上仍是</w:t>
      </w:r>
      <w:r w:rsidR="00873787" w:rsidRPr="00946D56">
        <w:rPr>
          <w:rFonts w:hint="eastAsia"/>
          <w:lang w:eastAsia="zh-CN"/>
        </w:rPr>
        <w:t>对</w:t>
      </w:r>
      <w:r w:rsidR="00EE695C" w:rsidRPr="00946D56">
        <w:rPr>
          <w:rFonts w:hint="eastAsia"/>
          <w:lang w:eastAsia="zh-CN"/>
        </w:rPr>
        <w:t>长期纵向研究的近似模拟</w:t>
      </w:r>
      <w:r w:rsidR="000D36C3" w:rsidRPr="00946D56">
        <w:rPr>
          <w:rFonts w:hint="eastAsia"/>
          <w:lang w:eastAsia="zh-CN"/>
        </w:rPr>
        <w:t>，</w:t>
      </w:r>
      <w:r w:rsidR="00D30051" w:rsidRPr="00946D56">
        <w:rPr>
          <w:rFonts w:hint="eastAsia"/>
          <w:lang w:eastAsia="zh-CN"/>
        </w:rPr>
        <w:t>同时利用个体内追踪和不同年龄队列的信息（Raudenbush与Chan，1992）</w:t>
      </w:r>
      <w:r w:rsidR="00C23307" w:rsidRPr="00946D56">
        <w:rPr>
          <w:rFonts w:hint="eastAsia"/>
          <w:lang w:eastAsia="zh-CN"/>
        </w:rPr>
        <w:t/>
      </w:r>
      <w:r w:rsidR="00D30051" w:rsidRPr="00946D56">
        <w:rPr>
          <w:rFonts w:hint="eastAsia"/>
          <w:lang w:eastAsia="zh-CN"/>
        </w:rPr>
        <w:t/>
      </w:r>
      <w:r w:rsidR="004F15BE" w:rsidRPr="00946D56">
        <w:rPr>
          <w:rFonts w:hint="eastAsia"/>
          <w:lang w:eastAsia="zh-CN"/>
        </w:rPr>
        <w:t>，其跨队列拼接解释依赖可比性等假设</w:t>
      </w:r>
      <w:r w:rsidR="00602CC3" w:rsidRPr="00946D56">
        <w:rPr>
          <w:rFonts w:hint="eastAsia"/>
          <w:lang w:eastAsia="zh-CN"/>
        </w:rPr>
        <w:t/>
      </w:r>
      <w:r w:rsidR="00D30051" w:rsidRPr="00946D56">
        <w:rPr>
          <w:lang w:eastAsia="zh-CN"/>
        </w:rPr>
        <w:fldChar w:fldCharType="begin"/>
      </w:r>
      <w:r w:rsidR="00D30051" w:rsidRPr="00946D56">
        <w:rPr>
          <w:rFonts w:hint="eastAsia"/>
          <w:lang w:eastAsia="zh-CN"/>
        </w:rPr>
        <w:instrText xml:space="preserve"> ADDIN ZOTERO_ITEM CSL_CITATION {"citationID":"k3sPsyu3","properties":{"formattedCitation":"\\uc0\\u65288{}Fischer et al., 2019\\uc0\\u65289{}","plainCitation":"</w:instrText>
      </w:r>
      <w:r w:rsidR="00D30051" w:rsidRPr="00946D56">
        <w:rPr>
          <w:rFonts w:hint="eastAsia"/>
          <w:lang w:eastAsia="zh-CN"/>
        </w:rPr>
        <w:instrText>（</w:instrText>
      </w:r>
      <w:r w:rsidR="00D30051" w:rsidRPr="00946D56">
        <w:rPr>
          <w:rFonts w:hint="eastAsia"/>
          <w:lang w:eastAsia="zh-CN"/>
        </w:rPr>
        <w:instrText>Fischer et al., 2019</w:instrText>
      </w:r>
      <w:r w:rsidR="00D30051" w:rsidRPr="00946D56">
        <w:rPr>
          <w:rFonts w:hint="eastAsia"/>
          <w:lang w:eastAsia="zh-CN"/>
        </w:rPr>
        <w:instrText>）</w:instrText>
      </w:r>
      <w:r w:rsidR="00D30051" w:rsidRPr="00946D56">
        <w:rPr>
          <w:rFonts w:hint="eastAsia"/>
          <w:lang w:eastAsia="zh-CN"/>
        </w:rPr>
        <w:instrText>","noteIndex":0},"citationItems":[{"id":25880,"uris":["http://zotero.org</w:instrText>
      </w:r>
      <w:r w:rsidR="00D30051" w:rsidRPr="00946D56">
        <w:rPr>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lang w:eastAsia="zh-CN"/>
        </w:rPr>
        <w:fldChar w:fldCharType="end"/>
      </w:r>
      <w:r w:rsidR="00D30051" w:rsidRPr="00946D56">
        <w:rPr>
          <w:rFonts w:hint="eastAsia"/>
          <w:lang w:eastAsia="zh-CN"/>
        </w:rPr>
        <w:t>，</w:t>
      </w:r>
      <w:r w:rsidR="00294BF2" w:rsidRPr="00946D56">
        <w:rPr>
          <w:rFonts w:hint="eastAsia"/>
          <w:lang w:eastAsia="zh-CN"/>
        </w:rPr>
        <w:t>可能因无法反映关键历史事件或干预过程</w:t>
      </w:r>
      <w:r w:rsidR="00617DFF" w:rsidRPr="00946D56">
        <w:rPr>
          <w:rFonts w:hint="eastAsia"/>
          <w:lang w:eastAsia="zh-CN"/>
        </w:rPr>
        <w:t>而</w:t>
      </w:r>
      <w:r w:rsidR="00294BF2" w:rsidRPr="00946D56">
        <w:rPr>
          <w:rFonts w:hint="eastAsia"/>
          <w:lang w:eastAsia="zh-CN"/>
        </w:rPr>
        <w:t>偏离实际的时间趋势</w:t>
      </w:r>
      <w:r w:rsidR="00221119" w:rsidRPr="00946D56">
        <w:rPr>
          <w:lang w:eastAsia="zh-CN"/>
        </w:rPr>
        <w:fldChar w:fldCharType="begin"/>
      </w:r>
      <w:r w:rsidR="00BE3C98" w:rsidRPr="00946D56">
        <w:rPr>
          <w:rFonts w:hint="eastAsia"/>
          <w:lang w:eastAsia="zh-CN"/>
        </w:rPr>
        <w:instrText xml:space="preserve"> ADDIN ZOTERO_ITEM CSL_CITATION {"citationID":"Wk1yuSI0","properties":{"formattedCitation":"\\uc0\\u65288{}Duncan et al., 2009, 2011\\uc0\\u65289{}","plainCitation":"</w:instrText>
      </w:r>
      <w:r w:rsidR="00BE3C98" w:rsidRPr="00946D56">
        <w:rPr>
          <w:rFonts w:hint="eastAsia"/>
          <w:lang w:eastAsia="zh-CN"/>
        </w:rPr>
        <w:instrText>（</w:instrText>
      </w:r>
      <w:r w:rsidR="00BE3C98" w:rsidRPr="00946D56">
        <w:rPr>
          <w:rFonts w:hint="eastAsia"/>
          <w:lang w:eastAsia="zh-CN"/>
        </w:rPr>
        <w:instrText>Duncan et al., 2009, 2011</w:instrText>
      </w:r>
      <w:r w:rsidR="00BE3C98" w:rsidRPr="00946D56">
        <w:rPr>
          <w:rFonts w:hint="eastAsia"/>
          <w:lang w:eastAsia="zh-CN"/>
        </w:rPr>
        <w:instrText>）</w:instrText>
      </w:r>
      <w:r w:rsidR="00BE3C98" w:rsidRPr="00946D56">
        <w:rPr>
          <w:rFonts w:hint="eastAsia"/>
          <w:lang w:eastAsia="zh-CN"/>
        </w:rPr>
        <w:instrText>","noteIndex":0},"citationItems":[{"id":25810,"uris":["http://</w:instrText>
      </w:r>
      <w:r w:rsidR="00BE3C98" w:rsidRPr="00946D56">
        <w:rPr>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lang w:eastAsia="zh-CN"/>
        </w:rPr>
        <w:fldChar w:fldCharType="end"/>
      </w:r>
      <w:r w:rsidR="00D30051" w:rsidRPr="00946D56">
        <w:rPr>
          <w:rFonts w:hint="eastAsia"/>
          <w:lang w:eastAsia="zh-CN"/>
        </w:rPr>
        <w:t>，</w:t>
      </w:r>
      <w:r w:rsidR="00221119" w:rsidRPr="00946D56">
        <w:rPr>
          <w:rFonts w:hint="eastAsia"/>
          <w:lang w:eastAsia="zh-CN"/>
        </w:rPr>
        <w:t>亦</w:t>
      </w:r>
      <w:r w:rsidR="00591275" w:rsidRPr="00946D56">
        <w:rPr>
          <w:rFonts w:hint="eastAsia"/>
          <w:lang w:eastAsia="zh-CN"/>
        </w:rPr>
        <w:t>未涉及代际关系自身的变化</w:t>
      </w:r>
      <w:r w:rsidR="00814A0D" w:rsidRPr="00946D56">
        <w:rPr>
          <w:rFonts w:hint="eastAsia"/>
          <w:lang w:eastAsia="zh-CN"/>
        </w:rPr>
        <w:t>轨迹</w:t>
      </w:r>
      <w:r w:rsidR="00532A43" w:rsidRPr="00946D56">
        <w:rPr>
          <w:rFonts w:hint="eastAsia"/>
          <w:lang w:eastAsia="zh-CN"/>
        </w:rPr>
        <w:t>，</w:t>
      </w:r>
      <w:r w:rsidR="00EE695C" w:rsidRPr="00946D56">
        <w:rPr>
          <w:rFonts w:hint="eastAsia"/>
          <w:lang w:eastAsia="zh-CN"/>
        </w:rPr>
        <w:t>在</w:t>
      </w:r>
      <w:r w:rsidR="007031FB" w:rsidRPr="00946D56">
        <w:rPr>
          <w:rFonts w:hint="eastAsia"/>
          <w:lang w:eastAsia="zh-CN"/>
        </w:rPr>
        <w:t>理解</w:t>
      </w:r>
      <w:r w:rsidR="00532A43" w:rsidRPr="00946D56">
        <w:rPr>
          <w:rFonts w:hint="eastAsia"/>
          <w:lang w:eastAsia="zh-CN"/>
        </w:rPr>
        <w:t>两组关系</w:t>
      </w:r>
      <w:r w:rsidR="007031FB" w:rsidRPr="00946D56">
        <w:rPr>
          <w:rFonts w:hint="eastAsia"/>
          <w:lang w:eastAsia="zh-CN"/>
        </w:rPr>
        <w:t>的</w:t>
      </w:r>
      <w:r w:rsidR="00EE695C" w:rsidRPr="00946D56">
        <w:rPr>
          <w:rFonts w:hint="eastAsia"/>
          <w:lang w:eastAsia="zh-CN"/>
        </w:rPr>
        <w:t>动态</w:t>
      </w:r>
      <w:r w:rsidR="00D15EDE" w:rsidRPr="00946D56">
        <w:rPr>
          <w:rFonts w:hint="eastAsia"/>
          <w:lang w:eastAsia="zh-CN"/>
        </w:rPr>
        <w:t>共变</w:t>
      </w:r>
      <w:r w:rsidR="00FE6EEA" w:rsidRPr="00946D56">
        <w:rPr>
          <w:rFonts w:hint="eastAsia"/>
          <w:lang w:eastAsia="zh-CN"/>
        </w:rPr>
        <w:t>上</w:t>
      </w:r>
      <w:r w:rsidR="007031FB" w:rsidRPr="00946D56">
        <w:rPr>
          <w:rFonts w:hint="eastAsia"/>
          <w:lang w:eastAsia="zh-CN"/>
        </w:rPr>
        <w:t>存在不足</w:t>
      </w:r>
      <w:r w:rsidR="00C27F82" w:rsidRPr="00946D56">
        <w:rPr>
          <w:lang w:eastAsia="zh-CN"/>
        </w:rPr>
        <w:fldChar w:fldCharType="begin"/>
      </w:r>
      <w:r w:rsidR="00767E7A" w:rsidRPr="00946D56">
        <w:rPr>
          <w:rFonts w:hint="eastAsia"/>
          <w:lang w:eastAsia="zh-CN"/>
        </w:rPr>
        <w:instrText xml:space="preserve"> ADDIN ZOTERO_ITEM CSL_CITATION {"citationID":"VI6xS8QV","properties":{"formattedCitation":"\\uc0\\u65288{}El-Sheikh et al., 2019\\uc0\\u65289{}","plainCitation":"</w:instrText>
      </w:r>
      <w:r w:rsidR="00767E7A" w:rsidRPr="00946D56">
        <w:rPr>
          <w:rFonts w:hint="eastAsia"/>
          <w:lang w:eastAsia="zh-CN"/>
        </w:rPr>
        <w:instrText>（</w:instrText>
      </w:r>
      <w:r w:rsidR="00767E7A" w:rsidRPr="00946D56">
        <w:rPr>
          <w:rFonts w:hint="eastAsia"/>
          <w:lang w:eastAsia="zh-CN"/>
        </w:rPr>
        <w:instrText>El-Sheikh et al., 2019</w:instrText>
      </w:r>
      <w:r w:rsidR="00767E7A" w:rsidRPr="00946D56">
        <w:rPr>
          <w:rFonts w:hint="eastAsia"/>
          <w:lang w:eastAsia="zh-CN"/>
        </w:rPr>
        <w:instrText>）</w:instrText>
      </w:r>
      <w:r w:rsidR="00767E7A" w:rsidRPr="00946D56">
        <w:rPr>
          <w:rFonts w:hint="eastAsia"/>
          <w:lang w:eastAsia="zh-CN"/>
        </w:rPr>
        <w:instrText>","noteIndex":0},"citationItems":[{"id":25762,"uris":["http://zotero</w:instrText>
      </w:r>
      <w:r w:rsidR="00767E7A" w:rsidRPr="00946D56">
        <w:rPr>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lang w:eastAsia="zh-CN"/>
        </w:rPr>
        <w:instrText>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\nTLDR: Exposure to initially low but increasing levels of marital conflict was associated with increases in problems across adolescen</w:instrText>
      </w:r>
      <w:r w:rsidR="00767E7A" w:rsidRPr="00946D56">
        <w:rPr>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lang w:eastAsia="zh-CN"/>
        </w:rPr>
        <w:fldChar w:fldCharType="separate"/>
      </w:r>
      <w:r w:rsidR="00C27F82" w:rsidRPr="00946D56">
        <w:rPr>
          <w:rFonts w:cs="Times New Roman"/>
          <w:lang w:eastAsia="zh-CN"/>
        </w:rPr>
        <w:t>（</w:t>
      </w:r>
      <w:r w:rsidR="00C27F82" w:rsidRPr="00946D56">
        <w:rPr>
          <w:rFonts w:cs="Times New Roman"/>
          <w:lang w:eastAsia="zh-CN"/>
        </w:rPr>
        <w:t>El-Sheikh et al., 2019</w:t>
      </w:r>
      <w:r w:rsidR="00C27F82" w:rsidRPr="00946D56">
        <w:rPr>
          <w:rFonts w:cs="Times New Roman"/>
          <w:lang w:eastAsia="zh-CN"/>
        </w:rPr>
        <w:t>）</w:t>
      </w:r>
      <w:r w:rsidR="00C27F82" w:rsidRPr="00946D56">
        <w:rPr>
          <w:lang w:eastAsia="zh-CN"/>
        </w:rPr>
        <w:fldChar w:fldCharType="end"/>
      </w:r>
      <w:r w:rsidR="00532A43" w:rsidRPr="00946D56">
        <w:rPr>
          <w:rFonts w:hint="eastAsia"/>
          <w:lang w:eastAsia="zh-CN"/>
        </w:rPr>
        <w:t>。</w:t>
      </w:r>
      <w:r w:rsidR="007C7FD0" w:rsidRPr="00946D56">
        <w:rPr>
          <w:rFonts w:hint="eastAsia"/>
          <w:lang w:eastAsia="zh-CN"/>
        </w:rPr>
        <w:t>代际关系本身也会变化。</w:t>
      </w:r>
      <w:r w:rsidR="000C5AE3" w:rsidRPr="00946D56">
        <w:rPr>
          <w:rFonts w:hint="eastAsia"/>
          <w:lang w:eastAsia="zh-CN"/>
        </w:rPr>
        <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pPr>
        <w:pStyle w:val="afff2"/>
        <w:ind w:firstLine="420"/>
        <w:outlineLvl w:val="2"/>
      </w:pPr>
      <w:r>
        <w:t xml:space="preserve">假设5.1：亲近度与抑郁之间同时存在基期关联、基期状态与后续变化的关联，以及变化之间的共变。</w:t>
      </w:r>
    </w:p>
    <w:p>
      <w:pPr>
        <w:pStyle w:val="afff2"/>
        <w:ind w:firstLine="420"/>
        <w:outlineLvl w:val="2"/>
      </w:pPr>
      <w:r>
        <w:t xml:space="preserve">假设5.2：亲近度家内差异的调节关联同时涉及基期状态、基期状态与后续变化，以及变化之间的不同组合。</w:t>
      </w:r>
    </w:p>
    <w:p w14:paraId="6AB53B8A" w14:textId="77777777" w:rsidR="002D09BB" w:rsidRPr="00946D56" w:rsidRDefault="002D09BB" w:rsidP="009C4AFF">
      <w:pPr>
        <w:pStyle w:val="afff2"/>
        <w:ind w:firstLine="420"/>
      </w:pPr>
    </w:p>
    <w:p>
      <w:pPr>
        <w:pStyle w:val="affe"/>
        <w:keepNext w:val="1"/>
        <w:spacing w:before="240" w:after="240"/>
      </w:pPr>
      <w:r>
        <w:t xml:space="preserve">研究设计</w:t>
      </w:r>
    </w:p>
    <w:p>
      <w:pPr>
        <w:pStyle w:val="afff0"/>
        <w:keepNext w:val="1"/>
        <w:spacing w:before="120" w:after="120"/>
        <w:ind w:firstLine="422"/>
      </w:pPr>
      <w:r>
        <w:t xml:space="preserve">数据与样本</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pPr>
        <w:ind w:firstLine="420"/>
        <w:rPr>
          <w:lang w:eastAsia="zh-CN"/>
        </w:rPr>
      </w:pPr>
      <w:r>
        <w:rPr>
          <w:rFonts w:hint="eastAsia"/>
          <w:lang w:eastAsia="zh-CN"/>
        </w:rPr>
        <w:t>CFPS在2012、2016、2018、2020和2022年同时提供本研究所需的代际亲近度与抑郁测量，故使用这五期构建非平衡面板；各指标的可用人数分别报告。</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pPr>
        <w:ind w:firstLine="420"/>
        <w:rPr>
          <w:lang w:eastAsia="zh-CN"/>
        </w:rPr>
      </w:pPr>
      <w:r>
        <w:t xml:space="preserve">两组样本取交集后得到3274人的非平衡面板，共2410个家庭。该样本按后续观测和跨期子女计数条件筛选，不能直接代表全部基线老年人。调节分析进一步要求2012年相应家内差异实际可计算：标准差3274人、性别差2339人、老大差3159人、长子差2894人，各自分析而不取交集；无相应子女构成的差值不填零。原队列中328人有死亡报告（326人年份已知、2人年份未知），其余2946人没有死亡报告，不等于均已核实存活至2022年。五波同时具有亲近度均值和CESD观测者为476人。</w:t>
      </w:r>
    </w:p>
    <w:p xmlns:a="http://schemas.openxmlformats.org/drawingml/2006/main" xmlns:pic="http://schemas.openxmlformats.org/drawingml/2006/picture">
      <w:pPr>
        <w:jc w:val="center"/>
        <w:keepNext/>
      </w:pPr>
      <w:r>
        <w:drawing>
          <wp:inline distT="0" distB="0" distL="0" distR="0">
            <wp:extent cx="5623560" cy="5440680"/>
            <wp:docPr id="9201" name="Figure 1 current baseline sample flow" descr="样本筛选流程与四类基期差异可计算样本"/>
            <a:graphic>
              <a:graphicData uri="http://schemas.openxmlformats.org/drawingml/2006/picture">
                <pic:pic>
                  <pic:nvPicPr>
                    <pic:cNvPr id="9202" name="figure1_sample_flow.png"/>
                    <pic:cNvPicPr/>
                  </pic:nvPicPr>
                  <pic:blipFill>
                    <a:blip r:embed="rIdRound2DFlow"/>
                    <a:stretch>
                      <a:fillRect/>
                    </a:stretch>
                  </pic:blipFill>
                  <pic:spPr>
                    <a:xfrm>
                      <a:off x="0" y="0"/>
                      <a:ext cx="5623560" cy="5440680"/>
                    </a:xfrm>
                    <a:prstGeom prst="rect">
                      <a:avLst/>
                    </a:prstGeom>
                  </pic:spPr>
                </pic:pic>
              </a:graphicData>
            </a:graphic>
          </wp:inline>
        </w:drawing>
      </w:r>
    </w:p>
    <w:p>
      <w:pPr>
        <w:pStyle w:val="afff4"/>
        <w:spacing w:after="120"/>
      </w:pPr>
      <w:r>
        <w:t xml:space="preserve">图1 样本筛选与四类家内差异的基期资格。子女计数一致不保证跨期对应完全相同的子女集合；所有分支均保留后期不平衡观测。</w:t>
      </w:r>
    </w:p>
    <w:p>
      <w:pPr>
        <w:pStyle w:val="afff0"/>
        <w:keepNext w:val="1"/>
        <w:spacing w:before="120" w:after="120"/>
        <w:ind w:firstLine="422"/>
      </w:pPr>
      <w:r>
        <w:t xml:space="preserve">变量测量</w:t>
      </w:r>
    </w:p>
    <w:p>
      <w:pPr>
        <w:pStyle w:val="affc"/>
        <w:keepNext w:val="1"/>
        <w:spacing w:before="120"/>
        <w:ind w:firstLine="420"/>
      </w:pPr>
      <w:r>
        <w:t xml:space="preserve">抑郁症状</w:t>
      </w:r>
    </w:p>
    <w:p>
      <w:pPr>
        <w:ind w:firstLine="420"/>
        <w:rPr>
          <w:lang w:eastAsia="zh-CN"/>
        </w:rPr>
      </w:pPr>
      <w:r>
        <w:t xml:space="preserve">因变量为CES-D共同8题抑郁症状得分。2012年从20题中选取共同八题，2016年使用长短版中的共同八题，2018—2022年使用八题版本。内容为情绪低落、做事费劲、睡眠不好、感到愉快、孤独、生活快乐、悲伤难过、觉得生活无法继续。每题询问过去一周的出现频率：1＝几乎没有（不到一天），2＝有些时候（1—2天），3＝经常有（3—4天），4＝大多数时候有（5—7天）。“感到愉快”和“生活快乐”以5减原回答反向计分；特殊缺失码不参与求和，仅在八题均有有效回答时计分，总分8—32，分数越高症状越重。各期有效人数与修正计分信度见附表A2。所有时期以2012年均值13.5754428833和标准差4.2592386459作同一标准化变换。早期处理中的2012年计分错误已修正，2593人的总分随之改变；这项修正不等于跨期测量不变性已经成立。</w:t>
      </w:r>
    </w:p>
    <w:p>
      <w:pPr>
        <w:pStyle w:val="affc"/>
        <w:keepNext w:val="1"/>
        <w:spacing w:before="120"/>
        <w:ind w:firstLine="420"/>
      </w:pPr>
      <w:r>
        <w:t xml:space="preserve">代际亲近度与家内差异</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et al.,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为每位受访老人构建总体亲近度均值与四类家内差异：标准差、性别差、老大差和长子差。均值反映该受访者与各有效子女的总体亲近水平，其余指标描述同一受访者所报告的不同子女关系之间的差异。</w:t>
      </w:r>
      <w:r w:rsidR="004C16C7" w:rsidRPr="00946D56">
        <w:rPr>
          <w:rFonts w:hint="eastAsia"/>
          <w:lang w:eastAsia="zh-CN"/>
        </w:rPr>
        <w:t/>
      </w:r>
      <w:r w:rsidR="003C1744" w:rsidRPr="00946D56">
        <w:rPr>
          <w:lang w:eastAsia="zh-CN"/>
        </w:rPr>
        <w:t/>
      </w:r>
      <w:r w:rsidR="00C155B3" w:rsidRPr="00946D56">
        <w:rPr>
          <w:rFonts w:hint="eastAsia"/>
          <w:lang w:eastAsia="zh-CN"/>
        </w:rPr>
        <w:t/>
      </w:r>
      <w:r w:rsidR="003C1744" w:rsidRPr="00946D56">
        <w:rPr>
          <w:lang w:eastAsia="zh-CN"/>
        </w:rPr>
        <w:t/>
      </w:r>
      <w:r w:rsidR="004C16C7" w:rsidRPr="00946D56">
        <w:rPr>
          <w:rFonts w:hint="eastAsia"/>
          <w:lang w:eastAsia="zh-CN"/>
        </w:rPr>
        <w:t/>
      </w:r>
      <w:r w:rsidR="00FF33F0" w:rsidRPr="00946D56">
        <w:rPr>
          <w:rFonts w:hint="eastAsia"/>
          <w:lang w:eastAsia="zh-CN"/>
        </w:rPr>
        <w:t/>
      </w:r>
      <w:r w:rsidR="003C1744" w:rsidRPr="00946D56">
        <w:rPr>
          <w:lang w:eastAsia="zh-CN"/>
        </w:rPr>
        <w:t/>
      </w:r>
      <w:r w:rsidR="00FF33F0" w:rsidRPr="00946D56">
        <w:rPr>
          <w:rFonts w:hint="eastAsia"/>
          <w:lang w:eastAsia="zh-CN"/>
        </w:rPr>
        <w:t/>
      </w:r>
      <w:r w:rsidR="003C1744" w:rsidRPr="00946D56">
        <w:rPr>
          <w:lang w:eastAsia="zh-CN"/>
        </w:rPr>
        <w:t/>
      </w:r>
      <w:r w:rsidR="009B496F" w:rsidRPr="00946D56">
        <w:rPr>
          <w:rFonts w:hint="eastAsia"/>
          <w:lang w:eastAsia="zh-CN"/>
        </w:rPr>
        <w:t/>
      </w:r>
      <w:r w:rsidR="003C1744" w:rsidRPr="00946D56">
        <w:rPr>
          <w:lang w:eastAsia="zh-CN"/>
        </w:rPr>
        <w:t/>
      </w:r>
      <w:r w:rsidR="003C318F" w:rsidRPr="00946D56">
        <w:rPr>
          <w:rFonts w:hint="eastAsia"/>
          <w:lang w:eastAsia="zh-CN"/>
        </w:rPr>
        <w:t/>
      </w:r>
      <w:r w:rsidR="003C318F" w:rsidRPr="00946D56">
        <w:rPr>
          <w:rFonts w:hint="eastAsia"/>
          <w:lang w:eastAsia="zh-CN"/>
        </w:rPr>
        <w:t/>
      </w:r>
      <w:r w:rsidR="003C1744" w:rsidRPr="00946D56">
        <w:rPr>
          <w:lang w:eastAsia="zh-CN"/>
        </w:rPr>
        <w:t/>
      </w:r>
      <w:r w:rsidR="009B496F" w:rsidRPr="00946D56">
        <w:rPr>
          <w:rFonts w:hint="eastAsia"/>
          <w:lang w:eastAsia="zh-CN"/>
        </w:rPr>
        <w:t/>
      </w:r>
      <w:r w:rsidR="003C1744" w:rsidRPr="00946D56">
        <w:rPr>
          <w:lang w:eastAsia="zh-CN"/>
        </w:rPr>
        <w:t/>
      </w:r>
      <w:r w:rsidR="003C318F" w:rsidRPr="00946D56">
        <w:rPr>
          <w:rFonts w:hint="eastAsia"/>
          <w:lang w:eastAsia="zh-CN"/>
        </w:rPr>
        <w:t/>
      </w:r>
      <w:r w:rsidR="007A11EB" w:rsidRPr="00946D56">
        <w:rPr>
          <w:rFonts w:hint="eastAsia"/>
          <w:lang w:eastAsia="zh-CN"/>
        </w:rPr>
        <w:t/>
      </w:r>
      <w:r w:rsidR="003C1744" w:rsidRPr="00946D56">
        <w:rPr>
          <w:lang w:eastAsia="zh-CN"/>
        </w:rPr>
        <w:t/>
      </w:r>
      <w:r w:rsidR="003705A2" w:rsidRPr="00946D56">
        <w:rPr>
          <w:rFonts w:hint="eastAsia"/>
          <w:lang w:eastAsia="zh-CN"/>
        </w:rPr>
        <w:t/>
      </w:r>
      <w:r w:rsidR="003705A2" w:rsidRPr="00946D56">
        <w:rPr>
          <w:lang w:eastAsia="zh-CN"/>
        </w:rPr>
        <w:t/>
      </w:r>
      <w:r w:rsidR="003705A2" w:rsidRPr="00946D56">
        <w:rPr>
          <w:rFonts w:hint="eastAsia"/>
          <w:lang w:eastAsia="zh-CN"/>
        </w:rPr>
        <w:t/>
      </w:r>
      <w:r w:rsidR="003705A2" w:rsidRPr="00946D56">
        <w:rPr>
          <w:lang w:eastAsia="zh-CN"/>
        </w:rPr>
        <w:t/>
      </w:r>
      <w:r w:rsidR="003C318F" w:rsidRPr="00946D56">
        <w:rPr>
          <w:rFonts w:hint="eastAsia"/>
          <w:lang w:eastAsia="zh-CN"/>
        </w:rPr>
        <w:t/>
      </w:r>
      <w:r w:rsidR="00D51E4E" w:rsidRPr="00946D56">
        <w:rPr>
          <w:rFonts w:hint="eastAsia"/>
          <w:lang w:eastAsia="zh-CN"/>
        </w:rPr>
        <w:t/>
      </w:r>
      <w:r w:rsidR="003705A2" w:rsidRPr="00946D56">
        <w:rPr>
          <w:lang w:eastAsia="zh-CN"/>
        </w:rPr>
        <w:t/>
      </w:r>
      <w:r w:rsidR="0077794D" w:rsidRPr="00946D56">
        <w:rPr>
          <w:rFonts w:hint="eastAsia"/>
          <w:lang w:eastAsia="zh-CN"/>
        </w:rPr>
        <w:t/>
      </w:r>
      <w:r w:rsidR="003705A2" w:rsidRPr="00946D56">
        <w:rPr>
          <w:lang w:eastAsia="zh-CN"/>
        </w:rPr>
        <w:t/>
      </w:r>
      <w:r w:rsidR="0077794D" w:rsidRPr="00946D56">
        <w:rPr>
          <w:lang w:eastAsia="zh-CN"/>
        </w:rPr>
        <w:t/>
      </w:r>
      <w:r w:rsidR="0077794D" w:rsidRPr="00946D56">
        <w:rPr>
          <w:rFonts w:hint="eastAsia"/>
          <w:lang w:eastAsia="zh-CN"/>
        </w:rPr>
        <w:t/>
      </w:r>
      <w:r w:rsidR="0077794D" w:rsidRPr="00946D56">
        <w:rPr>
          <w:lang w:eastAsia="zh-CN"/>
        </w:rPr>
        <w:t/>
      </w:r>
      <w:r w:rsidR="00965C12" w:rsidRPr="00946D56">
        <w:rPr>
          <w:rFonts w:hint="eastAsia"/>
          <w:lang w:eastAsia="zh-CN"/>
        </w:rPr>
        <w:t/>
      </w:r>
      <w:r w:rsidR="00F62EBC" w:rsidRPr="00946D56">
        <w:rPr>
          <w:rFonts w:hint="eastAsia"/>
          <w:lang w:eastAsia="zh-CN"/>
        </w:rPr>
        <w:t/>
      </w:r>
      <w:r w:rsidR="0077794D" w:rsidRPr="00946D56">
        <w:rPr>
          <w:lang w:eastAsia="zh-CN"/>
        </w:rPr>
        <w:t/>
      </w:r>
      <w:r w:rsidR="0077794D" w:rsidRPr="00946D56">
        <w:rPr>
          <w:rFonts w:hint="eastAsia"/>
          <w:lang w:eastAsia="zh-CN"/>
        </w:rPr>
        <w:t/>
      </w:r>
      <w:r w:rsidR="00992281" w:rsidRPr="00946D56">
        <w:rPr>
          <w:rFonts w:hint="eastAsia"/>
          <w:lang w:eastAsia="zh-CN"/>
        </w:rPr>
        <w:t/>
      </w:r>
      <w:r w:rsidR="0077794D" w:rsidRPr="00946D56">
        <w:rPr>
          <w:rFonts w:hint="eastAsia"/>
          <w:lang w:eastAsia="zh-CN"/>
        </w:rPr>
        <w:t/>
      </w:r>
      <w:r w:rsidR="007A11EB" w:rsidRPr="00946D56">
        <w:rPr>
          <w:rFonts w:hint="eastAsia"/>
          <w:lang w:eastAsia="zh-CN"/>
        </w:rPr>
        <w:t/>
      </w:r>
      <w:r w:rsidR="00F74426" w:rsidRPr="00946D56">
        <w:rPr>
          <w:rFonts w:hint="eastAsia"/>
          <w:lang w:eastAsia="zh-CN"/>
        </w:rPr>
        <w:t>定义见表1</w:t>
      </w:r>
      <w:r w:rsidR="00F74426" w:rsidRPr="00946D56">
        <w:rPr>
          <w:rFonts w:hint="eastAsia"/>
          <w:lang w:eastAsia="zh-CN"/>
        </w:rPr>
        <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；当前尺度与参数单位见附表A1</w:t>
      </w:r>
      <w:r w:rsidR="0025533A" w:rsidRPr="00946D56">
        <w:rPr>
          <w:rFonts w:hint="eastAsia"/>
          <w:lang w:eastAsia="zh-CN"/>
        </w:rPr>
        <w:t/>
      </w:r>
      <w:r w:rsidR="0025533A" w:rsidRPr="00946D56">
        <w:rPr>
          <w:rFonts w:hint="eastAsia"/>
          <w:lang w:eastAsia="zh-CN"/>
        </w:rPr>
        <w:t/>
      </w:r>
      <w:r w:rsidR="0025533A" w:rsidRPr="00946D56">
        <w:rPr>
          <w:rFonts w:hint="eastAsia"/>
          <w:lang w:eastAsia="zh-CN"/>
        </w:rPr>
        <w:t/>
      </w:r>
      <w:r w:rsidR="00BD3987" w:rsidRPr="00946D56">
        <w:rPr>
          <w:rFonts w:hint="eastAsia"/>
          <w:lang w:eastAsia="zh-CN"/>
        </w:rPr>
        <w:t>）</w:t>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et al.,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。本研究优先联合估计潜变量交互，避免把外部因子得分作为无误差变量。三个有符号差值在基期标准化后反向，使较大的值对应原理论预定的不利方向；SD保持正向。参考值及其实际支持范围随结果表说明。</w:t>
      </w:r>
    </w:p>
    <w:p>
      <w:pPr>
        <w:pStyle w:val="af3"/>
        <w:keepNext w:val="1"/>
        <w:spacing w:before="120"/>
        <w:ind w:firstLine="420"/>
      </w:pPr>
      <w:r>
        <w:t xml:space="preserve">表1 代际亲近度及家内差异的定义</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00"/>
        <w:gridCol w:w="3700"/>
        <w:gridCol w:w="3900"/>
      </w:tblGrid>
      <w:tr>
        <w:trPr>
          <w:cantSplit/>
          <w:tblHeader/>
        </w:trPr>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指标</w:t>
            </w:r>
          </w:p>
        </w:tc>
        <w:tc>
          <w:tcPr>
            <w:tcW w:w="3700" w:type="dxa"/>
            <w:vAlign w:val="center"/>
            <w:shd w:val="clear" w:fill="E8EDF2"/>
          </w:tcPr>
          <w:p>
            <w:pPr>
              <w:keepNext/>
              <w:widowControl/>
              <w:spacing w:after="100"/>
              <w:ind w:firstLine="0" w:firstLineChars="0" w:left="0" w:right="0" w:leftChars="0" w:rightChars="0"/>
              <w:jc w:val="left"/>
            </w:pPr>
            <w:r>
              <w:rPr>
                <w:sz w:val="19"/>
                <w:szCs w:val="19"/>
              </w:rPr>
              <w:t xml:space="preserve">定义</w:t>
            </w:r>
          </w:p>
        </w:tc>
        <w:tc>
          <w:tcPr>
            <w:tcW w:w="3900" w:type="dxa"/>
            <w:vAlign w:val="center"/>
            <w:shd w:val="clear" w:fill="E8EDF2"/>
          </w:tcPr>
          <w:p>
            <w:pPr>
              <w:keepNext/>
              <w:widowControl/>
              <w:spacing w:after="100"/>
              <w:ind w:firstLine="0" w:firstLineChars="0" w:left="0" w:right="0" w:leftChars="0" w:rightChars="0"/>
              <w:jc w:val="left"/>
            </w:pPr>
            <w:r>
              <w:rPr>
                <w:sz w:val="19"/>
                <w:szCs w:val="19"/>
              </w:rPr>
              <w:t xml:space="preserve">模型前的比值尺度</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总体均值</w:t>
            </w:r>
          </w:p>
        </w:tc>
        <w:tc>
          <w:tcPr>
            <w:tcW w:w="3700" w:type="dxa"/>
            <w:vAlign w:val="center"/>
          </w:tcPr>
          <w:p>
            <w:pPr>
              <w:keepNext/>
              <w:widowControl/>
              <w:spacing w:after="100"/>
              <w:ind w:firstLine="0" w:firstLineChars="0" w:left="0" w:right="0" w:leftChars="0" w:rightChars="0"/>
              <w:jc w:val="left"/>
            </w:pPr>
            <w:r>
              <w:rPr>
                <w:sz w:val="19"/>
                <w:szCs w:val="19"/>
              </w:rPr>
              <w:t xml:space="preserve">每位老年人与各有效子女的亲近度平均分</w:t>
            </w:r>
          </w:p>
        </w:tc>
        <w:tc>
          <w:tcPr>
            <w:tcW w:w="3900" w:type="dxa"/>
            <w:vAlign w:val="center"/>
          </w:tcPr>
          <w:p>
            <w:pPr>
              <w:keepNext/>
              <w:widowControl/>
              <w:spacing w:after="100"/>
              <w:ind w:firstLine="0" w:firstLineChars="0" w:left="0" w:right="0" w:leftChars="0" w:rightChars="0"/>
              <w:jc w:val="left"/>
            </w:pPr>
            <w:r>
              <w:rPr>
                <w:sz w:val="19"/>
                <w:szCs w:val="19"/>
              </w:rPr>
              <w:t xml:space="preserve">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3700" w:type="dxa"/>
            <w:vAlign w:val="center"/>
          </w:tcPr>
          <w:p>
            <w:pPr>
              <w:keepNext/>
              <w:widowControl/>
              <w:spacing w:after="100"/>
              <w:ind w:firstLine="0" w:firstLineChars="0" w:left="0" w:right="0" w:leftChars="0" w:rightChars="0"/>
              <w:jc w:val="left"/>
            </w:pPr>
            <w:r>
              <w:rPr>
                <w:sz w:val="19"/>
                <w:szCs w:val="19"/>
              </w:rPr>
              <w:t xml:space="preserve">各有效子女评分的标准差</w:t>
            </w:r>
          </w:p>
        </w:tc>
        <w:tc>
          <w:tcPr>
            <w:tcW w:w="3900" w:type="dxa"/>
            <w:vAlign w:val="center"/>
          </w:tcPr>
          <w:p>
            <w:pPr>
              <w:keepNext/>
              <w:widowControl/>
              <w:spacing w:after="100"/>
              <w:ind w:firstLine="0" w:firstLineChars="0" w:left="0" w:right="0" w:leftChars="0" w:rightChars="0"/>
              <w:jc w:val="left"/>
            </w:pPr>
            <w:r>
              <w:rPr>
                <w:sz w:val="19"/>
                <w:szCs w:val="19"/>
              </w:rPr>
              <w:t xml:space="preserve">100 × SD / 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性别差</w:t>
            </w:r>
          </w:p>
        </w:tc>
        <w:tc>
          <w:tcPr>
            <w:tcW w:w="3700" w:type="dxa"/>
            <w:vAlign w:val="center"/>
          </w:tcPr>
          <w:p>
            <w:pPr>
              <w:keepNext/>
              <w:widowControl/>
              <w:spacing w:after="100"/>
              <w:ind w:firstLine="0" w:firstLineChars="0" w:left="0" w:right="0" w:leftChars="0" w:rightChars="0"/>
              <w:jc w:val="left"/>
            </w:pPr>
            <w:r>
              <w:rPr>
                <w:sz w:val="19"/>
                <w:szCs w:val="19"/>
              </w:rPr>
              <w:t xml:space="preserve">儿子均值−女儿均值；两类均需有有效评分</w:t>
            </w:r>
          </w:p>
        </w:tc>
        <w:tc>
          <w:tcPr>
            <w:tcW w:w="3900" w:type="dxa"/>
            <w:vAlign w:val="center"/>
          </w:tcPr>
          <w:p>
            <w:pPr>
              <w:keepNext/>
              <w:widowControl/>
              <w:spacing w:after="100"/>
              <w:ind w:firstLine="0" w:firstLineChars="0" w:left="0" w:right="0" w:leftChars="0" w:rightChars="0"/>
              <w:jc w:val="left"/>
            </w:pPr>
            <w:r>
              <w:rPr>
                <w:sz w:val="19"/>
                <w:szCs w:val="19"/>
              </w:rPr>
              <w:t xml:space="preserve">100 × (儿子均值−女儿均值) / 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老大差</w:t>
            </w:r>
          </w:p>
        </w:tc>
        <w:tc>
          <w:tcPr>
            <w:tcW w:w="3700" w:type="dxa"/>
            <w:vAlign w:val="center"/>
          </w:tcPr>
          <w:p>
            <w:pPr>
              <w:keepNext/>
              <w:widowControl/>
              <w:spacing w:after="100"/>
              <w:ind w:firstLine="0" w:firstLineChars="0" w:left="0" w:right="0" w:leftChars="0" w:rightChars="0"/>
              <w:jc w:val="left"/>
            </w:pPr>
            <w:r>
              <w:rPr>
                <w:sz w:val="19"/>
                <w:szCs w:val="19"/>
              </w:rPr>
              <w:t xml:space="preserve">最年长子女评分−其余子女均值</w:t>
            </w:r>
          </w:p>
        </w:tc>
        <w:tc>
          <w:tcPr>
            <w:tcW w:w="3900" w:type="dxa"/>
            <w:vAlign w:val="center"/>
          </w:tcPr>
          <w:p>
            <w:pPr>
              <w:keepNext/>
              <w:widowControl/>
              <w:spacing w:after="100"/>
              <w:ind w:firstLine="0" w:firstLineChars="0" w:left="0" w:right="0" w:leftChars="0" w:rightChars="0"/>
              <w:jc w:val="left"/>
            </w:pPr>
            <w:r>
              <w:rPr>
                <w:sz w:val="19"/>
                <w:szCs w:val="19"/>
              </w:rPr>
              <w:t xml:space="preserve">100 × (老大评分−其余均值) / Mean</w:t>
            </w:r>
          </w:p>
        </w:tc>
      </w:tr>
      <w:tr>
        <w:trPr>
          <w:cantSplit/>
        </w:trPr>
        <w:tc>
          <w:tcPr>
            <w:tcW w:w="1400" w:type="dxa"/>
            <w:vAlign w:val="center"/>
          </w:tcPr>
          <w:p>
            <w:pPr>
              <w:widowControl/>
              <w:spacing w:after="100"/>
              <w:ind w:firstLine="0" w:firstLineChars="0" w:left="0" w:right="0" w:leftChars="0" w:rightChars="0"/>
              <w:jc w:val="left"/>
            </w:pPr>
            <w:r>
              <w:rPr>
                <w:sz w:val="19"/>
                <w:szCs w:val="19"/>
              </w:rPr>
              <w:t xml:space="preserve">长子差</w:t>
            </w:r>
          </w:p>
        </w:tc>
        <w:tc>
          <w:tcPr>
            <w:tcW w:w="3700" w:type="dxa"/>
            <w:vAlign w:val="center"/>
          </w:tcPr>
          <w:p>
            <w:pPr>
              <w:widowControl/>
              <w:spacing w:after="100"/>
              <w:ind w:firstLine="0" w:firstLineChars="0" w:left="0" w:right="0" w:leftChars="0" w:rightChars="0"/>
              <w:jc w:val="left"/>
            </w:pPr>
            <w:r>
              <w:rPr>
                <w:sz w:val="19"/>
                <w:szCs w:val="19"/>
              </w:rPr>
              <w:t xml:space="preserve">最年长儿子评分−其余子女均值</w:t>
            </w:r>
          </w:p>
        </w:tc>
        <w:tc>
          <w:tcPr>
            <w:tcW w:w="3900" w:type="dxa"/>
            <w:vAlign w:val="center"/>
          </w:tcPr>
          <w:p>
            <w:pPr>
              <w:widowControl/>
              <w:spacing w:after="100"/>
              <w:ind w:firstLine="0" w:firstLineChars="0" w:left="0" w:right="0" w:leftChars="0" w:rightChars="0"/>
              <w:jc w:val="left"/>
            </w:pPr>
            <w:r>
              <w:rPr>
                <w:sz w:val="19"/>
                <w:szCs w:val="19"/>
              </w:rPr>
              <w:t xml:space="preserve">100 × (长子评分−其余均值) / Mean</w:t>
            </w:r>
          </w:p>
        </w:tc>
      </w:tr>
    </w:tbl>
    <w:p>
      <w:pPr>
        <w:pStyle w:val="affc"/>
        <w:keepNext w:val="1"/>
        <w:spacing w:before="120"/>
        <w:ind w:firstLine="420"/>
      </w:pPr>
      <w:r>
        <w:t xml:space="preserve">基期控制变量</w:t>
      </w:r>
    </w:p>
    <w:p>
      <w:pPr>
        <w:ind w:firstLine="420"/>
        <w:rPr>
          <w:lang w:eastAsia="zh-CN"/>
        </w:rPr>
      </w:pPr>
      <w:r>
        <w:t xml:space="preserve">主调整集包含24项基期编码列，完整定义、参照组、单位与缺失数见附表A3。父母特征包括年龄（61—75岁与76岁及以上）、性别、户口、民族、教育（小学及以下／初中及以上）、自评相对收入（1—5级）、个人收入金额（万元）、健康、婚姻与ADL。健康以一般为参照；个人收入金额与自评相对收入是不同指标。</w:t>
      </w:r>
    </w:p>
    <w:p>
      <w:pPr>
        <w:ind w:firstLine="420"/>
        <w:rPr>
          <w:lang w:eastAsia="zh-CN"/>
        </w:rPr>
      </w:pPr>
      <w:r>
        <w:t xml:space="preserve">子女特征包括人数、性别构成、年龄极差、是否同住以及经济和工具性支持。家庭特征包括家庭收入（万元）、城乡与地区。子女性别构成以儿女双全为参照，经济和工具性支持分别区分无帮助、所有子女帮助、部分子女帮助。生活满意度和追访总次数不在主调整集内。资源差异中的个人收入预先操作化为2012年金额是否大于零，衡量有无个人收入而非高低收入；这限定了原资源理论的可检验含义。</w:t>
      </w:r>
    </w:p>
    <w:p>
      <w:pPr>
        <w:ind w:firstLine="420"/>
        <w:rPr>
          <w:lang w:eastAsia="zh-CN"/>
        </w:rPr>
      </w:pPr>
      <w:r>
        <w:t xml:space="preserve">历史模型曾控制受访者参与调查的总次数；该变量属于基期后的追访信息，不能据此声称控制了样本流失。修正后主模型不将其作为基期控制。本轮调整集仅使用基期取值，未同时估计健康、收入等时变协变量的后续变化，因而仍可能存在未控制的时变共同因素。</w:t>
      </w:r>
    </w:p>
    <w:p>
      <w:pPr>
        <w:pStyle w:val="afff0"/>
        <w:keepNext/>
        <w:widowControl/>
        <w:spacing w:after="100"/>
      </w:pPr>
      <w:r>
        <w:t xml:space="preserve">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w:t>
      </w:r>
      <w:r w:rsidR="00CC206E" w:rsidRPr="00946D56">
        <w:rPr>
          <w:rFonts w:hint="eastAsia"/>
          <w:lang w:eastAsia="zh-CN"/>
        </w:rPr>
        <w:t>（</w:t>
      </w:r>
      <w:r w:rsidRPr="00946D56">
        <w:rPr>
          <w:rFonts w:hint="eastAsia"/>
          <w:lang w:eastAsia="zh-CN"/>
        </w:rPr>
        <w:t>LGCM</w:t>
      </w:r>
      <w:r w:rsidR="00CC206E" w:rsidRPr="00946D56">
        <w:rPr>
          <w:rFonts w:hint="eastAsia"/>
          <w:lang w:eastAsia="zh-CN"/>
        </w:rPr>
        <w:t>）</w:t>
      </w:r>
      <w:r w:rsidRPr="00946D56">
        <w:rPr>
          <w:rFonts w:hint="eastAsia"/>
          <w:lang w:eastAsia="zh-CN"/>
        </w:rPr>
        <w:t>估计代际亲近度家内差异、老年抑郁状况变化轨迹，并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检验前者的起始水平、变化趋势与后者的起始水平和变化趋势有何关联。一方面，潜在增长曲线模型，通过估计截距（初始水平）和斜率（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本文的分析步骤如下。</w:t>
      </w:r>
    </w:p>
    <w:p>
      <w:pPr>
        <w:pStyle w:val="afff0"/>
        <w:keepNext/>
        <w:widowControl/>
        <w:spacing w:after="100"/>
      </w:pPr>
      <w:r>
        <w:t xml:space="preserve">缺失处理与估计</w:t>
      </w:r>
    </w:p>
    <w:p>
      <w:pPr>
        <w:widowControl/>
        <w:spacing w:after="100"/>
      </w:pPr>
      <w:r>
        <w:t xml:space="preserve">2012年控制变量以核实的基期记录为准，恢复曾被其他年份代填的缺失后，完成10份、每份30轮的家庭—个人分层链式插补。家庭收入、城乡和地区在2012年家庭单位内抽取一次共同值；家庭内其他成员已报告一致真实值时，先恢复这一已知共同值。个人层目标使用带家庭随机截距的预测均值匹配，供体数为5。使用mice 3.19.0与miceadds 3.20.10；链式插补的基本框架参见van Buuren与Groothuis-Oudshoorn（2011）。观测保持、家庭共同值、目标完成和派生关系均已逐份核对。现有十份插补在本轮直接复用。</w:t>
      </w:r>
    </w:p>
    <w:p>
      <w:pPr>
        <w:widowControl/>
        <w:spacing w:after="100"/>
      </w:pPr>
      <w:r>
        <w:t xml:space="preserve">十个实际插补目标在第30轮的PSRF范围为0.995836—1.029352，结合既有链轨迹检查，支持本批插补的运行验收；逐项值见附表A17。这不是MAR或分析相容性的证明。</w:t>
      </w:r>
    </w:p>
    <w:p>
      <w:pPr>
        <w:widowControl/>
        <w:spacing w:after="100"/>
      </w:pPr>
      <w:r>
        <w:t xml:space="preserve">纵向亲近度、家内差异和CES-D不作单值补齐，其观测和缺失掩码保持原样；模型通过观测数据似然使用非平衡测量。结构性无定义的子女构成差值不当作普通可插补目标。插补模型利用已观测的后期X/Y、应答及死亡等辅助信息，这与在结构模型中将后期变量当成基期混杂不同。该方案仍依赖缺失机制与工作模型假设，不能从一致性检查推断死亡后的结局有定义，也不能宣称已解决非随机流失。</w:t>
      </w:r>
    </w:p>
    <w:p>
      <w:pPr>
        <w:widowControl/>
        <w:spacing w:after="100"/>
      </w:pPr>
      <w:r>
        <w:t xml:space="preserve">采用Mplus 9的稳健最大似然估计，按2012年家庭聚类计算稳健不确定性。亲近度X使用两端载荷为0和1、中间三点自由的增长基底；抑郁Y采用2012、2016、2018、2020、2022年对应的0、0.4、0.6、0.8、1日历线性载荷。因而SY是标准化抑郁得分的十年变化近似，SX是自由基底上的端点变化参数，不能统一解释为恒定年增长率。未使用调查权重外推全国总体。</w:t>
      </w:r>
    </w:p>
    <w:p>
      <w:pPr>
        <w:widowControl/>
        <w:spacing w:after="100"/>
      </w:pPr>
      <w:r>
        <w:t xml:space="preserve">主要父工作模型SW同时估计X和Y的基期与变化因子，保留SX与IY的条件残差关联，并允许五期X与Y的同波测量残差相关。所有增长因子均条件于基期控制集。同期剩余相关可以来自短期共同变化、访谈条件或其他遗漏因素，不能由该参数单独识别其来源。SY的条件残差自由估计；C1将该残差固定为零且不含五个同波关联，作为强约束敏感性。C1在结构上嵌套于SW，但涉及方差边界，不用普通df=6卡方参照作正式边界检验。</w:t>
      </w:r>
    </w:p>
    <w:p>
      <w:pPr>
        <w:pStyle w:val="afff0"/>
        <w:keepNext/>
        <w:widowControl/>
        <w:spacing w:after="100"/>
      </w:pPr>
      <w:r>
        <w:t xml:space="preserve">核心调节与资源差异</w:t>
      </w:r>
    </w:p>
    <w:p>
      <w:pPr>
        <w:widowControl/>
        <w:spacing w:after="100"/>
      </w:pPr>
      <w:r>
        <w:t xml:space="preserve">每种Z分别增加第三条增长轨迹。SD的Z轨迹采用自由形状，三种有符号差值采用日历线性；各分支的增长形式事先固定。每期X—Z和Y—Z测量残差关联与SW原有X—Y关联一并纳入，六个增长因子均条件于同一有效控制列。仅按常数或精确线性依赖移除子样本中的不可估计列，十份使用相同列集，不按P值删控制或残差关联。</w:t>
      </w:r>
    </w:p>
    <w:p>
      <w:pPr>
        <w:widowControl/>
        <w:spacing w:after="100"/>
      </w:pPr>
      <w:r>
        <w:t xml:space="preserve">三过程无交互D0与加入一个潜交互的D1分别评价。D1的抑郁变化方程为：SY＝α＋βIX·IX＋βSX·SX＋βIY·IY＋βIZ·IZ＋βSZ·SZ＋γᵀC＋δ(SX×IZ)＋u。核心参数为δ；模型中βSX是IZ＝0时的条件关联。该乘积中的X是变化因子SX，因此不能替代较高初始亲近度IX的缓冲检验；同一交叉导数的两种理论解释也不重复计为独立发现。父模型主路径不显著不禁止检验δ，D0不合法也不自动判定D1不成立；不使用不合法D0进行普通似然比检验。</w:t>
      </w:r>
    </w:p>
    <w:p>
      <w:pPr>
        <w:widowControl/>
        <w:spacing w:after="100"/>
      </w:pPr>
      <w:r>
        <w:t xml:space="preserve">潜变量乘积使用XWITH联合估计，在相应模型假设下处理测量和增长因子的估计不确定性。基础残差块和参数估计协方差须合法；乘积涉及的矩按非线性关系计算，不另给乘积虚构独立正态因子的方差。原计划要求首份插补通过积分精度和不同起点检查后，才使用同一设置继续其余成员。本阶段尚无潜交互家族完成这一验收链，不能把预定检查写成已经通过；已执行的起点或算法核查逐次保留。</w:t>
      </w:r>
    </w:p>
    <w:p>
      <w:pPr>
        <w:widowControl/>
        <w:spacing w:after="100"/>
      </w:pPr>
      <w:r>
        <w:t xml:space="preserve">原计划在潜交互分支未获可辩护估计时，转向同一基期样本的观测2012年Z₀路线。该路线保留两个SW增长过程，使增长因子及基期X/Y指标条件于Z₀；SD观测路线另已事前指定用于三项资源对比。这些是真实基期状态的另一估计对象，不是潜在IZ的无损替代。本阶段为结束长耗时估计并征求外部评议，四项观测路线及三项资源对比均延期，未实际拟合；其定义仅作为待执行设计保留。</w:t>
      </w:r>
    </w:p>
    <w:p>
      <w:pPr>
        <w:widowControl/>
        <w:spacing w:after="100"/>
      </w:pPr>
      <w:r>
        <w:t xml:space="preserve">本阶段计算以最后一个在途长子差起点核查的终态为止，保留原有单次六小时时限，随后不再追加模型。收口基于计算预算与当前可估计性，不依据P值；全部尝试、失败原因和未执行目标随阶段材料公开。这不表示原总计算预算已经耗尽，也不表示任何未完成假设被否定。</w:t>
      </w:r>
    </w:p>
    <w:p>
      <w:pPr>
        <w:widowControl/>
        <w:spacing w:after="100"/>
      </w:pPr>
      <w:r>
        <w:t xml:space="preserve">待执行的资源分组G取0/1，分别表示小学及以下／初中及以上、乡村／城市、无／有个人收入。H4模型设计包含SX×Z₀、SX×G和Z₀×G及相应主项，核心三阶系数记为δG。G＝0组调节为δ，G＝1组为δ＋δG，组间差异为δG。组别按每份MI的基期取值及固定派生规则定义；有个人收入不等于高收入。该设计仅覆盖原资源理论的三项操作化，本阶段未得到三阶参数的实际检验。</w:t>
      </w:r>
    </w:p>
    <w:p>
      <w:pPr>
        <w:pStyle w:val="afff0"/>
        <w:keepNext/>
        <w:widowControl/>
        <w:spacing w:after="100"/>
      </w:pPr>
      <w:r>
        <w:t xml:space="preserve">合并、比较与推断范围</w:t>
      </w:r>
    </w:p>
    <w:p>
      <w:pPr>
        <w:widowControl/>
        <w:spacing w:after="100"/>
      </w:pPr>
      <w:r>
        <w:t xml:space="preserve">同一规格的全部十份插补均通过模型与预定数值检查，才按同名参数及完整协方差进行Rubin合并。总方差为组内方差均值W加上(1＋1/10)倍组间方差B。采用完整数据自由度趋于无穷的大样本近似及MI的t参照；不平均P值，不删除失败成员。报告条件95%区间、FMI及MCSE/SE，后两者不代表纵向信息充分或总区间狭窄。</w:t>
      </w:r>
    </w:p>
    <w:p>
      <w:pPr>
        <w:widowControl/>
        <w:spacing w:after="100"/>
      </w:pPr>
      <w:r>
        <w:t xml:space="preserve">预定条件斜率b(z)＝βSX＋δz需先在每份MI计算，方差保留2z·Cov(βSX,δ)，再合并同一固定对比。z预定为−1、0、1；观测Z₀中超出实际范围的值须标为外推，潜在IZ则是模型分布下的参考值。四个潜交互和四个观测路线分别预定家族数4的Holm校正，三项H4组间差异预定家族数3。由于本阶段无合格交互MI家族，实际未产生相应合并条件斜率或校正P值，缺少的检验保留缺失。</w:t>
      </w:r>
    </w:p>
    <w:p>
      <w:pPr>
        <w:widowControl/>
        <w:spacing w:after="100"/>
      </w:pPr>
      <w:r>
        <w:t xml:space="preserve">H4预定比较资源0组、资源1组及差异共九个对比；若完成并通过采用检查，再给出Bonferroni同时95%区间。本阶段未计算这些区间。只有两组调节方向相同且差异方向支持幅度增加或减少时，才分别作相应方向的理论判断；一组显著而另一组不显著不能代替差异检验。没有实质等效界值，区间包含零不判为无效应。</w:t>
      </w:r>
    </w:p>
    <w:p>
      <w:pPr>
        <w:widowControl/>
        <w:spacing w:after="100"/>
      </w:pPr>
      <w:r>
        <w:t xml:space="preserve">所有结果条件于固定模型和现有插补假设。实际插补预测矩阵包含基期Z特征，但未纳入完整SX×IZ分布、全部后期Z及相应非线性结构，不能证明与三过程潜交互严格相容。非线性和交互模型下的相容性需要另外评价（Bartlett等，2015）；常见回归的相容插补程序不能直接视为本研究LMS的通用解。预定的SD完整协变量子样本仅作诊断，不能将样本选择与插补影响分离。新的相容插补、家庭重抽样、增长形状、量尺和窗口敏感性未在本轮完成；以下状态表保留这些范围限制。</w:t>
      </w:r>
    </w:p>
    <w:p>
      <w:pPr>
        <w:pStyle w:val="affe"/>
        <w:keepNext/>
        <w:widowControl/>
        <w:spacing w:after="100"/>
      </w:pPr>
      <w:r>
        <w:t xml:space="preserve">研究结果</w:t>
      </w:r>
    </w:p>
    <w:p>
      <w:pPr>
        <w:pStyle w:val="afff0"/>
        <w:keepNext/>
        <w:widowControl/>
        <w:spacing w:after="100"/>
      </w:pPr>
      <w:r>
        <w:t xml:space="preserve">主要父工作模型与轨迹关联</w:t>
      </w:r>
    </w:p>
    <w:p>
      <w:pPr>
        <w:widowControl/>
        <w:spacing w:after="100"/>
      </w:pPr>
      <w:r>
        <w:t xml:space="preserve">在同一3274人队列及十份分层插补数据上，先前未允许同波X—Y残差相关的无约束双过程模型均出现SY负条件残差，范围为−0.074688至−0.064252。这些解仅作诊断，未被合并为正式结果。随后预定比较了三个结构：SW保留SY自由残差并成组加入同波关联；C1将SY残差固定为零；XLIN只把X从自由形状改为日历线性，保持SY自由残差且不含同波关联。三者的Y均为日历线性。SW获得合法的联合变化分解，因此作为主要工作模型；C1为强约束敏感性，XLIN未通过采用条件。完整拟合与起点检查见附表A15、A16。</w:t>
      </w:r>
    </w:p>
    <w:p>
      <w:pPr>
        <w:pStyle w:val="af3"/>
        <w:keepNext/>
        <w:widowControl/>
        <w:spacing w:after="100"/>
      </w:pPr>
      <w:r>
        <w:t xml:space="preserve">表2 主要父模型与敏感性模型的采用情况</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650"/>
        <w:gridCol w:w="850"/>
        <w:gridCol w:w="1150"/>
        <w:gridCol w:w="1150"/>
        <w:gridCol w:w="1250"/>
        <w:gridCol w:w="2450"/>
        <w:gridCol w:w="1500"/>
      </w:tblGrid>
      <w:tr>
        <w:trPr>
          <w:cantSplit/>
          <w:tblHeader/>
        </w:trPr>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模型</w:t>
            </w:r>
          </w:p>
        </w:tc>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合法成员</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CFI范围</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TLI范围</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RMSEA范围</w:t>
            </w:r>
          </w:p>
        </w:tc>
        <w:tc>
          <w:tcPr>
            <w:tcW w:w="2450" w:type="dxa"/>
            <w:vAlign w:val="center"/>
            <w:shd w:val="clear" w:fill="E8EDF2"/>
          </w:tcPr>
          <w:p>
            <w:pPr>
              <w:keepNext/>
              <w:widowControl/>
              <w:spacing w:after="100"/>
              <w:ind w:firstLine="0" w:firstLineChars="0" w:left="0" w:right="0" w:leftChars="0" w:rightChars="0"/>
              <w:jc w:val="left"/>
            </w:pPr>
            <w:r>
              <w:rPr>
                <w:sz w:val="19"/>
                <w:szCs w:val="19"/>
              </w:rPr>
              <w:t xml:space="preserve">起点复核范围</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采用位置</w:t>
            </w:r>
          </w:p>
        </w:tc>
      </w:tr>
      <w:tr>
        <w:trPr>
          <w:cantSplit/>
        </w:trPr>
        <w:tc>
          <w:tcPr>
            <w:tcW w:w="650" w:type="dxa"/>
            <w:vAlign w:val="center"/>
          </w:tcPr>
          <w:p>
            <w:pPr>
              <w:keepNext/>
              <w:widowControl/>
              <w:spacing w:after="100"/>
              <w:ind w:firstLine="0" w:firstLineChars="0" w:left="0" w:right="0" w:leftChars="0" w:rightChars="0"/>
              <w:jc w:val="left"/>
            </w:pPr>
            <w:r>
              <w:rPr>
                <w:sz w:val="19"/>
                <w:szCs w:val="19"/>
              </w:rPr>
              <w:t xml:space="preserve">SW</w:t>
            </w:r>
          </w:p>
        </w:tc>
        <w:tc>
          <w:tcPr>
            <w:tcW w:w="850" w:type="dxa"/>
            <w:vAlign w:val="center"/>
          </w:tcPr>
          <w:p>
            <w:pPr>
              <w:keepNext/>
              <w:widowControl/>
              <w:spacing w:after="100"/>
              <w:ind w:firstLine="0" w:firstLineChars="0" w:left="0" w:right="0" w:leftChars="0" w:rightChars="0"/>
              <w:jc w:val="left"/>
            </w:pPr>
            <w:r>
              <w:rPr>
                <w:sz w:val="19"/>
                <w:szCs w:val="19"/>
              </w:rPr>
              <w:t xml:space="preserve">10/10</w:t>
            </w:r>
          </w:p>
        </w:tc>
        <w:tc>
          <w:tcPr>
            <w:tcW w:w="1150" w:type="dxa"/>
            <w:vAlign w:val="center"/>
          </w:tcPr>
          <w:p>
            <w:pPr>
              <w:keepNext/>
              <w:widowControl/>
              <w:spacing w:after="100"/>
              <w:ind w:firstLine="0" w:firstLineChars="0" w:left="0" w:right="0" w:leftChars="0" w:rightChars="0"/>
              <w:jc w:val="left"/>
            </w:pPr>
            <w:r>
              <w:rPr>
                <w:sz w:val="19"/>
                <w:szCs w:val="19"/>
              </w:rPr>
              <w:t xml:space="preserve">0.982–0.984</w:t>
            </w:r>
          </w:p>
        </w:tc>
        <w:tc>
          <w:tcPr>
            <w:tcW w:w="1150" w:type="dxa"/>
            <w:vAlign w:val="center"/>
          </w:tcPr>
          <w:p>
            <w:pPr>
              <w:keepNext/>
              <w:widowControl/>
              <w:spacing w:after="100"/>
              <w:ind w:firstLine="0" w:firstLineChars="0" w:left="0" w:right="0" w:leftChars="0" w:rightChars="0"/>
              <w:jc w:val="left"/>
            </w:pPr>
            <w:r>
              <w:rPr>
                <w:sz w:val="19"/>
                <w:szCs w:val="19"/>
              </w:rPr>
              <w:t xml:space="preserve">0.971–0.974</w:t>
            </w:r>
          </w:p>
        </w:tc>
        <w:tc>
          <w:tcPr>
            <w:tcW w:w="1250" w:type="dxa"/>
            <w:vAlign w:val="center"/>
          </w:tcPr>
          <w:p>
            <w:pPr>
              <w:keepNext/>
              <w:widowControl/>
              <w:spacing w:after="100"/>
              <w:ind w:firstLine="0" w:firstLineChars="0" w:left="0" w:right="0" w:leftChars="0" w:rightChars="0"/>
              <w:jc w:val="left"/>
            </w:pPr>
            <w:r>
              <w:rPr>
                <w:sz w:val="19"/>
                <w:szCs w:val="19"/>
              </w:rPr>
              <w:t xml:space="preserve">0.011–0.012</w:t>
            </w:r>
          </w:p>
        </w:tc>
        <w:tc>
          <w:tcPr>
            <w:tcW w:w="2450" w:type="dxa"/>
            <w:vAlign w:val="center"/>
          </w:tcPr>
          <w:p>
            <w:pPr>
              <w:keepNext/>
              <w:widowControl/>
              <w:spacing w:after="100"/>
              <w:ind w:firstLine="0" w:firstLineChars="0" w:left="0" w:right="0" w:leftChars="0" w:rightChars="0"/>
              <w:jc w:val="left"/>
            </w:pPr>
            <w:r>
              <w:rPr>
                <w:sz w:val="19"/>
                <w:szCs w:val="19"/>
              </w:rPr>
              <w:t xml:space="preserve">MI01稳定</w:t>
            </w:r>
          </w:p>
        </w:tc>
        <w:tc>
          <w:tcPr>
            <w:tcW w:w="1500" w:type="dxa"/>
            <w:vAlign w:val="center"/>
          </w:tcPr>
          <w:p>
            <w:pPr>
              <w:keepNext/>
              <w:widowControl/>
              <w:spacing w:after="100"/>
              <w:ind w:firstLine="0" w:firstLineChars="0" w:left="0" w:right="0" w:leftChars="0" w:rightChars="0"/>
              <w:jc w:val="left"/>
            </w:pPr>
            <w:r>
              <w:rPr>
                <w:sz w:val="19"/>
                <w:szCs w:val="19"/>
              </w:rPr>
              <w:t xml:space="preserve">主要工作模型</w:t>
            </w:r>
          </w:p>
        </w:tc>
      </w:tr>
      <w:tr>
        <w:trPr>
          <w:cantSplit/>
        </w:trPr>
        <w:tc>
          <w:tcPr>
            <w:tcW w:w="650" w:type="dxa"/>
            <w:vAlign w:val="center"/>
          </w:tcPr>
          <w:p>
            <w:pPr>
              <w:keepNext/>
              <w:widowControl/>
              <w:spacing w:after="100"/>
              <w:ind w:firstLine="0" w:firstLineChars="0" w:left="0" w:right="0" w:leftChars="0" w:rightChars="0"/>
              <w:jc w:val="left"/>
            </w:pPr>
            <w:r>
              <w:rPr>
                <w:sz w:val="19"/>
                <w:szCs w:val="19"/>
              </w:rPr>
              <w:t xml:space="preserve">C1</w:t>
            </w:r>
          </w:p>
        </w:tc>
        <w:tc>
          <w:tcPr>
            <w:tcW w:w="850" w:type="dxa"/>
            <w:vAlign w:val="center"/>
          </w:tcPr>
          <w:p>
            <w:pPr>
              <w:keepNext/>
              <w:widowControl/>
              <w:spacing w:after="100"/>
              <w:ind w:firstLine="0" w:firstLineChars="0" w:left="0" w:right="0" w:leftChars="0" w:rightChars="0"/>
              <w:jc w:val="left"/>
            </w:pPr>
            <w:r>
              <w:rPr>
                <w:sz w:val="19"/>
                <w:szCs w:val="19"/>
              </w:rPr>
              <w:t xml:space="preserve">10/10</w:t>
            </w:r>
          </w:p>
        </w:tc>
        <w:tc>
          <w:tcPr>
            <w:tcW w:w="1150" w:type="dxa"/>
            <w:vAlign w:val="center"/>
          </w:tcPr>
          <w:p>
            <w:pPr>
              <w:keepNext/>
              <w:widowControl/>
              <w:spacing w:after="100"/>
              <w:ind w:firstLine="0" w:firstLineChars="0" w:left="0" w:right="0" w:leftChars="0" w:rightChars="0"/>
              <w:jc w:val="left"/>
            </w:pPr>
            <w:r>
              <w:rPr>
                <w:sz w:val="19"/>
                <w:szCs w:val="19"/>
              </w:rPr>
              <w:t xml:space="preserve">0.976–0.978</w:t>
            </w:r>
          </w:p>
        </w:tc>
        <w:tc>
          <w:tcPr>
            <w:tcW w:w="1150" w:type="dxa"/>
            <w:vAlign w:val="center"/>
          </w:tcPr>
          <w:p>
            <w:pPr>
              <w:keepNext/>
              <w:widowControl/>
              <w:spacing w:after="100"/>
              <w:ind w:firstLine="0" w:firstLineChars="0" w:left="0" w:right="0" w:leftChars="0" w:rightChars="0"/>
              <w:jc w:val="left"/>
            </w:pPr>
            <w:r>
              <w:rPr>
                <w:sz w:val="19"/>
                <w:szCs w:val="19"/>
              </w:rPr>
              <w:t xml:space="preserve">0.963–0.965</w:t>
            </w:r>
          </w:p>
        </w:tc>
        <w:tc>
          <w:tcPr>
            <w:tcW w:w="1250" w:type="dxa"/>
            <w:vAlign w:val="center"/>
          </w:tcPr>
          <w:p>
            <w:pPr>
              <w:keepNext/>
              <w:widowControl/>
              <w:spacing w:after="100"/>
              <w:ind w:firstLine="0" w:firstLineChars="0" w:left="0" w:right="0" w:leftChars="0" w:rightChars="0"/>
              <w:jc w:val="left"/>
            </w:pPr>
            <w:r>
              <w:rPr>
                <w:sz w:val="19"/>
                <w:szCs w:val="19"/>
              </w:rPr>
              <w:t xml:space="preserve">0.013–0.013</w:t>
            </w:r>
          </w:p>
        </w:tc>
        <w:tc>
          <w:tcPr>
            <w:tcW w:w="2450" w:type="dxa"/>
            <w:vAlign w:val="center"/>
          </w:tcPr>
          <w:p>
            <w:pPr>
              <w:keepNext/>
              <w:widowControl/>
              <w:spacing w:after="100"/>
              <w:ind w:firstLine="0" w:firstLineChars="0" w:left="0" w:right="0" w:leftChars="0" w:rightChars="0"/>
              <w:jc w:val="left"/>
            </w:pPr>
            <w:r>
              <w:rPr>
                <w:sz w:val="19"/>
                <w:szCs w:val="19"/>
              </w:rPr>
              <w:t xml:space="preserve">MI01稳定</w:t>
            </w:r>
          </w:p>
        </w:tc>
        <w:tc>
          <w:tcPr>
            <w:tcW w:w="1500" w:type="dxa"/>
            <w:vAlign w:val="center"/>
          </w:tcPr>
          <w:p>
            <w:pPr>
              <w:keepNext/>
              <w:widowControl/>
              <w:spacing w:after="100"/>
              <w:ind w:firstLine="0" w:firstLineChars="0" w:left="0" w:right="0" w:leftChars="0" w:rightChars="0"/>
              <w:jc w:val="left"/>
            </w:pPr>
            <w:r>
              <w:rPr>
                <w:sz w:val="19"/>
                <w:szCs w:val="19"/>
              </w:rPr>
              <w:t xml:space="preserve">强约束敏感性</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XLIN</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150" w:type="dxa"/>
            <w:vAlign w:val="center"/>
          </w:tcPr>
          <w:p>
            <w:pPr>
              <w:widowControl/>
              <w:spacing w:after="100"/>
              <w:ind w:firstLine="0" w:firstLineChars="0" w:left="0" w:right="0" w:leftChars="0" w:rightChars="0"/>
              <w:jc w:val="left"/>
            </w:pPr>
            <w:r>
              <w:rPr>
                <w:sz w:val="19"/>
                <w:szCs w:val="19"/>
              </w:rPr>
              <w:t xml:space="preserve">0.970–0.972</w:t>
            </w:r>
          </w:p>
        </w:tc>
        <w:tc>
          <w:tcPr>
            <w:tcW w:w="1150" w:type="dxa"/>
            <w:vAlign w:val="center"/>
          </w:tcPr>
          <w:p>
            <w:pPr>
              <w:widowControl/>
              <w:spacing w:after="100"/>
              <w:ind w:firstLine="0" w:firstLineChars="0" w:left="0" w:right="0" w:leftChars="0" w:rightChars="0"/>
              <w:jc w:val="left"/>
            </w:pPr>
            <w:r>
              <w:rPr>
                <w:sz w:val="19"/>
                <w:szCs w:val="19"/>
              </w:rPr>
              <w:t xml:space="preserve">0.954–0.957</w:t>
            </w:r>
          </w:p>
        </w:tc>
        <w:tc>
          <w:tcPr>
            <w:tcW w:w="1250" w:type="dxa"/>
            <w:vAlign w:val="center"/>
          </w:tcPr>
          <w:p>
            <w:pPr>
              <w:widowControl/>
              <w:spacing w:after="100"/>
              <w:ind w:firstLine="0" w:firstLineChars="0" w:left="0" w:right="0" w:leftChars="0" w:rightChars="0"/>
              <w:jc w:val="left"/>
            </w:pPr>
            <w:r>
              <w:rPr>
                <w:sz w:val="19"/>
                <w:szCs w:val="19"/>
              </w:rPr>
              <w:t xml:space="preserve">0.015–0.015</w:t>
            </w:r>
          </w:p>
        </w:tc>
        <w:tc>
          <w:tcPr>
            <w:tcW w:w="2450" w:type="dxa"/>
            <w:vAlign w:val="center"/>
          </w:tcPr>
          <w:p>
            <w:pPr>
              <w:widowControl/>
              <w:spacing w:after="100"/>
              <w:ind w:firstLine="0" w:firstLineChars="0" w:left="0" w:right="0" w:leftChars="0" w:rightChars="0"/>
              <w:jc w:val="left"/>
            </w:pPr>
            <w:r>
              <w:rPr>
                <w:sz w:val="19"/>
                <w:szCs w:val="19"/>
              </w:rPr>
              <w:t xml:space="preserve">未执行：MI01不合法</w:t>
            </w:r>
          </w:p>
        </w:tc>
        <w:tc>
          <w:tcPr>
            <w:tcW w:w="1500" w:type="dxa"/>
            <w:vAlign w:val="center"/>
          </w:tcPr>
          <w:p>
            <w:pPr>
              <w:widowControl/>
              <w:spacing w:after="100"/>
              <w:ind w:firstLine="0" w:firstLineChars="0" w:left="0" w:right="0" w:leftChars="0" w:rightChars="0"/>
              <w:jc w:val="left"/>
            </w:pPr>
            <w:r>
              <w:rPr>
                <w:sz w:val="19"/>
                <w:szCs w:val="19"/>
              </w:rPr>
              <w:t xml:space="preserve">未采用</w:t>
            </w:r>
          </w:p>
        </w:tc>
      </w:tr>
    </w:tbl>
    <w:p>
      <w:pPr>
        <w:widowControl/>
        <w:spacing w:after="100"/>
      </w:pPr>
      <w:r>
        <w:rPr>
          <w:sz w:val="18"/>
          <w:szCs w:val="18"/>
        </w:rPr>
        <w:t xml:space="preserve">注：表内拟合范围是十份成员的描述，不是合并拟合统计量。SW与C1的新增起点复核各仅涉及MI01；XLIN未追加起点核查。采用不依据关系P值。</w:t>
      </w:r>
    </w:p>
    <w:p>
      <w:pPr>
        <w:pStyle w:val="af3"/>
        <w:keepNext/>
        <w:widowControl/>
        <w:spacing w:after="100"/>
      </w:pPr>
      <w:r>
        <w:t xml:space="preserve">表3 SW主要父模型的条件MI关系</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200"/>
        <w:gridCol w:w="1100"/>
        <w:gridCol w:w="1100"/>
        <w:gridCol w:w="2600"/>
        <w:gridCol w:w="1000"/>
      </w:tblGrid>
      <w:tr>
        <w:trPr>
          <w:cantSplit/>
          <w:tblHeader/>
        </w:trPr>
        <w:tc>
          <w:tcPr>
            <w:tcW w:w="32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估计</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26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P</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亲近度基期→抑郁基期</w:t>
            </w:r>
          </w:p>
        </w:tc>
        <w:tc>
          <w:tcPr>
            <w:tcW w:w="1100" w:type="dxa"/>
            <w:vAlign w:val="center"/>
            <w:noWrap/>
          </w:tcPr>
          <w:p>
            <w:pPr>
              <w:keepNext/>
              <w:widowControl/>
              <w:spacing w:after="100"/>
              <w:ind w:firstLine="0" w:firstLineChars="0" w:left="0" w:right="0" w:leftChars="0" w:rightChars="0"/>
              <w:jc w:val="left"/>
            </w:pPr>
            <w:r>
              <w:rPr>
                <w:sz w:val="19"/>
                <w:szCs w:val="19"/>
              </w:rPr>
              <w:t xml:space="preserve">−0.350</w:t>
            </w:r>
          </w:p>
        </w:tc>
        <w:tc>
          <w:tcPr>
            <w:tcW w:w="1100" w:type="dxa"/>
            <w:vAlign w:val="center"/>
            <w:noWrap/>
          </w:tcPr>
          <w:p>
            <w:pPr>
              <w:keepNext/>
              <w:widowControl/>
              <w:spacing w:after="100"/>
              <w:ind w:firstLine="0" w:firstLineChars="0" w:left="0" w:right="0" w:leftChars="0" w:rightChars="0"/>
              <w:jc w:val="left"/>
            </w:pPr>
            <w:r>
              <w:rPr>
                <w:sz w:val="19"/>
                <w:szCs w:val="19"/>
              </w:rPr>
              <w:t xml:space="preserve">0.147</w:t>
            </w:r>
          </w:p>
        </w:tc>
        <w:tc>
          <w:tcPr>
            <w:tcW w:w="2600" w:type="dxa"/>
            <w:vAlign w:val="center"/>
            <w:noWrap/>
          </w:tcPr>
          <w:p>
            <w:pPr>
              <w:keepNext/>
              <w:widowControl/>
              <w:spacing w:after="100"/>
              <w:ind w:firstLine="0" w:firstLineChars="0" w:left="0" w:right="0" w:leftChars="0" w:rightChars="0"/>
              <w:jc w:val="left"/>
            </w:pPr>
            <w:r>
              <w:rPr>
                <w:sz w:val="19"/>
                <w:szCs w:val="19"/>
              </w:rPr>
              <w:t xml:space="preserve">[−0.639, −0.061]</w:t>
            </w:r>
          </w:p>
        </w:tc>
        <w:tc>
          <w:tcPr>
            <w:tcW w:w="1000" w:type="dxa"/>
            <w:vAlign w:val="center"/>
            <w:noWrap/>
          </w:tcPr>
          <w:p>
            <w:pPr>
              <w:keepNext/>
              <w:widowControl/>
              <w:spacing w:after="100"/>
              <w:ind w:firstLine="0" w:firstLineChars="0" w:left="0" w:right="0" w:leftChars="0" w:rightChars="0"/>
              <w:jc w:val="left"/>
            </w:pPr>
            <w:r>
              <w:rPr>
                <w:sz w:val="19"/>
                <w:szCs w:val="19"/>
              </w:rPr>
              <w:t xml:space="preserve">.017</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亲近度基期→抑郁变化</w:t>
            </w:r>
          </w:p>
        </w:tc>
        <w:tc>
          <w:tcPr>
            <w:tcW w:w="1100" w:type="dxa"/>
            <w:vAlign w:val="center"/>
            <w:noWrap/>
          </w:tcPr>
          <w:p>
            <w:pPr>
              <w:keepNext/>
              <w:widowControl/>
              <w:spacing w:after="100"/>
              <w:ind w:firstLine="0" w:firstLineChars="0" w:left="0" w:right="0" w:leftChars="0" w:rightChars="0"/>
              <w:jc w:val="left"/>
            </w:pPr>
            <w:r>
              <w:rPr>
                <w:sz w:val="19"/>
                <w:szCs w:val="19"/>
              </w:rPr>
              <w:t xml:space="preserve">0.101</w:t>
            </w:r>
          </w:p>
        </w:tc>
        <w:tc>
          <w:tcPr>
            <w:tcW w:w="1100" w:type="dxa"/>
            <w:vAlign w:val="center"/>
            <w:noWrap/>
          </w:tcPr>
          <w:p>
            <w:pPr>
              <w:keepNext/>
              <w:widowControl/>
              <w:spacing w:after="100"/>
              <w:ind w:firstLine="0" w:firstLineChars="0" w:left="0" w:right="0" w:leftChars="0" w:rightChars="0"/>
              <w:jc w:val="left"/>
            </w:pPr>
            <w:r>
              <w:rPr>
                <w:sz w:val="19"/>
                <w:szCs w:val="19"/>
              </w:rPr>
              <w:t xml:space="preserve">0.267</w:t>
            </w:r>
          </w:p>
        </w:tc>
        <w:tc>
          <w:tcPr>
            <w:tcW w:w="2600" w:type="dxa"/>
            <w:vAlign w:val="center"/>
            <w:noWrap/>
          </w:tcPr>
          <w:p>
            <w:pPr>
              <w:keepNext/>
              <w:widowControl/>
              <w:spacing w:after="100"/>
              <w:ind w:firstLine="0" w:firstLineChars="0" w:left="0" w:right="0" w:leftChars="0" w:rightChars="0"/>
              <w:jc w:val="left"/>
            </w:pPr>
            <w:r>
              <w:rPr>
                <w:sz w:val="19"/>
                <w:szCs w:val="19"/>
              </w:rPr>
              <w:t xml:space="preserve">[−0.423, 0.625]</w:t>
            </w:r>
          </w:p>
        </w:tc>
        <w:tc>
          <w:tcPr>
            <w:tcW w:w="1000" w:type="dxa"/>
            <w:vAlign w:val="center"/>
            <w:noWrap/>
          </w:tcPr>
          <w:p>
            <w:pPr>
              <w:keepNext/>
              <w:widowControl/>
              <w:spacing w:after="100"/>
              <w:ind w:firstLine="0" w:firstLineChars="0" w:left="0" w:right="0" w:leftChars="0" w:rightChars="0"/>
              <w:jc w:val="left"/>
            </w:pPr>
            <w:r>
              <w:rPr>
                <w:sz w:val="19"/>
                <w:szCs w:val="19"/>
              </w:rPr>
              <w:t xml:space="preserve">.706</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亲近度变化→抑郁变化</w:t>
            </w:r>
          </w:p>
        </w:tc>
        <w:tc>
          <w:tcPr>
            <w:tcW w:w="1100" w:type="dxa"/>
            <w:vAlign w:val="center"/>
            <w:noWrap/>
          </w:tcPr>
          <w:p>
            <w:pPr>
              <w:keepNext/>
              <w:widowControl/>
              <w:spacing w:after="100"/>
              <w:ind w:firstLine="0" w:firstLineChars="0" w:left="0" w:right="0" w:leftChars="0" w:rightChars="0"/>
              <w:jc w:val="left"/>
            </w:pPr>
            <w:r>
              <w:rPr>
                <w:sz w:val="19"/>
                <w:szCs w:val="19"/>
              </w:rPr>
              <w:t xml:space="preserve">−0.246</w:t>
            </w:r>
          </w:p>
        </w:tc>
        <w:tc>
          <w:tcPr>
            <w:tcW w:w="1100" w:type="dxa"/>
            <w:vAlign w:val="center"/>
            <w:noWrap/>
          </w:tcPr>
          <w:p>
            <w:pPr>
              <w:keepNext/>
              <w:widowControl/>
              <w:spacing w:after="100"/>
              <w:ind w:firstLine="0" w:firstLineChars="0" w:left="0" w:right="0" w:leftChars="0" w:rightChars="0"/>
              <w:jc w:val="left"/>
            </w:pPr>
            <w:r>
              <w:rPr>
                <w:sz w:val="19"/>
                <w:szCs w:val="19"/>
              </w:rPr>
              <w:t xml:space="preserve">0.610</w:t>
            </w:r>
          </w:p>
        </w:tc>
        <w:tc>
          <w:tcPr>
            <w:tcW w:w="2600" w:type="dxa"/>
            <w:vAlign w:val="center"/>
            <w:noWrap/>
          </w:tcPr>
          <w:p>
            <w:pPr>
              <w:keepNext/>
              <w:widowControl/>
              <w:spacing w:after="100"/>
              <w:ind w:firstLine="0" w:firstLineChars="0" w:left="0" w:right="0" w:leftChars="0" w:rightChars="0"/>
              <w:jc w:val="left"/>
            </w:pPr>
            <w:r>
              <w:rPr>
                <w:sz w:val="19"/>
                <w:szCs w:val="19"/>
              </w:rPr>
              <w:t xml:space="preserve">[−1.442, 0.949]</w:t>
            </w:r>
          </w:p>
        </w:tc>
        <w:tc>
          <w:tcPr>
            <w:tcW w:w="1000" w:type="dxa"/>
            <w:vAlign w:val="center"/>
            <w:noWrap/>
          </w:tcPr>
          <w:p>
            <w:pPr>
              <w:keepNext/>
              <w:widowControl/>
              <w:spacing w:after="100"/>
              <w:ind w:firstLine="0" w:firstLineChars="0" w:left="0" w:right="0" w:leftChars="0" w:rightChars="0"/>
              <w:jc w:val="left"/>
            </w:pPr>
            <w:r>
              <w:rPr>
                <w:sz w:val="19"/>
                <w:szCs w:val="19"/>
              </w:rPr>
              <w:t xml:space="preserve">.686</w:t>
            </w:r>
          </w:p>
        </w:tc>
      </w:tr>
      <w:tr>
        <w:trPr>
          <w:cantSplit/>
        </w:trPr>
        <w:tc>
          <w:tcPr>
            <w:tcW w:w="3200" w:type="dxa"/>
            <w:vAlign w:val="center"/>
          </w:tcPr>
          <w:p>
            <w:pPr>
              <w:widowControl/>
              <w:spacing w:after="100"/>
              <w:ind w:firstLine="0" w:firstLineChars="0" w:left="0" w:right="0" w:leftChars="0" w:rightChars="0"/>
              <w:jc w:val="left"/>
            </w:pPr>
            <w:r>
              <w:rPr>
                <w:sz w:val="19"/>
                <w:szCs w:val="19"/>
              </w:rPr>
              <w:t xml:space="preserve">抑郁基期→抑郁变化</w:t>
            </w:r>
          </w:p>
        </w:tc>
        <w:tc>
          <w:tcPr>
            <w:tcW w:w="1100" w:type="dxa"/>
            <w:vAlign w:val="center"/>
            <w:noWrap/>
          </w:tcPr>
          <w:p>
            <w:pPr>
              <w:widowControl/>
              <w:spacing w:after="100"/>
              <w:ind w:firstLine="0" w:firstLineChars="0" w:left="0" w:right="0" w:leftChars="0" w:rightChars="0"/>
              <w:jc w:val="left"/>
            </w:pPr>
            <w:r>
              <w:rPr>
                <w:sz w:val="19"/>
                <w:szCs w:val="19"/>
              </w:rPr>
              <w:t xml:space="preserve">0.425</w:t>
            </w:r>
          </w:p>
        </w:tc>
        <w:tc>
          <w:tcPr>
            <w:tcW w:w="1100" w:type="dxa"/>
            <w:vAlign w:val="center"/>
            <w:noWrap/>
          </w:tcPr>
          <w:p>
            <w:pPr>
              <w:widowControl/>
              <w:spacing w:after="100"/>
              <w:ind w:firstLine="0" w:firstLineChars="0" w:left="0" w:right="0" w:leftChars="0" w:rightChars="0"/>
              <w:jc w:val="left"/>
            </w:pPr>
            <w:r>
              <w:rPr>
                <w:sz w:val="19"/>
                <w:szCs w:val="19"/>
              </w:rPr>
              <w:t xml:space="preserve">0.300</w:t>
            </w:r>
          </w:p>
        </w:tc>
        <w:tc>
          <w:tcPr>
            <w:tcW w:w="2600" w:type="dxa"/>
            <w:vAlign w:val="center"/>
            <w:noWrap/>
          </w:tcPr>
          <w:p>
            <w:pPr>
              <w:widowControl/>
              <w:spacing w:after="100"/>
              <w:ind w:firstLine="0" w:firstLineChars="0" w:left="0" w:right="0" w:leftChars="0" w:rightChars="0"/>
              <w:jc w:val="left"/>
            </w:pPr>
            <w:r>
              <w:rPr>
                <w:sz w:val="19"/>
                <w:szCs w:val="19"/>
              </w:rPr>
              <w:t xml:space="preserve">[−0.163, 1.013]</w:t>
            </w:r>
          </w:p>
        </w:tc>
        <w:tc>
          <w:tcPr>
            <w:tcW w:w="1000" w:type="dxa"/>
            <w:vAlign w:val="center"/>
            <w:noWrap/>
          </w:tcPr>
          <w:p>
            <w:pPr>
              <w:widowControl/>
              <w:spacing w:after="100"/>
              <w:ind w:firstLine="0" w:firstLineChars="0" w:left="0" w:right="0" w:leftChars="0" w:rightChars="0"/>
              <w:jc w:val="left"/>
            </w:pPr>
            <w:r>
              <w:rPr>
                <w:sz w:val="19"/>
                <w:szCs w:val="19"/>
              </w:rPr>
              <w:t xml:space="preserve">.156</w:t>
            </w:r>
          </w:p>
        </w:tc>
      </w:tr>
    </w:tbl>
    <w:p>
      <w:pPr>
        <w:widowControl/>
        <w:spacing w:after="100"/>
      </w:pPr>
      <w:r>
        <w:t xml:space="preserve">在SW工作模型下，较高的亲近度基期水平与较低的抑郁基期水平相关。亲近度变化与抑郁变化的点估计为−0.246，95%区间为[−1.442, 0.949]，其范围同时包含负向和正向关联。因此，当前结果不能确定这种变化关联的方向和幅度，也不能据此断言关系改善没有作用。</w:t>
      </w:r>
    </w:p>
    <w:p>
      <w:pPr>
        <w:widowControl/>
        <w:spacing w:after="100"/>
      </w:pPr>
      <w:r>
        <w:t xml:space="preserve">X的中间自由载荷及五期同波剩余关联见附表A6。它们体现模型如何将短期同波偏离与长期变化关联分开，而非某个单独心理机制的验证。SY条件残差虽为正，但其估计仍不精确；潜变量几何合法与精度充分是不同问题。</w:t>
      </w:r>
    </w:p>
    <w:p>
      <w:pPr>
        <w:widowControl/>
        <w:spacing w:after="100"/>
      </w:pPr>
      <w:r>
        <w:t xml:space="preserve">先前单变量自由形状诊断中的变化均值0.037，属于原始CES-D尺度及0/10端点锚定；将同一模型改为0/1锚定时为0.370，标准误相应变换而P值不变。它不等于当前标准化SW的均值，也不代表恒定年下降。此前基于错误计分的显著下降结论已撤回。</w:t>
      </w:r>
    </w:p>
    <w:p>
      <w:pPr>
        <w:widowControl/>
        <w:spacing w:after="100"/>
      </w:pPr>
      <w:r>
        <w:t xml:space="preserve">同样本家庭聚类单变量诊断中，线性模型的变化均值为原始CES-D每年0.054分（SE＝0.012），而自由形状与线性的校正差异统计量为8.452（df＝3，P＝.038）；AIC较支持自由形状，BIC则较支持线性。该比较提示增长形状的不确定性。当前SW把Y设为日历线性属于工作近似，不能宣称是唯一得到支持的形状；对应旧诊断及尺度换算见附表A18，SW自身的Y形状敏感性仍未完成。</w:t>
      </w:r>
    </w:p>
    <w:p>
      <w:pPr>
        <w:pStyle w:val="afff0"/>
        <w:keepNext/>
        <w:widowControl/>
        <w:spacing w:after="100"/>
      </w:pPr>
      <w:r>
        <w:t xml:space="preserve">四项家内差异调节</w:t>
      </w:r>
    </w:p>
    <w:p>
      <w:pPr>
        <w:widowControl/>
        <w:spacing w:after="100"/>
      </w:pPr>
      <w:r>
        <w:t xml:space="preserve">潜在初始差异调节未取得可合并估计。观测基期差异调节按阶段计划延期，尚未执行。三项SD资源差异尚未执行，H4.2b未完成正式统计检验。</w:t>
      </w:r>
    </w:p>
    <w:p>
      <w:pPr>
        <w:pStyle w:val="af3"/>
        <w:keepNext/>
        <w:widowControl/>
        <w:spacing w:after="100"/>
      </w:pPr>
      <w:r>
        <w:t xml:space="preserve">表4 四项潜在基期家内差异的核心交互</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50"/>
        <w:gridCol w:w="650"/>
        <w:gridCol w:w="1550"/>
        <w:gridCol w:w="2100"/>
        <w:gridCol w:w="1150"/>
        <w:gridCol w:w="2700"/>
      </w:tblGrid>
      <w:tr>
        <w:trPr>
          <w:cantSplit/>
          <w:tblHeader/>
        </w:trPr>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差异Z</w:t>
            </w:r>
          </w:p>
        </w:tc>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基期N</w:t>
            </w:r>
          </w:p>
        </w:tc>
        <w:tc>
          <w:tcPr>
            <w:tcW w:w="155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21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P / Holm P</w:t>
            </w:r>
          </w:p>
        </w:tc>
        <w:tc>
          <w:tcPr>
            <w:tcW w:w="2700" w:type="dxa"/>
            <w:vAlign w:val="center"/>
            <w:shd w:val="clear" w:fill="E8EDF2"/>
          </w:tcPr>
          <w:p>
            <w:pPr>
              <w:keepNext/>
              <w:widowControl/>
              <w:spacing w:after="100"/>
              <w:ind w:firstLine="0" w:firstLineChars="0" w:left="0" w:right="0" w:leftChars="0" w:rightChars="0"/>
              <w:jc w:val="left"/>
            </w:pPr>
            <w:r>
              <w:rPr>
                <w:sz w:val="19"/>
                <w:szCs w:val="19"/>
              </w:rPr>
              <w:t xml:space="preserve">当前状态</w:t>
            </w:r>
          </w:p>
        </w:tc>
      </w:tr>
      <w:tr>
        <w:trPr>
          <w:cantSplit/>
        </w:trPr>
        <w:tc>
          <w:tcPr>
            <w:tcW w:w="850" w:type="dxa"/>
            <w:vAlign w:val="center"/>
          </w:tcPr>
          <w:p>
            <w:pPr>
              <w:keepNext/>
              <w:widowControl/>
              <w:spacing w:after="100"/>
              <w:ind w:firstLine="0" w:firstLineChars="0" w:left="0" w:right="0" w:leftChars="0" w:rightChars="0"/>
              <w:jc w:val="left"/>
            </w:pPr>
            <w:r>
              <w:rPr>
                <w:sz w:val="19"/>
                <w:szCs w:val="19"/>
              </w:rPr>
              <w:t xml:space="preserve">标准差</w:t>
            </w:r>
          </w:p>
        </w:tc>
        <w:tc>
          <w:tcPr>
            <w:tcW w:w="650" w:type="dxa"/>
            <w:vAlign w:val="center"/>
            <w:noWrap/>
          </w:tcPr>
          <w:p>
            <w:pPr>
              <w:keepNext/>
              <w:widowControl/>
              <w:spacing w:after="100"/>
              <w:ind w:firstLine="0" w:firstLineChars="0" w:left="0" w:right="0" w:leftChars="0" w:rightChars="0"/>
              <w:jc w:val="left"/>
            </w:pPr>
            <w:r>
              <w:rPr>
                <w:sz w:val="19"/>
                <w:szCs w:val="19"/>
              </w:rPr>
              <w:t xml:space="preserve">3274</w:t>
            </w:r>
          </w:p>
        </w:tc>
        <w:tc>
          <w:tcPr>
            <w:tcW w:w="15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1150" w:type="dxa"/>
            <w:vAlign w:val="center"/>
          </w:tcPr>
          <w:p>
            <w:pPr>
              <w:keepNext/>
              <w:widowControl/>
              <w:spacing w:after="100"/>
              <w:ind w:firstLine="0" w:firstLineChars="0" w:left="0" w:right="0" w:leftChars="0" w:rightChars="0"/>
              <w:jc w:val="left"/>
            </w:pPr>
            <w:r>
              <w:rPr>
                <w:sz w:val="19"/>
                <w:szCs w:val="19"/>
              </w:rPr>
              <w:t xml:space="preserve">—</w:t>
            </w:r>
          </w:p>
        </w:tc>
        <w:tc>
          <w:tcPr>
            <w:tcW w:w="2700" w:type="dxa"/>
            <w:vAlign w:val="center"/>
          </w:tcPr>
          <w:p>
            <w:pPr>
              <w:keepNext/>
              <w:widowControl/>
              <w:spacing w:after="100"/>
              <w:ind w:firstLine="0" w:firstLineChars="0" w:left="0" w:right="0" w:leftChars="0" w:rightChars="0"/>
              <w:jc w:val="left"/>
            </w:pPr>
            <w:r>
              <w:rPr>
                <w:sz w:val="19"/>
                <w:szCs w:val="19"/>
              </w:rPr>
              <w:t xml:space="preserve">未形成完整、可采用的MI估计</w:t>
            </w:r>
          </w:p>
        </w:tc>
      </w:tr>
      <w:tr>
        <w:trPr>
          <w:cantSplit/>
        </w:trPr>
        <w:tc>
          <w:tcPr>
            <w:tcW w:w="850" w:type="dxa"/>
            <w:vAlign w:val="center"/>
          </w:tcPr>
          <w:p>
            <w:pPr>
              <w:keepNext/>
              <w:widowControl/>
              <w:spacing w:after="100"/>
              <w:ind w:firstLine="0" w:firstLineChars="0" w:left="0" w:right="0" w:leftChars="0" w:rightChars="0"/>
              <w:jc w:val="left"/>
            </w:pPr>
            <w:r>
              <w:rPr>
                <w:sz w:val="19"/>
                <w:szCs w:val="19"/>
              </w:rPr>
              <w:t xml:space="preserve">性别差</w:t>
            </w:r>
          </w:p>
        </w:tc>
        <w:tc>
          <w:tcPr>
            <w:tcW w:w="650" w:type="dxa"/>
            <w:vAlign w:val="center"/>
            <w:noWrap/>
          </w:tcPr>
          <w:p>
            <w:pPr>
              <w:keepNext/>
              <w:widowControl/>
              <w:spacing w:after="100"/>
              <w:ind w:firstLine="0" w:firstLineChars="0" w:left="0" w:right="0" w:leftChars="0" w:rightChars="0"/>
              <w:jc w:val="left"/>
            </w:pPr>
            <w:r>
              <w:rPr>
                <w:sz w:val="19"/>
                <w:szCs w:val="19"/>
              </w:rPr>
              <w:t xml:space="preserve">2339</w:t>
            </w:r>
          </w:p>
        </w:tc>
        <w:tc>
          <w:tcPr>
            <w:tcW w:w="15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1150" w:type="dxa"/>
            <w:vAlign w:val="center"/>
          </w:tcPr>
          <w:p>
            <w:pPr>
              <w:keepNext/>
              <w:widowControl/>
              <w:spacing w:after="100"/>
              <w:ind w:firstLine="0" w:firstLineChars="0" w:left="0" w:right="0" w:leftChars="0" w:rightChars="0"/>
              <w:jc w:val="left"/>
            </w:pPr>
            <w:r>
              <w:rPr>
                <w:sz w:val="19"/>
                <w:szCs w:val="19"/>
              </w:rPr>
              <w:t xml:space="preserve">—</w:t>
            </w:r>
          </w:p>
        </w:tc>
        <w:tc>
          <w:tcPr>
            <w:tcW w:w="2700" w:type="dxa"/>
            <w:vAlign w:val="center"/>
          </w:tcPr>
          <w:p>
            <w:pPr>
              <w:keepNext/>
              <w:widowControl/>
              <w:spacing w:after="100"/>
              <w:ind w:firstLine="0" w:firstLineChars="0" w:left="0" w:right="0" w:leftChars="0" w:rightChars="0"/>
              <w:jc w:val="left"/>
            </w:pPr>
            <w:r>
              <w:rPr>
                <w:sz w:val="19"/>
                <w:szCs w:val="19"/>
              </w:rPr>
              <w:t xml:space="preserve">未形成完整、可采用的MI估计</w:t>
            </w:r>
          </w:p>
        </w:tc>
      </w:tr>
      <w:tr>
        <w:trPr>
          <w:cantSplit/>
        </w:trPr>
        <w:tc>
          <w:tcPr>
            <w:tcW w:w="850" w:type="dxa"/>
            <w:vAlign w:val="center"/>
          </w:tcPr>
          <w:p>
            <w:pPr>
              <w:keepNext/>
              <w:widowControl/>
              <w:spacing w:after="100"/>
              <w:ind w:firstLine="0" w:firstLineChars="0" w:left="0" w:right="0" w:leftChars="0" w:rightChars="0"/>
              <w:jc w:val="left"/>
            </w:pPr>
            <w:r>
              <w:rPr>
                <w:sz w:val="19"/>
                <w:szCs w:val="19"/>
              </w:rPr>
              <w:t xml:space="preserve">老大差</w:t>
            </w:r>
          </w:p>
        </w:tc>
        <w:tc>
          <w:tcPr>
            <w:tcW w:w="650" w:type="dxa"/>
            <w:vAlign w:val="center"/>
            <w:noWrap/>
          </w:tcPr>
          <w:p>
            <w:pPr>
              <w:keepNext/>
              <w:widowControl/>
              <w:spacing w:after="100"/>
              <w:ind w:firstLine="0" w:firstLineChars="0" w:left="0" w:right="0" w:leftChars="0" w:rightChars="0"/>
              <w:jc w:val="left"/>
            </w:pPr>
            <w:r>
              <w:rPr>
                <w:sz w:val="19"/>
                <w:szCs w:val="19"/>
              </w:rPr>
              <w:t xml:space="preserve">3159</w:t>
            </w:r>
          </w:p>
        </w:tc>
        <w:tc>
          <w:tcPr>
            <w:tcW w:w="15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1150" w:type="dxa"/>
            <w:vAlign w:val="center"/>
          </w:tcPr>
          <w:p>
            <w:pPr>
              <w:keepNext/>
              <w:widowControl/>
              <w:spacing w:after="100"/>
              <w:ind w:firstLine="0" w:firstLineChars="0" w:left="0" w:right="0" w:leftChars="0" w:rightChars="0"/>
              <w:jc w:val="left"/>
            </w:pPr>
            <w:r>
              <w:rPr>
                <w:sz w:val="19"/>
                <w:szCs w:val="19"/>
              </w:rPr>
              <w:t xml:space="preserve">—</w:t>
            </w:r>
          </w:p>
        </w:tc>
        <w:tc>
          <w:tcPr>
            <w:tcW w:w="2700" w:type="dxa"/>
            <w:vAlign w:val="center"/>
          </w:tcPr>
          <w:p>
            <w:pPr>
              <w:keepNext/>
              <w:widowControl/>
              <w:spacing w:after="100"/>
              <w:ind w:firstLine="0" w:firstLineChars="0" w:left="0" w:right="0" w:leftChars="0" w:rightChars="0"/>
              <w:jc w:val="left"/>
            </w:pPr>
            <w:r>
              <w:rPr>
                <w:sz w:val="19"/>
                <w:szCs w:val="19"/>
              </w:rPr>
              <w:t xml:space="preserve">未形成完整、可采用的MI估计</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长子差</w:t>
            </w:r>
          </w:p>
        </w:tc>
        <w:tc>
          <w:tcPr>
            <w:tcW w:w="650" w:type="dxa"/>
            <w:vAlign w:val="center"/>
            <w:noWrap/>
          </w:tcPr>
          <w:p>
            <w:pPr>
              <w:widowControl/>
              <w:spacing w:after="100"/>
              <w:ind w:firstLine="0" w:firstLineChars="0" w:left="0" w:right="0" w:leftChars="0" w:rightChars="0"/>
              <w:jc w:val="left"/>
            </w:pPr>
            <w:r>
              <w:rPr>
                <w:sz w:val="19"/>
                <w:szCs w:val="19"/>
              </w:rPr>
              <w:t xml:space="preserve">2894</w:t>
            </w:r>
          </w:p>
        </w:tc>
        <w:tc>
          <w:tcPr>
            <w:tcW w:w="1550" w:type="dxa"/>
            <w:vAlign w:val="center"/>
          </w:tcPr>
          <w:p>
            <w:pPr>
              <w:widowControl/>
              <w:spacing w:after="100"/>
              <w:ind w:firstLine="0" w:firstLineChars="0" w:left="0" w:right="0" w:leftChars="0" w:rightChars="0"/>
              <w:jc w:val="left"/>
            </w:pPr>
            <w:r>
              <w:rPr>
                <w:sz w:val="19"/>
                <w:szCs w:val="19"/>
              </w:rPr>
              <w:t xml:space="preserve">—</w:t>
            </w:r>
          </w:p>
        </w:tc>
        <w:tc>
          <w:tcPr>
            <w:tcW w:w="2100" w:type="dxa"/>
            <w:vAlign w:val="center"/>
          </w:tcPr>
          <w:p>
            <w:pPr>
              <w:widowControl/>
              <w:spacing w:after="100"/>
              <w:ind w:firstLine="0" w:firstLineChars="0" w:left="0" w:right="0" w:leftChars="0" w:rightChars="0"/>
              <w:jc w:val="left"/>
            </w:pPr>
            <w:r>
              <w:rPr>
                <w:sz w:val="19"/>
                <w:szCs w:val="19"/>
              </w:rPr>
              <w:t xml:space="preserve">—</w:t>
            </w:r>
          </w:p>
        </w:tc>
        <w:tc>
          <w:tcPr>
            <w:tcW w:w="1150" w:type="dxa"/>
            <w:vAlign w:val="center"/>
          </w:tcPr>
          <w:p>
            <w:pPr>
              <w:widowControl/>
              <w:spacing w:after="100"/>
              <w:ind w:firstLine="0" w:firstLineChars="0" w:left="0" w:right="0" w:leftChars="0" w:rightChars="0"/>
              <w:jc w:val="left"/>
            </w:pPr>
            <w:r>
              <w:rPr>
                <w:sz w:val="19"/>
                <w:szCs w:val="19"/>
              </w:rPr>
              <w:t xml:space="preserve">—</w:t>
            </w:r>
          </w:p>
        </w:tc>
        <w:tc>
          <w:tcPr>
            <w:tcW w:w="2700" w:type="dxa"/>
            <w:vAlign w:val="center"/>
          </w:tcPr>
          <w:p>
            <w:pPr>
              <w:widowControl/>
              <w:spacing w:after="100"/>
              <w:ind w:firstLine="0" w:firstLineChars="0" w:left="0" w:right="0" w:leftChars="0" w:rightChars="0"/>
              <w:jc w:val="left"/>
            </w:pPr>
            <w:r>
              <w:rPr>
                <w:sz w:val="19"/>
                <w:szCs w:val="19"/>
              </w:rPr>
              <w:t xml:space="preserve">未形成完整、可采用的MI估计</w:t>
            </w:r>
          </w:p>
        </w:tc>
      </w:tr>
    </w:tbl>
    <w:p>
      <w:pPr>
        <w:widowControl/>
        <w:spacing w:after="100"/>
      </w:pPr>
      <w:r>
        <w:t xml:space="preserve">本表没有可报告的潜交互合并系数。各分支的估计与数值核查状态见附表A9；这表示当前执行证据不能支持相应条件MI推断，不是四种调节均等于零的结论。</w:t>
      </w:r>
    </w:p>
    <w:p>
      <w:pPr>
        <w:widowControl/>
        <w:spacing w:after="100"/>
      </w:pPr>
      <w:r>
        <w:t xml:space="preserve">三个有符号差值已反向，数值较大表示原假设预定的相对不利方向。交互系数的正负只有结合条件斜率、指标含义和参考范围，才能解释为某种条件关联增强或减弱；不单凭符号给机制命名。</w:t>
      </w:r>
    </w:p>
    <w:p>
      <w:pPr>
        <w:pStyle w:val="afff0"/>
        <w:keepNext/>
        <w:widowControl/>
        <w:spacing w:after="100"/>
      </w:pPr>
      <w:r>
        <w:t xml:space="preserve">观测基期差异的另一定义</w:t>
      </w:r>
    </w:p>
    <w:p>
      <w:pPr>
        <w:pStyle w:val="af3"/>
        <w:keepNext/>
        <w:widowControl/>
        <w:spacing w:after="100"/>
      </w:pPr>
      <w:r>
        <w:t xml:space="preserve">表5 观测2012年差异的交互：待执行设计与延期状态</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50"/>
        <w:gridCol w:w="650"/>
        <w:gridCol w:w="1550"/>
        <w:gridCol w:w="2100"/>
        <w:gridCol w:w="1150"/>
        <w:gridCol w:w="2700"/>
      </w:tblGrid>
      <w:tr>
        <w:trPr>
          <w:cantSplit/>
          <w:tblHeader/>
        </w:trPr>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差异Z₀</w:t>
            </w:r>
          </w:p>
        </w:tc>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基期N</w:t>
            </w:r>
          </w:p>
        </w:tc>
        <w:tc>
          <w:tcPr>
            <w:tcW w:w="155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21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P / Holm P</w:t>
            </w:r>
          </w:p>
        </w:tc>
        <w:tc>
          <w:tcPr>
            <w:tcW w:w="2700" w:type="dxa"/>
            <w:vAlign w:val="center"/>
            <w:shd w:val="clear" w:fill="E8EDF2"/>
          </w:tcPr>
          <w:p>
            <w:pPr>
              <w:keepNext/>
              <w:widowControl/>
              <w:spacing w:after="100"/>
              <w:ind w:firstLine="0" w:firstLineChars="0" w:left="0" w:right="0" w:leftChars="0" w:rightChars="0"/>
              <w:jc w:val="left"/>
            </w:pPr>
            <w:r>
              <w:rPr>
                <w:sz w:val="19"/>
                <w:szCs w:val="19"/>
              </w:rPr>
              <w:t xml:space="preserve">当前状态</w:t>
            </w:r>
          </w:p>
        </w:tc>
      </w:tr>
      <w:tr>
        <w:trPr>
          <w:cantSplit/>
        </w:trPr>
        <w:tc>
          <w:tcPr>
            <w:tcW w:w="850" w:type="dxa"/>
            <w:vAlign w:val="center"/>
          </w:tcPr>
          <w:p>
            <w:pPr>
              <w:keepNext/>
              <w:widowControl/>
              <w:spacing w:after="100"/>
              <w:ind w:firstLine="0" w:firstLineChars="0" w:left="0" w:right="0" w:leftChars="0" w:rightChars="0"/>
              <w:jc w:val="left"/>
            </w:pPr>
            <w:r>
              <w:rPr>
                <w:sz w:val="19"/>
                <w:szCs w:val="19"/>
              </w:rPr>
              <w:t xml:space="preserve">标准差</w:t>
            </w:r>
          </w:p>
        </w:tc>
        <w:tc>
          <w:tcPr>
            <w:tcW w:w="650" w:type="dxa"/>
            <w:vAlign w:val="center"/>
            <w:noWrap/>
          </w:tcPr>
          <w:p>
            <w:pPr>
              <w:keepNext/>
              <w:widowControl/>
              <w:spacing w:after="100"/>
              <w:ind w:firstLine="0" w:firstLineChars="0" w:left="0" w:right="0" w:leftChars="0" w:rightChars="0"/>
              <w:jc w:val="left"/>
            </w:pPr>
            <w:r>
              <w:rPr>
                <w:sz w:val="19"/>
                <w:szCs w:val="19"/>
              </w:rPr>
              <w:t xml:space="preserve">3274</w:t>
            </w:r>
          </w:p>
        </w:tc>
        <w:tc>
          <w:tcPr>
            <w:tcW w:w="15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1150" w:type="dxa"/>
            <w:vAlign w:val="center"/>
          </w:tcPr>
          <w:p>
            <w:pPr>
              <w:keepNext/>
              <w:widowControl/>
              <w:spacing w:after="100"/>
              <w:ind w:firstLine="0" w:firstLineChars="0" w:left="0" w:right="0" w:leftChars="0" w:rightChars="0"/>
              <w:jc w:val="left"/>
            </w:pPr>
            <w:r>
              <w:rPr>
                <w:sz w:val="19"/>
                <w:szCs w:val="19"/>
              </w:rPr>
              <w:t xml:space="preserve">—</w:t>
            </w:r>
          </w:p>
        </w:tc>
        <w:tc>
          <w:tcPr>
            <w:tcW w:w="2700" w:type="dxa"/>
            <w:vAlign w:val="center"/>
          </w:tcPr>
          <w:p>
            <w:pPr>
              <w:keepNext/>
              <w:widowControl/>
              <w:spacing w:after="100"/>
              <w:ind w:firstLine="0" w:firstLineChars="0" w:left="0" w:right="0" w:leftChars="0" w:rightChars="0"/>
              <w:jc w:val="left"/>
            </w:pPr>
            <w:r>
              <w:rPr>
                <w:sz w:val="19"/>
                <w:szCs w:val="19"/>
              </w:rPr>
              <w:t xml:space="preserve">未执行；按阶段预算延期</w:t>
            </w:r>
          </w:p>
        </w:tc>
      </w:tr>
      <w:tr>
        <w:trPr>
          <w:cantSplit/>
        </w:trPr>
        <w:tc>
          <w:tcPr>
            <w:tcW w:w="850" w:type="dxa"/>
            <w:vAlign w:val="center"/>
          </w:tcPr>
          <w:p>
            <w:pPr>
              <w:keepNext/>
              <w:widowControl/>
              <w:spacing w:after="100"/>
              <w:ind w:firstLine="0" w:firstLineChars="0" w:left="0" w:right="0" w:leftChars="0" w:rightChars="0"/>
              <w:jc w:val="left"/>
            </w:pPr>
            <w:r>
              <w:rPr>
                <w:sz w:val="19"/>
                <w:szCs w:val="19"/>
              </w:rPr>
              <w:t xml:space="preserve">性别差</w:t>
            </w:r>
          </w:p>
        </w:tc>
        <w:tc>
          <w:tcPr>
            <w:tcW w:w="650" w:type="dxa"/>
            <w:vAlign w:val="center"/>
            <w:noWrap/>
          </w:tcPr>
          <w:p>
            <w:pPr>
              <w:keepNext/>
              <w:widowControl/>
              <w:spacing w:after="100"/>
              <w:ind w:firstLine="0" w:firstLineChars="0" w:left="0" w:right="0" w:leftChars="0" w:rightChars="0"/>
              <w:jc w:val="left"/>
            </w:pPr>
            <w:r>
              <w:rPr>
                <w:sz w:val="19"/>
                <w:szCs w:val="19"/>
              </w:rPr>
              <w:t xml:space="preserve">2339</w:t>
            </w:r>
          </w:p>
        </w:tc>
        <w:tc>
          <w:tcPr>
            <w:tcW w:w="15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1150" w:type="dxa"/>
            <w:vAlign w:val="center"/>
          </w:tcPr>
          <w:p>
            <w:pPr>
              <w:keepNext/>
              <w:widowControl/>
              <w:spacing w:after="100"/>
              <w:ind w:firstLine="0" w:firstLineChars="0" w:left="0" w:right="0" w:leftChars="0" w:rightChars="0"/>
              <w:jc w:val="left"/>
            </w:pPr>
            <w:r>
              <w:rPr>
                <w:sz w:val="19"/>
                <w:szCs w:val="19"/>
              </w:rPr>
              <w:t xml:space="preserve">—</w:t>
            </w:r>
          </w:p>
        </w:tc>
        <w:tc>
          <w:tcPr>
            <w:tcW w:w="2700" w:type="dxa"/>
            <w:vAlign w:val="center"/>
          </w:tcPr>
          <w:p>
            <w:pPr>
              <w:keepNext/>
              <w:widowControl/>
              <w:spacing w:after="100"/>
              <w:ind w:firstLine="0" w:firstLineChars="0" w:left="0" w:right="0" w:leftChars="0" w:rightChars="0"/>
              <w:jc w:val="left"/>
            </w:pPr>
            <w:r>
              <w:rPr>
                <w:sz w:val="19"/>
                <w:szCs w:val="19"/>
              </w:rPr>
              <w:t xml:space="preserve">未执行；按阶段预算延期</w:t>
            </w:r>
          </w:p>
        </w:tc>
      </w:tr>
      <w:tr>
        <w:trPr>
          <w:cantSplit/>
        </w:trPr>
        <w:tc>
          <w:tcPr>
            <w:tcW w:w="850" w:type="dxa"/>
            <w:vAlign w:val="center"/>
          </w:tcPr>
          <w:p>
            <w:pPr>
              <w:keepNext/>
              <w:widowControl/>
              <w:spacing w:after="100"/>
              <w:ind w:firstLine="0" w:firstLineChars="0" w:left="0" w:right="0" w:leftChars="0" w:rightChars="0"/>
              <w:jc w:val="left"/>
            </w:pPr>
            <w:r>
              <w:rPr>
                <w:sz w:val="19"/>
                <w:szCs w:val="19"/>
              </w:rPr>
              <w:t xml:space="preserve">老大差</w:t>
            </w:r>
          </w:p>
        </w:tc>
        <w:tc>
          <w:tcPr>
            <w:tcW w:w="650" w:type="dxa"/>
            <w:vAlign w:val="center"/>
            <w:noWrap/>
          </w:tcPr>
          <w:p>
            <w:pPr>
              <w:keepNext/>
              <w:widowControl/>
              <w:spacing w:after="100"/>
              <w:ind w:firstLine="0" w:firstLineChars="0" w:left="0" w:right="0" w:leftChars="0" w:rightChars="0"/>
              <w:jc w:val="left"/>
            </w:pPr>
            <w:r>
              <w:rPr>
                <w:sz w:val="19"/>
                <w:szCs w:val="19"/>
              </w:rPr>
              <w:t xml:space="preserve">3159</w:t>
            </w:r>
          </w:p>
        </w:tc>
        <w:tc>
          <w:tcPr>
            <w:tcW w:w="15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1150" w:type="dxa"/>
            <w:vAlign w:val="center"/>
          </w:tcPr>
          <w:p>
            <w:pPr>
              <w:keepNext/>
              <w:widowControl/>
              <w:spacing w:after="100"/>
              <w:ind w:firstLine="0" w:firstLineChars="0" w:left="0" w:right="0" w:leftChars="0" w:rightChars="0"/>
              <w:jc w:val="left"/>
            </w:pPr>
            <w:r>
              <w:rPr>
                <w:sz w:val="19"/>
                <w:szCs w:val="19"/>
              </w:rPr>
              <w:t xml:space="preserve">—</w:t>
            </w:r>
          </w:p>
        </w:tc>
        <w:tc>
          <w:tcPr>
            <w:tcW w:w="2700" w:type="dxa"/>
            <w:vAlign w:val="center"/>
          </w:tcPr>
          <w:p>
            <w:pPr>
              <w:keepNext/>
              <w:widowControl/>
              <w:spacing w:after="100"/>
              <w:ind w:firstLine="0" w:firstLineChars="0" w:left="0" w:right="0" w:leftChars="0" w:rightChars="0"/>
              <w:jc w:val="left"/>
            </w:pPr>
            <w:r>
              <w:rPr>
                <w:sz w:val="19"/>
                <w:szCs w:val="19"/>
              </w:rPr>
              <w:t xml:space="preserve">未执行；按阶段预算延期</w:t>
            </w:r>
          </w:p>
        </w:tc>
      </w:tr>
      <w:tr>
        <w:trPr>
          <w:cantSplit/>
        </w:trPr>
        <w:tc>
          <w:tcPr>
            <w:tcW w:w="850" w:type="dxa"/>
            <w:vAlign w:val="center"/>
          </w:tcPr>
          <w:p>
            <w:pPr>
              <w:widowControl/>
              <w:spacing w:after="100"/>
              <w:ind w:firstLine="0" w:firstLineChars="0" w:left="0" w:right="0" w:leftChars="0" w:rightChars="0"/>
              <w:jc w:val="left"/>
            </w:pPr>
            <w:r>
              <w:rPr>
                <w:sz w:val="19"/>
                <w:szCs w:val="19"/>
              </w:rPr>
              <w:t xml:space="preserve">长子差</w:t>
            </w:r>
          </w:p>
        </w:tc>
        <w:tc>
          <w:tcPr>
            <w:tcW w:w="650" w:type="dxa"/>
            <w:vAlign w:val="center"/>
            <w:noWrap/>
          </w:tcPr>
          <w:p>
            <w:pPr>
              <w:widowControl/>
              <w:spacing w:after="100"/>
              <w:ind w:firstLine="0" w:firstLineChars="0" w:left="0" w:right="0" w:leftChars="0" w:rightChars="0"/>
              <w:jc w:val="left"/>
            </w:pPr>
            <w:r>
              <w:rPr>
                <w:sz w:val="19"/>
                <w:szCs w:val="19"/>
              </w:rPr>
              <w:t xml:space="preserve">2894</w:t>
            </w:r>
          </w:p>
        </w:tc>
        <w:tc>
          <w:tcPr>
            <w:tcW w:w="1550" w:type="dxa"/>
            <w:vAlign w:val="center"/>
          </w:tcPr>
          <w:p>
            <w:pPr>
              <w:widowControl/>
              <w:spacing w:after="100"/>
              <w:ind w:firstLine="0" w:firstLineChars="0" w:left="0" w:right="0" w:leftChars="0" w:rightChars="0"/>
              <w:jc w:val="left"/>
            </w:pPr>
            <w:r>
              <w:rPr>
                <w:sz w:val="19"/>
                <w:szCs w:val="19"/>
              </w:rPr>
              <w:t xml:space="preserve">—</w:t>
            </w:r>
          </w:p>
        </w:tc>
        <w:tc>
          <w:tcPr>
            <w:tcW w:w="2100" w:type="dxa"/>
            <w:vAlign w:val="center"/>
          </w:tcPr>
          <w:p>
            <w:pPr>
              <w:widowControl/>
              <w:spacing w:after="100"/>
              <w:ind w:firstLine="0" w:firstLineChars="0" w:left="0" w:right="0" w:leftChars="0" w:rightChars="0"/>
              <w:jc w:val="left"/>
            </w:pPr>
            <w:r>
              <w:rPr>
                <w:sz w:val="19"/>
                <w:szCs w:val="19"/>
              </w:rPr>
              <w:t xml:space="preserve">—</w:t>
            </w:r>
          </w:p>
        </w:tc>
        <w:tc>
          <w:tcPr>
            <w:tcW w:w="1150" w:type="dxa"/>
            <w:vAlign w:val="center"/>
          </w:tcPr>
          <w:p>
            <w:pPr>
              <w:widowControl/>
              <w:spacing w:after="100"/>
              <w:ind w:firstLine="0" w:firstLineChars="0" w:left="0" w:right="0" w:leftChars="0" w:rightChars="0"/>
              <w:jc w:val="left"/>
            </w:pPr>
            <w:r>
              <w:rPr>
                <w:sz w:val="19"/>
                <w:szCs w:val="19"/>
              </w:rPr>
              <w:t xml:space="preserve">—</w:t>
            </w:r>
          </w:p>
        </w:tc>
        <w:tc>
          <w:tcPr>
            <w:tcW w:w="2700" w:type="dxa"/>
            <w:vAlign w:val="center"/>
          </w:tcPr>
          <w:p>
            <w:pPr>
              <w:widowControl/>
              <w:spacing w:after="100"/>
              <w:ind w:firstLine="0" w:firstLineChars="0" w:left="0" w:right="0" w:leftChars="0" w:rightChars="0"/>
              <w:jc w:val="left"/>
            </w:pPr>
            <w:r>
              <w:rPr>
                <w:sz w:val="19"/>
                <w:szCs w:val="19"/>
              </w:rPr>
              <w:t xml:space="preserve">未执行；按阶段预算延期</w:t>
            </w:r>
          </w:p>
        </w:tc>
      </w:tr>
    </w:tbl>
    <w:p>
      <w:pPr>
        <w:widowControl/>
        <w:spacing w:after="100"/>
      </w:pPr>
      <w:r>
        <w:t xml:space="preserve">本表为延期状态，尚未产生观测基期交互估计。拟检验对象是实际2012年差异Z₀的调节，不是利用多期测量估计的潜在IZ调节。SD的基期标准化最小值约为−0.476，约75.6%的原始SD为零，故预定z＝−1超出观测及非负SD允许的范围；今后若估计该参考点，应明确为外推，不能称为实际低差异组。本阶段尚未计算附表A11所列设计的条件斜率。</w:t>
      </w:r>
    </w:p>
    <w:p>
      <w:pPr>
        <w:pStyle w:val="afff0"/>
        <w:keepNext/>
        <w:widowControl/>
        <w:spacing w:after="100"/>
      </w:pPr>
      <w:r>
        <w:t xml:space="preserve">社会经济资源的组间调节差异</w:t>
      </w:r>
    </w:p>
    <w:p>
      <w:pPr>
        <w:pStyle w:val="af3"/>
        <w:keepNext/>
        <w:widowControl/>
        <w:spacing w:after="100"/>
      </w:pPr>
      <w:r>
        <w:t xml:space="preserve">表6 SD观测路线的资源组间调节差异</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300"/>
        <w:gridCol w:w="1700"/>
        <w:gridCol w:w="2100"/>
        <w:gridCol w:w="700"/>
        <w:gridCol w:w="800"/>
        <w:gridCol w:w="2400"/>
      </w:tblGrid>
      <w:tr>
        <w:trPr>
          <w:cantSplit/>
          <w:tblHeader/>
        </w:trPr>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资源G</w:t>
            </w:r>
          </w:p>
        </w:tc>
        <w:tc>
          <w:tcPr>
            <w:tcW w:w="1700" w:type="dxa"/>
            <w:vAlign w:val="center"/>
            <w:shd w:val="clear" w:fill="E8EDF2"/>
          </w:tcPr>
          <w:p>
            <w:pPr>
              <w:keepNext/>
              <w:widowControl/>
              <w:spacing w:after="100"/>
              <w:ind w:firstLine="0" w:firstLineChars="0" w:left="0" w:right="0" w:leftChars="0" w:rightChars="0"/>
              <w:jc w:val="left"/>
            </w:pPr>
            <w:r>
              <w:rPr>
                <w:sz w:val="19"/>
                <w:szCs w:val="19"/>
              </w:rPr>
              <w:t xml:space="preserve">δG (SE)</w:t>
            </w:r>
          </w:p>
        </w:tc>
        <w:tc>
          <w:tcPr>
            <w:tcW w:w="21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700" w:type="dxa"/>
            <w:vAlign w:val="center"/>
            <w:shd w:val="clear" w:fill="E8EDF2"/>
          </w:tcPr>
          <w:p>
            <w:pPr>
              <w:keepNext/>
              <w:widowControl/>
              <w:spacing w:after="100"/>
              <w:ind w:firstLine="0" w:firstLineChars="0" w:left="0" w:right="0" w:leftChars="0" w:rightChars="0"/>
              <w:jc w:val="left"/>
            </w:pPr>
            <w:r>
              <w:rPr>
                <w:sz w:val="19"/>
                <w:szCs w:val="19"/>
              </w:rPr>
              <w:t xml:space="preserve">P</w:t>
            </w:r>
          </w:p>
        </w:tc>
        <w:tc>
          <w:tcPr>
            <w:tcW w:w="800" w:type="dxa"/>
            <w:vAlign w:val="center"/>
            <w:shd w:val="clear" w:fill="E8EDF2"/>
          </w:tcPr>
          <w:p>
            <w:pPr>
              <w:keepNext/>
              <w:widowControl/>
              <w:spacing w:after="100"/>
              <w:ind w:firstLine="0" w:firstLineChars="0" w:left="0" w:right="0" w:leftChars="0" w:rightChars="0"/>
              <w:jc w:val="left"/>
            </w:pPr>
            <w:r>
              <w:rPr>
                <w:sz w:val="19"/>
                <w:szCs w:val="19"/>
              </w:rPr>
              <w:t xml:space="preserve">Holm P</w:t>
            </w:r>
          </w:p>
        </w:tc>
        <w:tc>
          <w:tcPr>
            <w:tcW w:w="2400" w:type="dxa"/>
            <w:vAlign w:val="center"/>
            <w:shd w:val="clear" w:fill="E8EDF2"/>
          </w:tcPr>
          <w:p>
            <w:pPr>
              <w:keepNext/>
              <w:widowControl/>
              <w:spacing w:after="100"/>
              <w:ind w:firstLine="0" w:firstLineChars="0" w:left="0" w:right="0" w:leftChars="0" w:rightChars="0"/>
              <w:jc w:val="left"/>
            </w:pPr>
            <w:r>
              <w:rPr>
                <w:sz w:val="19"/>
                <w:szCs w:val="19"/>
              </w:rPr>
              <w:t xml:space="preserve">方向及幅度判断</w:t>
            </w:r>
          </w:p>
        </w:tc>
      </w:tr>
      <w:tr>
        <w:trPr>
          <w:cantSplit/>
        </w:trPr>
        <w:tc>
          <w:tcPr>
            <w:tcW w:w="1300" w:type="dxa"/>
            <w:vAlign w:val="center"/>
          </w:tcPr>
          <w:p>
            <w:pPr>
              <w:keepNext/>
              <w:widowControl/>
              <w:spacing w:after="100"/>
              <w:ind w:firstLine="0" w:firstLineChars="0" w:left="0" w:right="0" w:leftChars="0" w:rightChars="0"/>
              <w:jc w:val="left"/>
            </w:pPr>
            <w:r>
              <w:rPr>
                <w:sz w:val="19"/>
                <w:szCs w:val="19"/>
              </w:rPr>
              <w:t xml:space="preserve">教育</w:t>
            </w:r>
          </w:p>
        </w:tc>
        <w:tc>
          <w:tcPr>
            <w:tcW w:w="170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700" w:type="dxa"/>
            <w:vAlign w:val="center"/>
          </w:tcPr>
          <w:p>
            <w:pPr>
              <w:keepNext/>
              <w:widowControl/>
              <w:spacing w:after="100"/>
              <w:ind w:firstLine="0" w:firstLineChars="0" w:left="0" w:right="0" w:leftChars="0" w:rightChars="0"/>
              <w:jc w:val="left"/>
            </w:pPr>
            <w:r>
              <w:rPr>
                <w:sz w:val="19"/>
                <w:szCs w:val="19"/>
              </w:rPr>
              <w:t xml:space="preserve">—</w:t>
            </w:r>
          </w:p>
        </w:tc>
        <w:tc>
          <w:tcPr>
            <w:tcW w:w="800" w:type="dxa"/>
            <w:vAlign w:val="center"/>
          </w:tcPr>
          <w:p>
            <w:pPr>
              <w:keepNext/>
              <w:widowControl/>
              <w:spacing w:after="100"/>
              <w:ind w:firstLine="0" w:firstLineChars="0" w:left="0" w:right="0" w:leftChars="0" w:rightChars="0"/>
              <w:jc w:val="left"/>
            </w:pPr>
            <w:r>
              <w:rPr>
                <w:sz w:val="19"/>
                <w:szCs w:val="19"/>
              </w:rPr>
              <w:t xml:space="preserve">—</w:t>
            </w:r>
          </w:p>
        </w:tc>
        <w:tc>
          <w:tcPr>
            <w:tcW w:w="2400" w:type="dxa"/>
            <w:vAlign w:val="center"/>
          </w:tcPr>
          <w:p>
            <w:pPr>
              <w:keepNext/>
              <w:widowControl/>
              <w:spacing w:after="100"/>
              <w:ind w:firstLine="0" w:firstLineChars="0" w:left="0" w:right="0" w:leftChars="0" w:rightChars="0"/>
              <w:jc w:val="left"/>
            </w:pPr>
            <w:r>
              <w:rPr>
                <w:sz w:val="19"/>
                <w:szCs w:val="19"/>
              </w:rPr>
              <w:t xml:space="preserve">未执行；按阶段预算延期</w:t>
            </w:r>
          </w:p>
        </w:tc>
      </w:tr>
      <w:tr>
        <w:trPr>
          <w:cantSplit/>
        </w:trPr>
        <w:tc>
          <w:tcPr>
            <w:tcW w:w="1300" w:type="dxa"/>
            <w:vAlign w:val="center"/>
          </w:tcPr>
          <w:p>
            <w:pPr>
              <w:keepNext/>
              <w:widowControl/>
              <w:spacing w:after="100"/>
              <w:ind w:firstLine="0" w:firstLineChars="0" w:left="0" w:right="0" w:leftChars="0" w:rightChars="0"/>
              <w:jc w:val="left"/>
            </w:pPr>
            <w:r>
              <w:rPr>
                <w:sz w:val="19"/>
                <w:szCs w:val="19"/>
              </w:rPr>
              <w:t xml:space="preserve">城乡</w:t>
            </w:r>
          </w:p>
        </w:tc>
        <w:tc>
          <w:tcPr>
            <w:tcW w:w="170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w:t>
            </w:r>
          </w:p>
        </w:tc>
        <w:tc>
          <w:tcPr>
            <w:tcW w:w="700" w:type="dxa"/>
            <w:vAlign w:val="center"/>
          </w:tcPr>
          <w:p>
            <w:pPr>
              <w:keepNext/>
              <w:widowControl/>
              <w:spacing w:after="100"/>
              <w:ind w:firstLine="0" w:firstLineChars="0" w:left="0" w:right="0" w:leftChars="0" w:rightChars="0"/>
              <w:jc w:val="left"/>
            </w:pPr>
            <w:r>
              <w:rPr>
                <w:sz w:val="19"/>
                <w:szCs w:val="19"/>
              </w:rPr>
              <w:t xml:space="preserve">—</w:t>
            </w:r>
          </w:p>
        </w:tc>
        <w:tc>
          <w:tcPr>
            <w:tcW w:w="800" w:type="dxa"/>
            <w:vAlign w:val="center"/>
          </w:tcPr>
          <w:p>
            <w:pPr>
              <w:keepNext/>
              <w:widowControl/>
              <w:spacing w:after="100"/>
              <w:ind w:firstLine="0" w:firstLineChars="0" w:left="0" w:right="0" w:leftChars="0" w:rightChars="0"/>
              <w:jc w:val="left"/>
            </w:pPr>
            <w:r>
              <w:rPr>
                <w:sz w:val="19"/>
                <w:szCs w:val="19"/>
              </w:rPr>
              <w:t xml:space="preserve">—</w:t>
            </w:r>
          </w:p>
        </w:tc>
        <w:tc>
          <w:tcPr>
            <w:tcW w:w="2400" w:type="dxa"/>
            <w:vAlign w:val="center"/>
          </w:tcPr>
          <w:p>
            <w:pPr>
              <w:keepNext/>
              <w:widowControl/>
              <w:spacing w:after="100"/>
              <w:ind w:firstLine="0" w:firstLineChars="0" w:left="0" w:right="0" w:leftChars="0" w:rightChars="0"/>
              <w:jc w:val="left"/>
            </w:pPr>
            <w:r>
              <w:rPr>
                <w:sz w:val="19"/>
                <w:szCs w:val="19"/>
              </w:rPr>
              <w:t xml:space="preserve">未执行；按阶段预算延期</w:t>
            </w:r>
          </w:p>
        </w:tc>
      </w:tr>
      <w:tr>
        <w:trPr>
          <w:cantSplit/>
        </w:trPr>
        <w:tc>
          <w:tcPr>
            <w:tcW w:w="1300" w:type="dxa"/>
            <w:vAlign w:val="center"/>
          </w:tcPr>
          <w:p>
            <w:pPr>
              <w:widowControl/>
              <w:spacing w:after="100"/>
              <w:ind w:firstLine="0" w:firstLineChars="0" w:left="0" w:right="0" w:leftChars="0" w:rightChars="0"/>
              <w:jc w:val="left"/>
            </w:pPr>
            <w:r>
              <w:rPr>
                <w:sz w:val="19"/>
                <w:szCs w:val="19"/>
              </w:rPr>
              <w:t xml:space="preserve">有无个人收入</w:t>
            </w:r>
          </w:p>
        </w:tc>
        <w:tc>
          <w:tcPr>
            <w:tcW w:w="1700" w:type="dxa"/>
            <w:vAlign w:val="center"/>
          </w:tcPr>
          <w:p>
            <w:pPr>
              <w:widowControl/>
              <w:spacing w:after="100"/>
              <w:ind w:firstLine="0" w:firstLineChars="0" w:left="0" w:right="0" w:leftChars="0" w:rightChars="0"/>
              <w:jc w:val="left"/>
            </w:pPr>
            <w:r>
              <w:rPr>
                <w:sz w:val="19"/>
                <w:szCs w:val="19"/>
              </w:rPr>
              <w:t xml:space="preserve">—</w:t>
            </w:r>
          </w:p>
        </w:tc>
        <w:tc>
          <w:tcPr>
            <w:tcW w:w="2100" w:type="dxa"/>
            <w:vAlign w:val="center"/>
          </w:tcPr>
          <w:p>
            <w:pPr>
              <w:widowControl/>
              <w:spacing w:after="100"/>
              <w:ind w:firstLine="0" w:firstLineChars="0" w:left="0" w:right="0" w:leftChars="0" w:rightChars="0"/>
              <w:jc w:val="left"/>
            </w:pPr>
            <w:r>
              <w:rPr>
                <w:sz w:val="19"/>
                <w:szCs w:val="19"/>
              </w:rPr>
              <w:t xml:space="preserve">—</w:t>
            </w:r>
          </w:p>
        </w:tc>
        <w:tc>
          <w:tcPr>
            <w:tcW w:w="700" w:type="dxa"/>
            <w:vAlign w:val="center"/>
          </w:tcPr>
          <w:p>
            <w:pPr>
              <w:widowControl/>
              <w:spacing w:after="100"/>
              <w:ind w:firstLine="0" w:firstLineChars="0" w:left="0" w:right="0" w:leftChars="0" w:rightChars="0"/>
              <w:jc w:val="left"/>
            </w:pPr>
            <w:r>
              <w:rPr>
                <w:sz w:val="19"/>
                <w:szCs w:val="19"/>
              </w:rPr>
              <w:t xml:space="preserve">—</w:t>
            </w:r>
          </w:p>
        </w:tc>
        <w:tc>
          <w:tcPr>
            <w:tcW w:w="800" w:type="dxa"/>
            <w:vAlign w:val="center"/>
          </w:tcPr>
          <w:p>
            <w:pPr>
              <w:widowControl/>
              <w:spacing w:after="100"/>
              <w:ind w:firstLine="0" w:firstLineChars="0" w:left="0" w:right="0" w:leftChars="0" w:rightChars="0"/>
              <w:jc w:val="left"/>
            </w:pPr>
            <w:r>
              <w:rPr>
                <w:sz w:val="19"/>
                <w:szCs w:val="19"/>
              </w:rPr>
              <w:t xml:space="preserve">—</w:t>
            </w:r>
          </w:p>
        </w:tc>
        <w:tc>
          <w:tcPr>
            <w:tcW w:w="2400" w:type="dxa"/>
            <w:vAlign w:val="center"/>
          </w:tcPr>
          <w:p>
            <w:pPr>
              <w:widowControl/>
              <w:spacing w:after="100"/>
              <w:ind w:firstLine="0" w:firstLineChars="0" w:left="0" w:right="0" w:leftChars="0" w:rightChars="0"/>
              <w:jc w:val="left"/>
            </w:pPr>
            <w:r>
              <w:rPr>
                <w:sz w:val="19"/>
                <w:szCs w:val="19"/>
              </w:rPr>
              <w:t xml:space="preserve">未执行；按阶段预算延期</w:t>
            </w:r>
          </w:p>
        </w:tc>
      </w:tr>
    </w:tbl>
    <w:p>
      <w:pPr>
        <w:widowControl/>
        <w:spacing w:after="100"/>
      </w:pPr>
      <w:r>
        <w:t xml:space="preserve">G＝1分别是初中及以上、城市、有个人收入；G＝0是相应参照组。表中δG直接对应两组调节之差，组别自身的简单斜率显著性不作替代。组内δ及δ＋δG、九项对比与H4.2b方向判定的预定内容及延期状态见附表A12，本阶段没有实际区间或方向结论。若两组调节方向尚不能确定，则不因某个差异系数有星号就宣布“更敏感”。</w:t>
      </w:r>
    </w:p>
    <w:p>
      <w:pPr>
        <w:pStyle w:val="afff0"/>
        <w:keepNext/>
        <w:widowControl/>
        <w:spacing w:after="100"/>
      </w:pPr>
      <w:r>
        <w:t xml:space="preserve">原假设的检验范围</w:t>
      </w:r>
    </w:p>
    <w:p>
      <w:pPr>
        <w:pStyle w:val="af3"/>
        <w:keepNext/>
        <w:widowControl/>
        <w:spacing w:after="100"/>
      </w:pPr>
      <w:r>
        <w:t xml:space="preserve">表7 原假设与当前证据范围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000"/>
        <w:gridCol w:w="2700"/>
        <w:gridCol w:w="5300"/>
      </w:tblGrid>
      <w:tr>
        <w:trPr>
          <w:cantSplit/>
          <w:tblHeader/>
        </w:trPr>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假设</w:t>
            </w:r>
          </w:p>
        </w:tc>
        <w:tc>
          <w:tcPr>
            <w:tcW w:w="2700" w:type="dxa"/>
            <w:vAlign w:val="center"/>
            <w:shd w:val="clear" w:fill="E8EDF2"/>
          </w:tcPr>
          <w:p>
            <w:pPr>
              <w:keepNext/>
              <w:widowControl/>
              <w:spacing w:after="100"/>
              <w:ind w:firstLine="0" w:firstLineChars="0" w:left="0" w:right="0" w:leftChars="0" w:rightChars="0"/>
              <w:jc w:val="left"/>
            </w:pPr>
            <w:r>
              <w:rPr>
                <w:sz w:val="19"/>
                <w:szCs w:val="19"/>
              </w:rPr>
              <w:t xml:space="preserve">原预测</w:t>
            </w:r>
          </w:p>
        </w:tc>
        <w:tc>
          <w:tcPr>
            <w:tcW w:w="5300" w:type="dxa"/>
            <w:vAlign w:val="center"/>
            <w:shd w:val="clear" w:fill="E8EDF2"/>
          </w:tcPr>
          <w:p>
            <w:pPr>
              <w:keepNext/>
              <w:widowControl/>
              <w:spacing w:after="100"/>
              <w:ind w:firstLine="0" w:firstLineChars="0" w:left="0" w:right="0" w:leftChars="0" w:rightChars="0"/>
              <w:jc w:val="left"/>
            </w:pPr>
            <w:r>
              <w:rPr>
                <w:sz w:val="19"/>
                <w:szCs w:val="19"/>
              </w:rPr>
              <w:t xml:space="preserve">当前证据及未检验范围</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H1.1</w:t>
            </w:r>
          </w:p>
        </w:tc>
        <w:tc>
          <w:tcPr>
            <w:tcW w:w="2700" w:type="dxa"/>
            <w:vAlign w:val="center"/>
          </w:tcPr>
          <w:p>
            <w:pPr>
              <w:widowControl/>
              <w:spacing w:after="100"/>
              <w:ind w:firstLine="0" w:firstLineChars="0" w:left="0" w:right="0" w:leftChars="0" w:rightChars="0"/>
              <w:jc w:val="left"/>
            </w:pPr>
            <w:r>
              <w:rPr>
                <w:sz w:val="19"/>
                <w:szCs w:val="19"/>
              </w:rPr>
              <w:t xml:space="preserve">总体亲近度与抑郁的负向关联</w:t>
            </w:r>
          </w:p>
        </w:tc>
        <w:tc>
          <w:tcPr>
            <w:tcW w:w="5300" w:type="dxa"/>
            <w:vAlign w:val="center"/>
          </w:tcPr>
          <w:p>
            <w:pPr>
              <w:widowControl/>
              <w:spacing w:after="100"/>
              <w:ind w:firstLine="0" w:firstLineChars="0" w:left="0" w:right="0" w:leftChars="0" w:rightChars="0"/>
              <w:jc w:val="left"/>
            </w:pPr>
            <w:r>
              <w:rPr>
                <w:sz w:val="19"/>
                <w:szCs w:val="19"/>
              </w:rPr>
              <w:t xml:space="preserve">基期关联与预测一致；基期—变化及变化—变化关联尚不明确</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H1.2</w:t>
            </w:r>
          </w:p>
        </w:tc>
        <w:tc>
          <w:tcPr>
            <w:tcW w:w="2700" w:type="dxa"/>
            <w:vAlign w:val="center"/>
          </w:tcPr>
          <w:p>
            <w:pPr>
              <w:widowControl/>
              <w:spacing w:after="100"/>
              <w:ind w:firstLine="0" w:firstLineChars="0" w:left="0" w:right="0" w:leftChars="0" w:rightChars="0"/>
              <w:jc w:val="left"/>
            </w:pPr>
            <w:r>
              <w:rPr>
                <w:sz w:val="19"/>
                <w:szCs w:val="19"/>
              </w:rPr>
              <w:t xml:space="preserve">家内标准差与抑郁的正向关联</w:t>
            </w:r>
          </w:p>
        </w:tc>
        <w:tc>
          <w:tcPr>
            <w:tcW w:w="5300" w:type="dxa"/>
            <w:vAlign w:val="center"/>
          </w:tcPr>
          <w:p>
            <w:pPr>
              <w:widowControl/>
              <w:spacing w:after="100"/>
              <w:ind w:firstLine="0" w:firstLineChars="0" w:left="0" w:right="0" w:leftChars="0" w:rightChars="0"/>
              <w:jc w:val="left"/>
            </w:pPr>
            <w:r>
              <w:rPr>
                <w:sz w:val="19"/>
                <w:szCs w:val="19"/>
              </w:rPr>
              <w:t xml:space="preserve">三过程无交互模型：未形成完整、可采用的MI估计。交互模型的主路径是给定另一变量参考值时的关联。</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H1.3</w:t>
            </w:r>
          </w:p>
        </w:tc>
        <w:tc>
          <w:tcPr>
            <w:tcW w:w="2700" w:type="dxa"/>
            <w:vAlign w:val="center"/>
          </w:tcPr>
          <w:p>
            <w:pPr>
              <w:widowControl/>
              <w:spacing w:after="100"/>
              <w:ind w:firstLine="0" w:firstLineChars="0" w:left="0" w:right="0" w:leftChars="0" w:rightChars="0"/>
              <w:jc w:val="left"/>
            </w:pPr>
            <w:r>
              <w:rPr>
                <w:sz w:val="19"/>
                <w:szCs w:val="19"/>
              </w:rPr>
              <w:t xml:space="preserve">儿子—女儿相对评价差与抑郁</w:t>
            </w:r>
          </w:p>
        </w:tc>
        <w:tc>
          <w:tcPr>
            <w:tcW w:w="5300" w:type="dxa"/>
            <w:vAlign w:val="center"/>
          </w:tcPr>
          <w:p>
            <w:pPr>
              <w:widowControl/>
              <w:spacing w:after="100"/>
              <w:ind w:firstLine="0" w:firstLineChars="0" w:left="0" w:right="0" w:leftChars="0" w:rightChars="0"/>
              <w:jc w:val="left"/>
            </w:pPr>
            <w:r>
              <w:rPr>
                <w:sz w:val="19"/>
                <w:szCs w:val="19"/>
              </w:rPr>
              <w:t xml:space="preserve">三过程无交互模型：未形成完整、可采用的MI估计。交互模型的主路径是给定另一变量参考值时的关联。</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H1.4</w:t>
            </w:r>
          </w:p>
        </w:tc>
        <w:tc>
          <w:tcPr>
            <w:tcW w:w="2700" w:type="dxa"/>
            <w:vAlign w:val="center"/>
          </w:tcPr>
          <w:p>
            <w:pPr>
              <w:widowControl/>
              <w:spacing w:after="100"/>
              <w:ind w:firstLine="0" w:firstLineChars="0" w:left="0" w:right="0" w:leftChars="0" w:rightChars="0"/>
              <w:jc w:val="left"/>
            </w:pPr>
            <w:r>
              <w:rPr>
                <w:sz w:val="19"/>
                <w:szCs w:val="19"/>
              </w:rPr>
              <w:t xml:space="preserve">老大／长子相对评价差与抑郁</w:t>
            </w:r>
          </w:p>
        </w:tc>
        <w:tc>
          <w:tcPr>
            <w:tcW w:w="5300" w:type="dxa"/>
            <w:vAlign w:val="center"/>
          </w:tcPr>
          <w:p>
            <w:pPr>
              <w:widowControl/>
              <w:spacing w:after="100"/>
              <w:ind w:firstLine="0" w:firstLineChars="0" w:left="0" w:right="0" w:leftChars="0" w:rightChars="0"/>
              <w:jc w:val="left"/>
            </w:pPr>
            <w:r>
              <w:rPr>
                <w:sz w:val="19"/>
                <w:szCs w:val="19"/>
              </w:rPr>
              <w:t xml:space="preserve">老大差：未形成完整、可采用的MI估计；长子差：未形成完整、可采用的MI估计</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H2.1</w:t>
            </w:r>
          </w:p>
        </w:tc>
        <w:tc>
          <w:tcPr>
            <w:tcW w:w="2700" w:type="dxa"/>
            <w:vAlign w:val="center"/>
          </w:tcPr>
          <w:p>
            <w:pPr>
              <w:widowControl/>
              <w:spacing w:after="100"/>
              <w:ind w:firstLine="0" w:firstLineChars="0" w:left="0" w:right="0" w:leftChars="0" w:rightChars="0"/>
              <w:jc w:val="left"/>
            </w:pPr>
            <w:r>
              <w:rPr>
                <w:sz w:val="19"/>
                <w:szCs w:val="19"/>
              </w:rPr>
              <w:t xml:space="preserve">家内差异削弱亲近度的负向关联</w:t>
            </w:r>
          </w:p>
        </w:tc>
        <w:tc>
          <w:tcPr>
            <w:tcW w:w="5300" w:type="dxa"/>
            <w:vAlign w:val="center"/>
          </w:tcPr>
          <w:p>
            <w:pPr>
              <w:widowControl/>
              <w:spacing w:after="100"/>
              <w:ind w:firstLine="0" w:firstLineChars="0" w:left="0" w:right="0" w:leftChars="0" w:rightChars="0"/>
              <w:jc w:val="left"/>
            </w:pPr>
            <w:r>
              <w:rPr>
                <w:sz w:val="19"/>
                <w:szCs w:val="19"/>
              </w:rPr>
              <w:t xml:space="preserve">已安排四项SX×IZ检验；0/4形成条件MI估计，具体方向见表4</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H2.2</w:t>
            </w:r>
          </w:p>
        </w:tc>
        <w:tc>
          <w:tcPr>
            <w:tcW w:w="2700" w:type="dxa"/>
            <w:vAlign w:val="center"/>
          </w:tcPr>
          <w:p>
            <w:pPr>
              <w:widowControl/>
              <w:spacing w:after="100"/>
              <w:ind w:firstLine="0" w:firstLineChars="0" w:left="0" w:right="0" w:leftChars="0" w:rightChars="0"/>
              <w:jc w:val="left"/>
            </w:pPr>
            <w:r>
              <w:rPr>
                <w:sz w:val="19"/>
                <w:szCs w:val="19"/>
              </w:rPr>
              <w:t xml:space="preserve">亲近度缓冲家内差异的关联</w:t>
            </w:r>
          </w:p>
        </w:tc>
        <w:tc>
          <w:tcPr>
            <w:tcW w:w="5300" w:type="dxa"/>
            <w:vAlign w:val="center"/>
          </w:tcPr>
          <w:p>
            <w:pPr>
              <w:widowControl/>
              <w:spacing w:after="100"/>
              <w:ind w:firstLine="0" w:firstLineChars="0" w:left="0" w:right="0" w:leftChars="0" w:rightChars="0"/>
              <w:jc w:val="left"/>
            </w:pPr>
            <w:r>
              <w:rPr>
                <w:sz w:val="19"/>
                <w:szCs w:val="19"/>
              </w:rPr>
              <w:t xml:space="preserve">仅考察SX变化与IZ基期差异的动态操作化；较高IX水平的缓冲未检验。同一交互不重复计为独立发现</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H3.1</w:t>
            </w:r>
          </w:p>
        </w:tc>
        <w:tc>
          <w:tcPr>
            <w:tcW w:w="2700" w:type="dxa"/>
            <w:vAlign w:val="center"/>
          </w:tcPr>
          <w:p>
            <w:pPr>
              <w:widowControl/>
              <w:spacing w:after="100"/>
              <w:ind w:firstLine="0" w:firstLineChars="0" w:left="0" w:right="0" w:leftChars="0" w:rightChars="0"/>
              <w:jc w:val="left"/>
            </w:pPr>
            <w:r>
              <w:rPr>
                <w:sz w:val="19"/>
                <w:szCs w:val="19"/>
              </w:rPr>
              <w:t xml:space="preserve">直接关联的父母性别差异</w:t>
            </w:r>
          </w:p>
        </w:tc>
        <w:tc>
          <w:tcPr>
            <w:tcW w:w="5300" w:type="dxa"/>
            <w:vAlign w:val="center"/>
          </w:tcPr>
          <w:p>
            <w:pPr>
              <w:widowControl/>
              <w:spacing w:after="100"/>
              <w:ind w:firstLine="0" w:firstLineChars="0" w:left="0" w:right="0" w:leftChars="0" w:rightChars="0"/>
              <w:jc w:val="left"/>
            </w:pPr>
            <w:r>
              <w:rPr>
                <w:sz w:val="19"/>
                <w:szCs w:val="19"/>
              </w:rPr>
              <w:t xml:space="preserve">本轮未检验</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H3.2</w:t>
            </w:r>
          </w:p>
        </w:tc>
        <w:tc>
          <w:tcPr>
            <w:tcW w:w="2700" w:type="dxa"/>
            <w:vAlign w:val="center"/>
          </w:tcPr>
          <w:p>
            <w:pPr>
              <w:widowControl/>
              <w:spacing w:after="100"/>
              <w:ind w:firstLine="0" w:firstLineChars="0" w:left="0" w:right="0" w:leftChars="0" w:rightChars="0"/>
              <w:jc w:val="left"/>
            </w:pPr>
            <w:r>
              <w:rPr>
                <w:sz w:val="19"/>
                <w:szCs w:val="19"/>
              </w:rPr>
              <w:t xml:space="preserve">调节关联的父母性别差异</w:t>
            </w:r>
          </w:p>
        </w:tc>
        <w:tc>
          <w:tcPr>
            <w:tcW w:w="5300" w:type="dxa"/>
            <w:vAlign w:val="center"/>
          </w:tcPr>
          <w:p>
            <w:pPr>
              <w:widowControl/>
              <w:spacing w:after="100"/>
              <w:ind w:firstLine="0" w:firstLineChars="0" w:left="0" w:right="0" w:leftChars="0" w:rightChars="0"/>
              <w:jc w:val="left"/>
            </w:pPr>
            <w:r>
              <w:rPr>
                <w:sz w:val="19"/>
                <w:szCs w:val="19"/>
              </w:rPr>
              <w:t xml:space="preserve">本轮未检验</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H4.1a</w:t>
            </w:r>
          </w:p>
        </w:tc>
        <w:tc>
          <w:tcPr>
            <w:tcW w:w="2700" w:type="dxa"/>
            <w:vAlign w:val="center"/>
          </w:tcPr>
          <w:p>
            <w:pPr>
              <w:widowControl/>
              <w:spacing w:after="100"/>
              <w:ind w:firstLine="0" w:firstLineChars="0" w:left="0" w:right="0" w:leftChars="0" w:rightChars="0"/>
              <w:jc w:val="left"/>
            </w:pPr>
            <w:r>
              <w:rPr>
                <w:sz w:val="19"/>
                <w:szCs w:val="19"/>
              </w:rPr>
              <w:t xml:space="preserve">资源较好者的直接关联较弱</w:t>
            </w:r>
          </w:p>
        </w:tc>
        <w:tc>
          <w:tcPr>
            <w:tcW w:w="5300" w:type="dxa"/>
            <w:vAlign w:val="center"/>
          </w:tcPr>
          <w:p>
            <w:pPr>
              <w:widowControl/>
              <w:spacing w:after="100"/>
              <w:ind w:firstLine="0" w:firstLineChars="0" w:left="0" w:right="0" w:leftChars="0" w:rightChars="0"/>
              <w:jc w:val="left"/>
            </w:pPr>
            <w:r>
              <w:rPr>
                <w:sz w:val="19"/>
                <w:szCs w:val="19"/>
              </w:rPr>
              <w:t xml:space="preserve">本轮未检验</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H4.1b</w:t>
            </w:r>
          </w:p>
        </w:tc>
        <w:tc>
          <w:tcPr>
            <w:tcW w:w="2700" w:type="dxa"/>
            <w:vAlign w:val="center"/>
          </w:tcPr>
          <w:p>
            <w:pPr>
              <w:widowControl/>
              <w:spacing w:after="100"/>
              <w:ind w:firstLine="0" w:firstLineChars="0" w:left="0" w:right="0" w:leftChars="0" w:rightChars="0"/>
              <w:jc w:val="left"/>
            </w:pPr>
            <w:r>
              <w:rPr>
                <w:sz w:val="19"/>
                <w:szCs w:val="19"/>
              </w:rPr>
              <w:t xml:space="preserve">资源较好者的直接关联较强</w:t>
            </w:r>
          </w:p>
        </w:tc>
        <w:tc>
          <w:tcPr>
            <w:tcW w:w="5300" w:type="dxa"/>
            <w:vAlign w:val="center"/>
          </w:tcPr>
          <w:p>
            <w:pPr>
              <w:widowControl/>
              <w:spacing w:after="100"/>
              <w:ind w:firstLine="0" w:firstLineChars="0" w:left="0" w:right="0" w:leftChars="0" w:rightChars="0"/>
              <w:jc w:val="left"/>
            </w:pPr>
            <w:r>
              <w:rPr>
                <w:sz w:val="19"/>
                <w:szCs w:val="19"/>
              </w:rPr>
              <w:t xml:space="preserve">本轮未检验</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H4.2a</w:t>
            </w:r>
          </w:p>
        </w:tc>
        <w:tc>
          <w:tcPr>
            <w:tcW w:w="2700" w:type="dxa"/>
            <w:vAlign w:val="center"/>
          </w:tcPr>
          <w:p>
            <w:pPr>
              <w:widowControl/>
              <w:spacing w:after="100"/>
              <w:ind w:firstLine="0" w:firstLineChars="0" w:left="0" w:right="0" w:leftChars="0" w:rightChars="0"/>
              <w:jc w:val="left"/>
            </w:pPr>
            <w:r>
              <w:rPr>
                <w:sz w:val="19"/>
                <w:szCs w:val="19"/>
              </w:rPr>
              <w:t xml:space="preserve">资源较好者的同向调节幅度较小</w:t>
            </w:r>
          </w:p>
        </w:tc>
        <w:tc>
          <w:tcPr>
            <w:tcW w:w="5300" w:type="dxa"/>
            <w:vAlign w:val="center"/>
          </w:tcPr>
          <w:p>
            <w:pPr>
              <w:widowControl/>
              <w:spacing w:after="100"/>
              <w:ind w:firstLine="0" w:firstLineChars="0" w:left="0" w:right="0" w:leftChars="0" w:rightChars="0"/>
              <w:jc w:val="left"/>
            </w:pPr>
            <w:r>
              <w:rPr>
                <w:sz w:val="19"/>
                <w:szCs w:val="19"/>
              </w:rPr>
              <w:t xml:space="preserve">仅限观测2012年SD。教育：未执行（阶段延期）；城乡：未执行（阶段延期）；有无个人收入：未执行（阶段延期）。其他差异指标未检验。</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H4.2b</w:t>
            </w:r>
          </w:p>
        </w:tc>
        <w:tc>
          <w:tcPr>
            <w:tcW w:w="2700" w:type="dxa"/>
            <w:vAlign w:val="center"/>
          </w:tcPr>
          <w:p>
            <w:pPr>
              <w:widowControl/>
              <w:spacing w:after="100"/>
              <w:ind w:firstLine="0" w:firstLineChars="0" w:left="0" w:right="0" w:leftChars="0" w:rightChars="0"/>
              <w:jc w:val="left"/>
            </w:pPr>
            <w:r>
              <w:rPr>
                <w:sz w:val="19"/>
                <w:szCs w:val="19"/>
              </w:rPr>
              <w:t xml:space="preserve">资源较好者的同向调节幅度较大</w:t>
            </w:r>
          </w:p>
        </w:tc>
        <w:tc>
          <w:tcPr>
            <w:tcW w:w="5300" w:type="dxa"/>
            <w:vAlign w:val="center"/>
          </w:tcPr>
          <w:p>
            <w:pPr>
              <w:widowControl/>
              <w:spacing w:after="100"/>
              <w:ind w:firstLine="0" w:firstLineChars="0" w:left="0" w:right="0" w:leftChars="0" w:rightChars="0"/>
              <w:jc w:val="left"/>
            </w:pPr>
            <w:r>
              <w:rPr>
                <w:sz w:val="19"/>
                <w:szCs w:val="19"/>
              </w:rPr>
              <w:t xml:space="preserve">仅限观测2012年SD。教育：未执行（阶段延期）；城乡：未执行（阶段延期）；有无个人收入：未执行（阶段延期）。其他差异指标未检验。</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H5.1</w:t>
            </w:r>
          </w:p>
        </w:tc>
        <w:tc>
          <w:tcPr>
            <w:tcW w:w="2700" w:type="dxa"/>
            <w:vAlign w:val="center"/>
          </w:tcPr>
          <w:p>
            <w:pPr>
              <w:widowControl/>
              <w:spacing w:after="100"/>
              <w:ind w:firstLine="0" w:firstLineChars="0" w:left="0" w:right="0" w:leftChars="0" w:rightChars="0"/>
              <w:jc w:val="left"/>
            </w:pPr>
            <w:r>
              <w:rPr>
                <w:sz w:val="19"/>
                <w:szCs w:val="19"/>
              </w:rPr>
              <w:t xml:space="preserve">基期、跨期与变化之间的直接关联</w:t>
            </w:r>
          </w:p>
        </w:tc>
        <w:tc>
          <w:tcPr>
            <w:tcW w:w="5300" w:type="dxa"/>
            <w:vAlign w:val="center"/>
          </w:tcPr>
          <w:p>
            <w:pPr>
              <w:widowControl/>
              <w:spacing w:after="100"/>
              <w:ind w:firstLine="0" w:firstLineChars="0" w:left="0" w:right="0" w:leftChars="0" w:rightChars="0"/>
              <w:jc w:val="left"/>
            </w:pPr>
            <w:r>
              <w:rPr>
                <w:sz w:val="19"/>
                <w:szCs w:val="19"/>
              </w:rPr>
              <w:t xml:space="preserve">部分检验；目前仅基期负向关联明确，不能判为三类关系同时成立</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H5.2</w:t>
            </w:r>
          </w:p>
        </w:tc>
        <w:tc>
          <w:tcPr>
            <w:tcW w:w="2700" w:type="dxa"/>
            <w:vAlign w:val="center"/>
          </w:tcPr>
          <w:p>
            <w:pPr>
              <w:widowControl/>
              <w:spacing w:after="100"/>
              <w:ind w:firstLine="0" w:firstLineChars="0" w:left="0" w:right="0" w:leftChars="0" w:rightChars="0"/>
              <w:jc w:val="left"/>
            </w:pPr>
            <w:r>
              <w:rPr>
                <w:sz w:val="19"/>
                <w:szCs w:val="19"/>
              </w:rPr>
              <w:t xml:space="preserve">不同时间组合的调节关联</w:t>
            </w:r>
          </w:p>
        </w:tc>
        <w:tc>
          <w:tcPr>
            <w:tcW w:w="5300" w:type="dxa"/>
            <w:vAlign w:val="center"/>
          </w:tcPr>
          <w:p>
            <w:pPr>
              <w:widowControl/>
              <w:spacing w:after="100"/>
              <w:ind w:firstLine="0" w:firstLineChars="0" w:left="0" w:right="0" w:leftChars="0" w:rightChars="0"/>
              <w:jc w:val="left"/>
            </w:pPr>
            <w:r>
              <w:rPr>
                <w:sz w:val="19"/>
                <w:szCs w:val="19"/>
              </w:rPr>
              <w:t xml:space="preserve">部分操作化；只考察SX×IZ→SY，其余组合未检验</w:t>
            </w:r>
          </w:p>
        </w:tc>
      </w:tr>
    </w:tbl>
    <w:p>
      <w:pPr>
        <w:pStyle w:val="affe"/>
        <w:keepNext/>
        <w:widowControl/>
        <w:spacing w:after="100"/>
      </w:pPr>
      <w:r>
        <w:t xml:space="preserve">讨论</w:t>
      </w:r>
    </w:p>
    <w:p>
      <w:pPr>
        <w:widowControl/>
        <w:spacing w:after="100"/>
      </w:pPr>
      <w:r>
        <w:t xml:space="preserve">本研究区分了家庭总体亲近度、对不同子女的相对评价以及这些特征的时间变化。在当前可采用的父工作模型下，基期亲近度与基期抑郁的负向关联与理论预期相容；变化之间的估计则较为宽泛。基期关联不能替代动态变化关联，更不能由观察性轨迹直接推断改善关系的干预效果。</w:t>
      </w:r>
    </w:p>
    <w:p>
      <w:pPr>
        <w:widowControl/>
        <w:spacing w:after="100"/>
      </w:pPr>
      <w:r>
        <w:t xml:space="preserve">潜在初始差异调节未取得可合并估计。观测基期差异调节按阶段计划延期，尚未执行。三项SD资源差异尚未执行，H4.2b未完成正式统计检验。</w:t>
      </w:r>
    </w:p>
    <w:p>
      <w:pPr>
        <w:widowControl/>
        <w:spacing w:after="100"/>
      </w:pPr>
      <w:r>
        <w:t xml:space="preserve">家内差异的含义取决于其操作化。本研究的标准差先除以同波均值，衡量相对分散；性别差和排行差也按同波均值相对化。它们与总体亲近度共享评分来源和分母，不能把比值的变化全部归为绝对分散或绝对关系质量的变化，也不直接测量矛盾心理、家庭冲突或资源协商。多期潜在初始状态与实际基期观测状态并不相同。解释结果时应保留这些区别，不能将较小的儿子—女儿差值直接写成父母与儿子绝对疏远。</w:t>
      </w:r>
    </w:p>
    <w:p>
      <w:pPr>
        <w:widowControl/>
        <w:spacing w:after="100"/>
      </w:pPr>
      <w:r>
        <w:t xml:space="preserve">模型分解本身具有实质影响：允许同期剩余关联后，合法的长期变化分解可以得到，但这没有唯一识别先前负方差的来源。C1与SW同时改变零残差限制和同波关联；附表A8的固定残差剖面只在第一份MI和C1结构中计算，是敏感性描述，不是SW残差方差的置信集合，也不用于挑选使P值最小的约束。</w:t>
      </w:r>
    </w:p>
    <w:p>
      <w:pPr>
        <w:widowControl/>
        <w:spacing w:after="100"/>
      </w:pPr>
      <w:r>
        <w:t xml:space="preserve">本研究有几项具体限制。样本要求基期年龄大于60岁、多子女亲近度回答及后续观测，死亡、代答、未追访和结构性资格变化可能影响代表性。四类家内差异在各自基期资格样本中有74.4%—76.4%的有效记录在标准化前取零值（附表A4），亲近度本身为有界等级评分；连续潜增长和LMS的分布近似因此需要谨慎。零值集中不能单独确定负方差的来源，也不是无调节的证据。现有协变量插补尚未证明与潜交互相容，且跨期测量不变性、自由Y形状、其他量尺和四期窗口没有在本轮完成。当前区间也不包含模型选择不确定性。</w:t>
      </w:r>
    </w:p>
    <w:p>
      <w:pPr>
        <w:widowControl/>
        <w:spacing w:after="100"/>
      </w:pPr>
      <w:r>
        <w:t xml:space="preserve">上述范围限定允许将可报告关联、估计不精确和暂未取得可辩护估计的研究问题分开。当前证据不支持把全部家内差异假设统一宣布为已验证或已被否定；社会政策讨论应限于识别需要进一步研究的家庭关系维度，不能据这些系数承诺治理或干预收益。</w:t>
      </w:r>
    </w:p>
    <w:p>
      <w:pPr>
        <w:pStyle w:val="affe"/>
        <w:keepNext/>
        <w:widowControl/>
        <w:spacing w:after="100"/>
      </w:pPr>
      <w:r>
        <w:t xml:space="preserve">参考文献</w:t>
      </w:r>
    </w:p>
    <w:p>
      <w:pPr>
        <w:widowControl/>
        <w:spacing w:after="100"/>
      </w:pPr>
      <w:r>
        <w:t xml:space="preserve">Aneshensel Carol S.、Frerichs Ralph R.、Clark Virginia A.（1981）。Family roles and sex differences in depression。Journal of Health and Social Behavior，22，4，379-393，[American Sociological Association, Sage Publications, Inc.]。https://doi.org/10.2307/2136679</w:t>
      </w:r>
    </w:p>
    <w:p>
      <w:pPr>
        <w:widowControl/>
        <w:spacing w:after="100"/>
      </w:pPr>
      <w:r>
        <w:t xml:space="preserve">Bartlett J. W.、Seaman S. R.、White I. R.、Carpenter J. R.，for the Alzheimer's Disease Neuroimaging Initiative（2015）。Multiple imputation of covariates by fully conditional specification: Accommodating the substantive model。Statistical Methods in Medical Research，24(4)，462–487。https://doi.org/10.1177/0962280214521348</w:t>
      </w:r>
    </w:p>
    <w:p>
      <w:pPr>
        <w:widowControl/>
        <w:spacing w:after="100"/>
      </w:pPr>
      <w:r>
        <w:t xml:space="preserve">Boyle Michael H.、Jenkins Jennifer M.、Georgiades Katholiki、Cairney John、Duku Eric、Racine Yvonne（2004）。Differential-Maternal Parenting Behavior: Estimating Within- and Between-Family Effects on Children。Child Development，75，5，1457-1476，[Wiley, Society for Research in Child Development]</w:t>
      </w:r>
    </w:p>
    <w:p>
      <w:pPr>
        <w:widowControl/>
        <w:spacing w:after="100"/>
      </w:pPr>
      <w:r>
        <w:t xml:space="preserve">Carr Deborah、Utz Rebecca L.（2020）。Families in Later Life: A Decade in Review。Journal of Marriage and Family，82，1，346-363。https://doi.org/10.1111/jomf.12609</w:t>
      </w:r>
    </w:p>
    <w:p>
      <w:pPr>
        <w:widowControl/>
        <w:spacing w:after="100"/>
      </w:pPr>
      <w:r>
        <w:t xml:space="preserve">Chen Jia、Chen Mengni（2024）。Trajectories of intergenerational emotional closeness in multi-child aging families in China。Research on Aging，46，5-6，314-326。https://doi.org/10.1177/01640275241229683</w:t>
      </w:r>
    </w:p>
    <w:p>
      <w:pPr>
        <w:widowControl/>
        <w:spacing w:after="100"/>
      </w:pPr>
      <w:r>
        <w:t xml:space="preserve">Chen Jia、Zhou Xiaochen（2021a）。Within-family patterns of intergenerational emotional closeness and psychological well-being of older parents in China。Aging &amp; Mental Health，25，4，711-719。https://doi.org/10.1080/13607863.2020.1711867</w:t>
      </w:r>
    </w:p>
    <w:p>
      <w:pPr>
        <w:widowControl/>
        <w:spacing w:after="100"/>
      </w:pPr>
      <w:r>
        <w:t xml:space="preserve">Chen Jia、Zhou Xiaochen、Lu Nan（2021b）。Providing instrumental support to older parents of multi-child families in China: are there different within-family patterns?。Ageing and Society，41，8，1770-1787。https://doi.org/10.1017/S0144686X21000283</w:t>
      </w:r>
    </w:p>
    <w:p>
      <w:pPr>
        <w:widowControl/>
        <w:spacing w:after="100"/>
      </w:pPr>
      <w:r>
        <w:t xml:space="preserve">Cheong JeeWon、MacKinnon David P.、Khoo Siek Toon（2003）。Investigation of mediational processes using parallel process latent growth curve modeling。Structural equation modeling : a multidisciplinary journal，10，2，238。https://doi.org/10.1207/S15328007SEM1002_5</w:t>
      </w:r>
    </w:p>
    <w:p>
      <w:pPr>
        <w:widowControl/>
        <w:spacing w:after="100"/>
      </w:pPr>
      <w:r>
        <w:t xml:space="preserve">Cong Zhen、Silverstein Merril（2012）。Caring for grandchildren and intergenerational support in rural China: a gendered extended family perspective。Ageing &amp; Society，32，3，425-450。https://doi.org/10.1017/S0144686X11000420</w:t>
      </w:r>
    </w:p>
    <w:p>
      <w:pPr>
        <w:widowControl/>
        <w:spacing w:after="100"/>
      </w:pPr>
      <w:r>
        <w:t xml:space="preserve">Connidis Ingrid Arnet（2015）。Exploring Ambivalence in Family Ties: Progress and Prospects。Journal of Marriage and Family，77，1，77-95。https://doi.org/10.1111/jomf.12150</w:t>
      </w:r>
    </w:p>
    <w:p>
      <w:pPr>
        <w:widowControl/>
        <w:spacing w:after="100"/>
      </w:pPr>
      <w:r>
        <w:t xml:space="preserve">Corso Annalisa Rossi Del、Lanz Margherita（2013）。Felt obligation and the family life cycle: A study on intergenerational relationships。International Journal of Psychology，48，6，1196-1200。https://doi.org/10.1080/00207594.2012.725131</w:t>
      </w:r>
    </w:p>
    <w:p>
      <w:pPr>
        <w:widowControl/>
        <w:spacing w:after="100"/>
      </w:pPr>
      <w:r>
        <w:t xml:space="preserve">Costa-Cordella Stefanella、Arevalo-Romero Camilo、Parada Francisco J.、Rossi Alejandra（2021）。Social support and cognition: A systematic review。Frontiers in Psychology，12，Frontiers。https://doi.org/10.3389/fpsyg.2021.637060</w:t>
      </w:r>
    </w:p>
    <w:p>
      <w:pPr>
        <w:widowControl/>
        <w:spacing w:after="100"/>
      </w:pPr>
      <w:r>
        <w:t xml:space="preserve">Curran Patrick J.、Obeidat Khawla、Losardo Diane（2010）。Twelve frequently asked questions about growth curve modeling。Journal of cognition and development : official journal of the Cognitive Development Society，11，2，121-136。https://doi.org/10.1080/15248371003699969</w:t>
      </w:r>
    </w:p>
    <w:p>
      <w:pPr>
        <w:widowControl/>
        <w:spacing w:after="100"/>
      </w:pPr>
      <w:r>
        <w:t xml:space="preserve">Davey A.、Eggebeen D. J.（1998）。Patterns of intergenerational exchange and mental health。The Journals of Gerontology Series B: Psychological Sciences and Social Sciences，53B，2，P86-P95。https://doi.org/10.1093/geronb/53B.2.P86</w:t>
      </w:r>
    </w:p>
    <w:p>
      <w:pPr>
        <w:widowControl/>
        <w:spacing w:after="100"/>
      </w:pPr>
      <w:r>
        <w:t xml:space="preserve">Duncan Terry E.、Duncan Susan C.（2009）。The ABC's of LGM: An introductory guide to latent variable growth curve modeling。Social and Personality Psychology Compass，3，6，979-991。https://doi.org/10.1111/j.1751-9004.2009.00224.x</w:t>
      </w:r>
    </w:p>
    <w:p>
      <w:pPr>
        <w:widowControl/>
        <w:spacing w:after="100"/>
      </w:pPr>
      <w:r>
        <w:t xml:space="preserve">Duncan Terry E.、Duncan Susan C.、Strycker Lisa A.（2011）。An introduction to latent variable growth curve modeling: concepts, issues, and applications。，Psychology Press, Taylor &amp; Francis Group</w:t>
      </w:r>
    </w:p>
    <w:p>
      <w:pPr>
        <w:widowControl/>
        <w:spacing w:after="100"/>
      </w:pPr>
      <w:r>
        <w:t xml:space="preserve">El-Sheikh Mona、Shimizu Mina、Erath Stephen A.、Philbrook Lauren E.、Hinnant J. Benjamin（2019）。Dynamic patterns of marital conflict: Relations to trajectories of adolescent adjustment.。Developmental Psychology，55，8，1720-1732。https://doi.org/10.1037/dev0000746</w:t>
      </w:r>
    </w:p>
    <w:p>
      <w:pPr>
        <w:widowControl/>
        <w:spacing w:after="100"/>
      </w:pPr>
      <w:r>
        <w:t xml:space="preserve">Elliott Sinikka、Powell Rachel、Brenton Joslyn（2015）。Being a good mom: Low-income, black single mothers negotiate intensive mothering。Journal of Family Issues，36，3，351-370，SAGE Publications Inc。https://doi.org/10.1177/0192513X13490279</w:t>
      </w:r>
    </w:p>
    <w:p>
      <w:pPr>
        <w:widowControl/>
        <w:spacing w:after="100"/>
      </w:pPr>
      <w:r>
        <w:t xml:space="preserve">Fingerman K. L.、Pitzer L.、Lefkowitz E. S.、Birditt K. S.、Mroczek D.（2008）。Ambivalent Relationship Qualities Between Adults and Their Parents: Implications for the Well-Being of Both Parties。The Journals of Gerontology Series B: Psychological Sciences and Social Sciences，63，6，P362-P371。https://doi.org/10.1093/geronb/63.6.P362</w:t>
      </w:r>
    </w:p>
    <w:p>
      <w:pPr>
        <w:widowControl/>
        <w:spacing w:after="100"/>
      </w:pPr>
      <w:r>
        <w:t xml:space="preserve">Fischer Kevin A.、Klein Andreas G.、Reinecke Jost（2019）。Nonlongitudinal estimation of growth curve parameters: The cohort growth model。Structural Equation Modeling: A Multidisciplinary Journal，26，3，402-417，Routledge。https://doi.org/10.1080/10705511.2018.1533834</w:t>
      </w:r>
    </w:p>
    <w:p>
      <w:pPr>
        <w:widowControl/>
        <w:spacing w:after="100"/>
      </w:pPr>
      <w:r>
        <w:t xml:space="preserve">Ji Yingchun、Wang Huiguang、Liu Yue、Xu Ruonan、Zheng Zhenzhen（2020）。Young women’s fertility intentions and the emerging bilateral family system under China’s two-child family planning policy。China Review，20，2，113-142，The Chinese University of Hong Kong Press</w:t>
      </w:r>
    </w:p>
    <w:p>
      <w:pPr>
        <w:widowControl/>
        <w:spacing w:after="100"/>
      </w:pPr>
      <w:r>
        <w:t xml:space="preserve">Johansson Lena、Guo Xinxin、Waern Margda、Östling Svante、Gustafson Deborah、Bengtsson Calle、Skoog Ingmar（2010）。Midlife psychological stress and risk of dementia: A 35-year longitudinal population study。Brain，133，8，2217-2224。https://doi.org/10.1093/brain/awq116</w:t>
      </w:r>
    </w:p>
    <w:p>
      <w:pPr>
        <w:widowControl/>
        <w:spacing w:after="100"/>
      </w:pPr>
      <w:r>
        <w:t xml:space="preserve">Kessler Ronald C.、McLeod Jane D.（1984）。Sex differences in vulnerability to undesirable life events。American Sociological Review，49，5，620-631，[American Sociological Association, Sage Publications, Inc.]。https://doi.org/10.2307/2095420</w:t>
      </w:r>
    </w:p>
    <w:p>
      <w:pPr>
        <w:widowControl/>
        <w:spacing w:after="100"/>
      </w:pPr>
      <w:r>
        <w:t xml:space="preserve">Kim Kyungmin、Birditt Kira S.、Zarit Steven H.、Fingerman Karen L.（2020）。Typology of parent-child ties within families: Associations with psychological well-being。Journal of family psychology: JFP: journal of the Division of Family Psychology of the American Psychological Association (Division 43)，34，4，448-458。https://doi.org/10.1037/fam0000595</w:t>
      </w:r>
    </w:p>
    <w:p>
      <w:pPr>
        <w:widowControl/>
        <w:spacing w:after="100"/>
      </w:pPr>
      <w:r>
        <w:t xml:space="preserve">Kim Kyungmin、Fingerman Karen L.、Birditt Kira S.、Zarit Steven H.（2016）。Capturing Between- and Within-Family Differences in Parental Support to Adult Children: A Typology Approach。The Journals of Gerontology Series B: Psychological Sciences and Social Sciences，71，6，1034-1045。https://doi.org/10.1093/geronb/gbv029</w:t>
      </w:r>
    </w:p>
    <w:p>
      <w:pPr>
        <w:widowControl/>
        <w:spacing w:after="100"/>
      </w:pPr>
      <w:r>
        <w:t xml:space="preserve">Lee Hyo Jung、Szinovacz Maximiliane E.（2016）。Positive, Negative, and Ambivalent Interactions With Family and Friends: Associations With Well-being。Journal of Marriage and Family，78，3，660-679。https://doi.org/10.1111/jomf.12302</w:t>
      </w:r>
    </w:p>
    <w:p>
      <w:pPr>
        <w:widowControl/>
        <w:spacing w:after="100"/>
      </w:pPr>
      <w:r>
        <w:t xml:space="preserve">Lendon Jessica P.、Silverstein Merril、Giarrusso Roseann（2014）。Ambivalence in Older Parent–Adult Child Relationships: Mixed Feelings, Mixed Measures。Journal of Marriage and Family，76，2，272-284。https://doi.org/10.1111/jomf.12101</w:t>
      </w:r>
    </w:p>
    <w:p>
      <w:pPr>
        <w:widowControl/>
        <w:spacing w:after="100"/>
      </w:pPr>
      <w:r>
        <w:t xml:space="preserve">Li Ting、Zhang Yang（2023）。Intergenerational Relationships Across Multiple Children and Older Parents’ Depressive Symptoms in China—A Resource Contingency Perspective。The Journals of Gerontology: Series B，78，5，925-937。https://doi.org/10.1093/geronb/gbad004</w:t>
      </w:r>
    </w:p>
    <w:p>
      <w:pPr>
        <w:widowControl/>
        <w:spacing w:after="100"/>
      </w:pPr>
      <w:r>
        <w:t xml:space="preserve">Lim-Soh Jeremy、Kim Dahye、Kim Kyungmin（2024）。Within-family differences in intergenerational contact: The role of gender norms in a patrilineal society。Research on Aging，46，3-4，258-270，SAGE Publications Inc。https://doi.org/10.1177/01640275231225379</w:t>
      </w:r>
    </w:p>
    <w:p>
      <w:pPr>
        <w:widowControl/>
        <w:spacing w:after="100"/>
      </w:pPr>
      <w:r>
        <w:t xml:space="preserve">Lim‐Soh Jeremy、Kim Dahye、Kim Kyungmin（2025）。Gendered patterns of intergenerational contact in korea: Transitions from young‐old to middle‐old。Journal of Marriage and Family，87，1，74-91</w:t>
      </w:r>
    </w:p>
    <w:p>
      <w:pPr>
        <w:widowControl/>
        <w:spacing w:after="100"/>
      </w:pPr>
      <w:r>
        <w:t xml:space="preserve">Mudrazija Stipica（2013）。The balance of intergenerational family transfers: A life-cycle perspective。European Journal of Ageing，11，3，249-259。https://doi.org/10.1007/s10433-013-0302-8</w:t>
      </w:r>
    </w:p>
    <w:p>
      <w:pPr>
        <w:widowControl/>
        <w:spacing w:after="100"/>
      </w:pPr>
      <w:r>
        <w:t xml:space="preserve">Nomaguchi Kei M.（2012）。Parenthood and psychological well-being: Clarifying the role of child age and parent-child relationship quality。Social science research，41，2，489-498。https://doi.org/10.1016/j.ssresearch.2011.08.001</w:t>
      </w:r>
    </w:p>
    <w:p>
      <w:pPr>
        <w:widowControl/>
        <w:spacing w:after="100"/>
      </w:pPr>
      <w:r>
        <w:t xml:space="preserve">Peng Siyun、Suitor J Jill、Gilligan Megan（2018）。The long arm of maternal differential treatment: Effects of recalled and current favoritism on adult children’s psychological well-being。The Journals of Gerontology: Series B，73，6，1123-1132。https://doi.org/10.1093/geronb/gbw105</w:t>
      </w:r>
    </w:p>
    <w:p>
      <w:pPr>
        <w:widowControl/>
        <w:spacing w:after="100"/>
      </w:pPr>
      <w:r>
        <w:t xml:space="preserve">Pillemer Karl、Suitor J. Jill（2002）。Explaining Mothers' Ambivalence Toward Their Adult Children。Journal of Marriage and Family，64，3，602-613。https://doi.org/10.1111/j.1741-3737.2002.00602.x</w:t>
      </w:r>
    </w:p>
    <w:p>
      <w:pPr>
        <w:widowControl/>
        <w:spacing w:after="100"/>
      </w:pPr>
      <w:r>
        <w:t xml:space="preserve">Raudenbush S. W.、Chan W.-S.（1992）。Growth Curve Analysis in Accelerated Longitudinal Designs。Journal of Research in Crime and Delinquency，29(4)，387–411。https://doi.org/10.1177/0022427892029004001</w:t>
      </w:r>
    </w:p>
    <w:p>
      <w:pPr>
        <w:widowControl/>
        <w:spacing w:after="100"/>
      </w:pPr>
      <w:r>
        <w:t xml:space="preserve">Shankar Aparna、Hamer Mark、McMunn Anne、Steptoe Andrew（2013）。Social isolation and loneliness: Relationships with cognitive function during 4 years of follow-up in the English longitudinal study of ageing。Psychosomatic Medicine，75，2，161-170。https://doi.org/10.1097/PSY.0b013e31827f09cd</w:t>
      </w:r>
    </w:p>
    <w:p>
      <w:pPr>
        <w:widowControl/>
        <w:spacing w:after="100"/>
      </w:pPr>
      <w:r>
        <w:t xml:space="preserve">Silverstein Merril、Bengtson Vern L.（1997）。Intergenerational Solidarity and the Structure of Adult Child–Parent Relationships in American Families。American Journal of Sociology，103，2，429-60，The University of Chicago Press。https://doi.org/10.1086/231213</w:t>
      </w:r>
    </w:p>
    <w:p>
      <w:pPr>
        <w:widowControl/>
        <w:spacing w:after="100"/>
      </w:pPr>
      <w:r>
        <w:t xml:space="preserve">Suitor J Jill、Gilligan Megan、Peng Siyun、Jung Jong Hyun、Pillemer Karl（2017）。Role of perceived maternal favoritism and disfavoritism in adult children’s psychological well-being。The Journals of Gerontology: Series B，72，6，1054-1066。https://doi.org/10.1093/geronb/gbv089</w:t>
      </w:r>
    </w:p>
    <w:p>
      <w:pPr>
        <w:widowControl/>
        <w:spacing w:after="100"/>
      </w:pPr>
      <w:r>
        <w:t xml:space="preserve">Suitor J Jill、Gilligan Megan、Pillemer Karl、Fingerman Karen L、Kim Kyungmin、Silverstein Merril、Bengtson Vern L（2018）。Applying within-family differences approaches to enhance understanding of the complexity of intergenerational relations。The Journals of Gerontology: Series B，73，1，40-53。https://doi.org/10.1093/geronb/gbx037</w:t>
      </w:r>
    </w:p>
    <w:p>
      <w:pPr>
        <w:widowControl/>
        <w:spacing w:after="100"/>
      </w:pPr>
      <w:r>
        <w:t xml:space="preserve">Suitor J Jill、Sechrist Jori、Plikuhn Mari、Pardo Seth、Pillemer Karl（2008）。Within-Family Differences in Parent–Child Relations Across the Life Course。Current Directions in Psychological Science - CURR DIRECTIONS PSYCHOL SCI，17，334-338。https://doi.org/10.1111/j.1467-8721.2008.00601.x</w:t>
      </w:r>
    </w:p>
    <w:p>
      <w:pPr>
        <w:widowControl/>
        <w:spacing w:after="100"/>
      </w:pPr>
      <w:r>
        <w:t xml:space="preserve">Suitor J. Jill、Gilligan Megan、Frase Robert T.、He Ranran、Ogle Destiny（2025）。Maternal differential treatment and adult children's well-being when mothers have cognitive impairment。Journal of Marriage and Family，87，3，863-884。https://doi.org/10.1111/jomf.13069</w:t>
      </w:r>
    </w:p>
    <w:p>
      <w:pPr>
        <w:widowControl/>
        <w:spacing w:after="100"/>
      </w:pPr>
      <w:r>
        <w:t xml:space="preserve">Suitor J. Jill、Gilligan Megan、Pillemer Karl（2013）。Continuity and change in mothers' favoritism toward offspring in adulthood。Journal of Marriage and Family，75，5，1229-1247。https://doi.org/10.1111/jomf.12067</w:t>
      </w:r>
    </w:p>
    <w:p>
      <w:pPr>
        <w:widowControl/>
        <w:spacing w:after="100"/>
      </w:pPr>
      <w:r>
        <w:t xml:space="preserve">Thoits Peggy A.（2010）。Stress and health: Major findings and policy implications。Journal of Health and Social Behavior，51，1_suppl，S41-S53，SAGE Publications Inc。https://doi.org/10.1177/0022146510383499</w:t>
      </w:r>
    </w:p>
    <w:p>
      <w:pPr>
        <w:widowControl/>
        <w:spacing w:after="100"/>
      </w:pPr>
      <w:r>
        <w:t xml:space="preserve">Thomas Patricia A、Liu Hui、Umberson Debra（2017）。Family relationships and well-being。Innovation in Aging，1，3，igx025。https://doi.org/10.1093/geroni/igx025</w:t>
      </w:r>
    </w:p>
    <w:p>
      <w:pPr>
        <w:widowControl/>
        <w:spacing w:after="100"/>
      </w:pPr>
      <w:r>
        <w:t xml:space="preserve">Thomas Patricia A、Umberson Debra（2018）。Do older parents’ relationships with their adult children affect cognitive limitations, and does this differ for mothers and fathers?。The Journals of Gerontology: Series B，73，6，1133-1142。https://doi.org/10.1093/geronb/gbx009</w:t>
      </w:r>
    </w:p>
    <w:p>
      <w:pPr>
        <w:widowControl/>
        <w:spacing w:after="100"/>
      </w:pPr>
      <w:r>
        <w:t xml:space="preserve">Umberson Debra、Chen Meichu D.、House James S.、Hopkins Kristine、Slaten Ellen（1996）。The effect of social relationships on psychological well-being: Are men and women really so different?。American Sociological Review，61，5，837-857，[American Sociological Association, Sage Publications, Inc.]。https://doi.org/10.2307/2096456</w:t>
      </w:r>
    </w:p>
    <w:p>
      <w:pPr>
        <w:widowControl/>
        <w:spacing w:after="100"/>
      </w:pPr>
      <w:r>
        <w:t xml:space="preserve">Umberson Debra、Pudrovska Tetyana、Reczek Corinne（2010）。Parenthood, childlessness, and well-being: A life course perspective。Journal of Marriage and Family，72，3，612-629。https://doi.org/10.1111/j.1741-3737.2010.00721.x</w:t>
      </w:r>
    </w:p>
    <w:p>
      <w:pPr>
        <w:widowControl/>
        <w:spacing w:after="100"/>
      </w:pPr>
      <w:r>
        <w:t xml:space="preserve">van Buuren S.、Groothuis-Oudshoorn K.（2011）。mice: Multivariate Imputation by Chained Equations in R。Journal of Statistical Software，45(3)，1–67。https://doi.org/10.18637/jss.v045.i03</w:t>
      </w:r>
    </w:p>
    <w:p>
      <w:pPr>
        <w:widowControl/>
        <w:spacing w:after="100"/>
      </w:pPr>
      <w:r>
        <w:t xml:space="preserve">Ward R.（2008）。Multiple parent-adult child relations and well-being in middle and later life.。The journals of gerontology. Series B, Psychological sciences and social sciences。https://doi.org/10.1093/GERONB/63.4.S239</w:t>
      </w:r>
    </w:p>
    <w:p>
      <w:pPr>
        <w:widowControl/>
        <w:spacing w:after="100"/>
      </w:pPr>
      <w:r>
        <w:t xml:space="preserve">Ward R. A.、Deane G.、Spitze G.（2008）。Ambivalence About Ambivalence: Reply to Pillemer and Suitor。The Journals of Gerontology Series B: Psychological Sciences and Social Sciences，63，6，S397-S398。https://doi.org/10.1093/geronb/63.6.S397</w:t>
      </w:r>
    </w:p>
    <w:p>
      <w:pPr>
        <w:widowControl/>
        <w:spacing w:after="100"/>
      </w:pPr>
      <w:r>
        <w:t xml:space="preserve">Ward Russell A.、Spitze Glenna、Deane Glenn（2009）。The More the Merrier? Multiple Parent-Adult Child Relations。Journal of Marriage and Family，71，1，161-173。https://doi.org/10.1111/j.1741-3737.2008.00587.x</w:t>
      </w:r>
    </w:p>
    <w:p>
      <w:pPr>
        <w:widowControl/>
        <w:spacing w:after="100"/>
      </w:pPr>
      <w:r>
        <w:t xml:space="preserve">Yang Jingjing、Ariela Lowenstein、Todd Jackson、Zheng Yong（2013）。Intergenerational latent solidarity class and relationship quality among Chinese: Implications for self-reported health and well-being: intergenerational latent solidarity class and relationship quality among chinese: implications for self-reported health and well-being。Acta Psychologica Sinica，45，7，811-824。https://doi.org/10.3724/SP.J.1041.2013.00811</w:t>
      </w:r>
    </w:p>
    <w:p>
      <w:pPr>
        <w:widowControl/>
        <w:spacing w:after="100"/>
      </w:pPr>
      <w:r>
        <w:t xml:space="preserve">Zhang Yang、Gong Jiaowei、Tang Tianrong、Li Ting（2025a）。Intergenerational relationships and trajectories of older parents’ cognitive functioning in multi-child families。Ageing &amp; Society，45，10，2089-2115。https://doi.org/10.1017/S0144686X24000795</w:t>
      </w:r>
    </w:p>
    <w:p>
      <w:pPr>
        <w:widowControl/>
        <w:spacing w:after="100"/>
      </w:pPr>
      <w:r>
        <w:t xml:space="preserve">Zhang Yang、Gong Jiaowei、Tang Tianrong、Li Ting（2025b）。Strategic family resilience: Health declines and intergenerational relationships in multi-child Chinese families。Social Forces，soaf214。https://doi.org/10.1093/sf/soaf214</w:t>
      </w:r>
    </w:p>
    <w:p>
      <w:pPr>
        <w:widowControl/>
        <w:spacing w:after="100"/>
      </w:pPr>
      <w:r>
        <w:t xml:space="preserve">Zhang Yan、Liu Hui（2024）。Parent-child relationship quality and older parents’ cognitive trajectories。Journal of Social and Personal Relationships，41，12，3861-3884。https://doi.org/10.1177/02654075241283974</w:t>
      </w:r>
    </w:p>
    <w:p>
      <w:pPr>
        <w:widowControl/>
        <w:spacing w:after="100"/>
      </w:pPr>
      <w:r>
        <w:t xml:space="preserve">Zhang Zhenmei（2006）。Gender differentials in cognitive impairment and decline of the oldest old in China。The Journals of Gerontology: Series B，61，2，S107-S115。https://doi.org/10.1093/geronb/61.2.S107</w:t>
      </w:r>
    </w:p>
    <w:p>
      <w:pPr>
        <w:widowControl/>
        <w:spacing w:after="100"/>
      </w:pPr>
      <w:r>
        <w:t xml:space="preserve">刘汶蓉（2021）。活在心上:转型期的家庭代际关系与孝道实践。，上海人民出版社</w:t>
      </w:r>
    </w:p>
    <w:p>
      <w:pPr>
        <w:widowControl/>
        <w:spacing w:after="100"/>
      </w:pPr>
      <w:r>
        <w:t xml:space="preserve">许琪（2015）。儿子养老还是女儿养老?基于家庭内部的比较分析。社会，35，4，199-219。https://doi.org/10.15992/j.cnki.31-1123/c.2015.04.008</w:t>
      </w:r>
    </w:p>
    <w:p>
      <w:pPr>
        <w:widowControl/>
        <w:spacing w:after="100"/>
      </w:pPr>
      <w:r>
        <w:t xml:space="preserve">费孝通（1983）。家庭结构变动中的老年赡养问题——再论中国家庭结构的变动。北京大学学报(哲学社会科学版)，3，7-16</w:t>
      </w:r>
    </w:p>
    <w:p>
      <w:pPr>
        <w:widowControl/>
        <w:spacing w:after="100"/>
      </w:pPr>
      <w:r>
        <w:t xml:space="preserve">费孝通（2011）。乡土中国 生育制度 乡土重建。，商务印书馆</w:t>
      </w:r>
    </w:p>
    <w:p>
      <w:pPr>
        <w:widowControl/>
        <w:spacing w:after="100"/>
      </w:pPr>
      <w:r>
        <w:t xml:space="preserve">陶涛、刘雯莉、李婷（2021）。长幼有序，男女有别——个体化进程中的中国家庭养老支持分工。社会学研究，36，5，25-46+226-227</w:t>
      </w:r>
    </w:p>
    <w:sectPr w:rsidR="0024700D" w:rsidSect="007D3546">
      <w:footerReference w:type="first" r:id="rIdRound2DFooter"/>
      <w:footerReference w:type="even" r:id="rIdRound2DFooter"/>
      <w:footerReference w:type="default" r:id="rIdRound2DFooter"/>
      <w:footnotePr>
        <w:numRestart w:val="eachSect"/>
      </w:footnotePr>
      <w:pgSz w:w="11906" w:h="16838"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er_round2D.xml><?xml version="1.0" encoding="utf-8"?>
<w:ftr xmlns:w="http://schemas.openxmlformats.org/wordprocessingml/2006/main">
  <w:p>
    <w:pPr>
      <w:widowControl/>
      <w:spacing w:after="100"/>
      <w:jc w:val="center"/>
    </w:pPr>
    <w:r>
      <w:t xml:space="preserve"/>
    </w:r>
    <w:r>
      <w:fldChar w:fldCharType="begin"/>
    </w:r>
    <w:r>
      <w:instrText>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Round2DFlow" Type="http://schemas.openxmlformats.org/officeDocument/2006/relationships/image" Target="media/figure1_sample_flow.png"/><Relationship Id="rIdRound2DFooter" Type="http://schemas.openxmlformats.org/officeDocument/2006/relationships/footer" Target="footer_round2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Lines>3466</Lines>
  <Paragraphs>976</Paragraphs>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2026-10-09T15:02:48Z</dcterms:created>
  <dcterms:modified xsi:type="dcterms:W3CDTF">2026-10-09T15:02:48Z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