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40" w:line="264" w:lineRule="auto"/>
        <w:jc w:val="center"/>
      </w:pPr>
      <w:r>
        <w:rPr>
          <w:rFonts w:ascii="Calibri" w:hAnsi="Calibri"/>
          <w:color w:val="000000"/>
          <w:sz w:val="22"/>
          <w:szCs w:val="22"/>
        </w:rPr>
        <w:t>Fakultät Wirtschaft</w:t>
      </w:r>
    </w:p>
    <w:p>
      <w:pPr>
        <w:spacing w:before="0" w:after="480" w:line="264" w:lineRule="auto"/>
        <w:jc w:val="center"/>
      </w:pPr>
      <w:r>
        <w:rPr>
          <w:rFonts w:ascii="Calibri" w:hAnsi="Calibri"/>
          <w:color w:val="000000"/>
          <w:sz w:val="22"/>
          <w:szCs w:val="22"/>
        </w:rPr>
        <w:t>Studiengang Wirtschaftsinformatik</w:t>
      </w:r>
    </w:p>
    <w:p>
      <w:pPr>
        <w:spacing w:before="0" w:after="80" w:line="264" w:lineRule="auto"/>
        <w:jc w:val="center"/>
      </w:pPr>
      <w:r>
        <w:rPr>
          <w:rFonts w:ascii="Calibri" w:hAnsi="Calibri"/>
          <w:b/>
          <w:color w:val="2E74B5"/>
          <w:sz w:val="44"/>
          <w:szCs w:val="44"/>
        </w:rPr>
        <w:t>ELISA-AI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/>
          <w:color w:val="000000"/>
          <w:sz w:val="32"/>
          <w:szCs w:val="32"/>
        </w:rPr>
        <w:t>Abschlussdokumentation</w:t>
      </w:r>
    </w:p>
    <w:p>
      <w:pPr>
        <w:spacing w:before="0" w:after="160" w:line="264" w:lineRule="auto"/>
        <w:jc w:val="center"/>
      </w:pPr>
      <w:r>
        <w:rPr>
          <w:rFonts w:ascii="Calibri" w:hAnsi="Calibri"/>
          <w:color w:val="000000"/>
          <w:sz w:val="24"/>
          <w:szCs w:val="24"/>
        </w:rPr>
        <w:t>Artefaktportfolio im Modul Integrationsseminar</w:t>
      </w:r>
    </w:p>
    <w:p>
      <w:pPr>
        <w:spacing w:before="0" w:after="520" w:line="264" w:lineRule="auto"/>
        <w:jc w:val="center"/>
      </w:pPr>
      <w:r>
        <w:rPr>
          <w:rFonts w:ascii="Calibri" w:hAnsi="Calibri"/>
          <w:color w:val="000000"/>
          <w:sz w:val="22"/>
          <w:szCs w:val="22"/>
        </w:rPr>
        <w:t>Im Rahmen der Prüfung zum Bachelor of Science (B. Sc.)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D9DEE7"/>
          <w:insideV w:val="single" w:sz="4" w:space="0" w:color="D9DEE7"/>
        </w:tblBorders>
      </w:tblPr>
      <w:tblGrid>
        <w:gridCol w:w="2200"/>
        <w:gridCol w:w="7160"/>
      </w:tblGrid>
      <w:tr>
        <w:tc>
          <w:tcPr>
            <w:tcW w:w="220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Feld</w:t>
            </w:r>
          </w:p>
        </w:tc>
        <w:tc>
          <w:tcPr>
            <w:tcW w:w="716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Angabe</w:t>
            </w:r>
          </w:p>
        </w:tc>
      </w:tr>
      <w:tr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Mitglieder</w:t>
            </w:r>
          </w:p>
        </w:tc>
        <w:tc>
          <w:tcPr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Daniel Sachadä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Patrick Molkenthin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Anas Haider-Mehmood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Lars Zieger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Ledejna Salihi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Sebastian Wolf</w:t>
            </w:r>
          </w:p>
        </w:tc>
      </w:tr>
      <w:tr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Stakeholder</w:t>
            </w:r>
          </w:p>
        </w:tc>
        <w:tc>
          <w:tcPr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Dennis Schulmeister-Zimolong</w:t>
            </w:r>
          </w:p>
        </w:tc>
      </w:tr>
      <w:tr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Dozentin</w:t>
            </w:r>
          </w:p>
        </w:tc>
        <w:tc>
          <w:tcPr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Prof. Dr. Katja Wengler</w:t>
            </w:r>
          </w:p>
        </w:tc>
      </w:tr>
      <w:tr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Abgabedatum</w:t>
            </w:r>
          </w:p>
        </w:tc>
        <w:tc>
          <w:tcPr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06.07.2026</w:t>
            </w:r>
          </w:p>
        </w:tc>
      </w:tr>
    </w:tbl>
    <w:p>
      <w:pPr>
        <w:spacing w:before="0" w:after="120" w:line="264" w:lineRule="auto"/>
      </w:pPr>
      <w:r>
        <w:br w:type="page"/>
      </w:r>
      <w:r>
        <w:rPr>
          <w:rFonts w:ascii="Calibri" w:hAnsi="Calibri"/>
          <w:color w:val="000000"/>
          <w:sz w:val="22"/>
          <w:szCs w:val="22"/>
        </w:rPr>
        <w:t/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  <w:szCs w:val="32"/>
        </w:rPr>
        <w:t>Inhaltsverzeichnis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D9DEE7"/>
          <w:insideV w:val="single" w:sz="4" w:space="0" w:color="D9DEE7"/>
        </w:tblBorders>
      </w:tblPr>
      <w:tblGrid>
        <w:gridCol w:w="900"/>
        <w:gridCol w:w="8460"/>
      </w:tblGrid>
      <w:tr>
        <w:tc>
          <w:tcPr>
            <w:tcW w:w="90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Nr.</w:t>
            </w:r>
          </w:p>
        </w:tc>
        <w:tc>
          <w:tcPr>
            <w:tcW w:w="846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Abschnitt</w:t>
            </w:r>
          </w:p>
        </w:tc>
      </w:tr>
      <w:t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Zweck und Leselogik</w:t>
            </w:r>
          </w:p>
        </w:tc>
      </w:tr>
      <w:t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Gesamtzustand des Proof of Concept</w:t>
            </w:r>
          </w:p>
        </w:tc>
      </w:tr>
      <w:t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8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Technischer Gesamtaufbau</w:t>
            </w:r>
          </w:p>
        </w:tc>
      </w:tr>
      <w:t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Backend-Artefakte</w:t>
            </w:r>
          </w:p>
        </w:tc>
      </w:tr>
      <w:t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8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Frontend-Artefakte</w:t>
            </w:r>
          </w:p>
        </w:tc>
      </w:tr>
      <w:t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8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Zentrale Abläufe</w:t>
            </w:r>
          </w:p>
        </w:tc>
      </w:tr>
      <w:t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8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Technische Zusatzdokumentation</w:t>
            </w:r>
          </w:p>
        </w:tc>
      </w:tr>
      <w:t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8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Bekannte offene Punkte und Empfehlungen</w:t>
            </w:r>
          </w:p>
        </w:tc>
      </w:tr>
      <w:t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8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Handover-Checkliste</w:t>
            </w:r>
          </w:p>
        </w:tc>
      </w:tr>
      <w:t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8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Kurzfazit</w:t>
            </w:r>
          </w:p>
        </w:tc>
      </w:tr>
    </w:tbl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  <w:szCs w:val="32"/>
        </w:rPr>
        <w:t>1 Zweck Und Leselogik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  <w:szCs w:val="22"/>
        </w:rPr>
        <w:t>Dieses Dokument beschreibt den technischen Ist-Zustand der studentischen ELISA-Arbeiten im OpenBook-Projekt. Es richtet sich an die nächste Projektgruppe und an Personen, die nachvollziehen müssen, welche Bausteine umgesetzt wurden und wo sie im Quellcode liegen.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  <w:szCs w:val="22"/>
        </w:rPr>
        <w:t>Die Dokumentation ersetzt kein OpenBook-Setup-Handbuch. Allgemeine Installation, Poetry, Django, Admin und OpenBook-Grundfunktionen bleiben in der bestehenden OpenBook-Dokumentation. Hier geht es um ELISA: Assistant/RAG, Learning, Gamification, Student Dashboard, Teacher-Frontend, Quiz, Exam, Games und die Übergabepunkte für die nächste Gruppe.</w:t>
      </w:r>
    </w:p>
    <w:tbl>
      <w:tblPr>
        <w:tblW w:w="9360" w:type="dxa"/>
        <w:tblInd w:w="120" w:type="dxa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</w:tblBorders>
      </w:tblPr>
      <w:tblGrid>
        <w:gridCol w:w="9360"/>
      </w:tblGrid>
      <w:tr>
        <w:tc>
          <w:tcPr>
            <w:tcW w:w="9360" w:type="dxa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Leselogik: erst Gesamtzustand lesen, dann den passenden Funktionsbereich öffnen, über die Artefakt-Tabellen die Dateien finden und zum Schluss die Handover-Hinweise als Startpunkt für die nächste Iteration verwenden.</w:t>
            </w:r>
          </w:p>
        </w:tc>
      </w:tr>
    </w:tbl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  <w:szCs w:val="32"/>
        </w:rPr>
        <w:t>2 Gesamtzustand Des Proof Of Concept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  <w:szCs w:val="22"/>
        </w:rPr>
        <w:t>ELISA liegt als breiter Proof of Concept in OpenBook vor. Der Prototyp verbindet kursbezogene KI-Unterstützung, Lernstandsverfolgung, Quiz- und Exam-Übungen, Gamification sowie getrennte Oberflächen für Studierende und Lehrende.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D9DEE7"/>
          <w:insideV w:val="single" w:sz="4" w:space="0" w:color="D9DEE7"/>
        </w:tblBorders>
      </w:tblPr>
      <w:tblGrid>
        <w:gridCol w:w="1600"/>
        <w:gridCol w:w="4300"/>
        <w:gridCol w:w="3460"/>
      </w:tblGrid>
      <w:tr>
        <w:tc>
          <w:tcPr>
            <w:tcW w:w="160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Bereich</w:t>
            </w:r>
          </w:p>
        </w:tc>
        <w:tc>
          <w:tcPr>
            <w:tcW w:w="430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Aktueller Stand</w:t>
            </w:r>
          </w:p>
        </w:tc>
        <w:tc>
          <w:tcPr>
            <w:tcW w:w="346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Übergabewert</w:t>
            </w:r>
          </w:p>
        </w:tc>
      </w:tr>
      <w:t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Assistant/RAG</w:t>
            </w:r>
          </w:p>
        </w:tc>
        <w:tc>
          <w:tcPr>
            <w:tcW w:w="4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Kursbewusster Assistant mit Orchestrator, RAG-Kontext, Prompt Builder, Quiz-/Exam-Services und Mistral-Client.</w:t>
            </w:r>
          </w:p>
        </w:tc>
        <w:tc>
          <w:tcPr>
            <w:tcW w:w="3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Grundlage für materialbezogene KI-Antworten und Aufgaben.</w:t>
            </w:r>
          </w:p>
        </w:tc>
      </w:tr>
      <w:t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Learning</w:t>
            </w:r>
          </w:p>
        </w:tc>
        <w:tc>
          <w:tcPr>
            <w:tcW w:w="4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LearningState, QuizResult, Learning-API, Kontextservice und Brücke zu Gamification.</w:t>
            </w:r>
          </w:p>
        </w:tc>
        <w:tc>
          <w:tcPr>
            <w:tcW w:w="3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Speichert Lernposition, abgeschlossene Seiten und Quiz-Ergebnisse.</w:t>
            </w:r>
          </w:p>
        </w:tc>
      </w:tr>
      <w:t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Gamification</w:t>
            </w:r>
          </w:p>
        </w:tc>
        <w:tc>
          <w:tcPr>
            <w:tcW w:w="4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Punkte, Level, Streaks, Rewards, CourseProgress, Skill-Katalog und SkillProgress.</w:t>
            </w:r>
          </w:p>
        </w:tc>
        <w:tc>
          <w:tcPr>
            <w:tcW w:w="3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Macht Lernaktivität sichtbar und belohnt Übungen.</w:t>
            </w:r>
          </w:p>
        </w:tc>
      </w:tr>
      <w:t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Dashboard</w:t>
            </w:r>
          </w:p>
        </w:tc>
        <w:tc>
          <w:tcPr>
            <w:tcW w:w="4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Svelte-5-Frontend für Kurse, Chat, Skript, Quiz, Exam, Games, Skills und Profil.</w:t>
            </w:r>
          </w:p>
        </w:tc>
        <w:tc>
          <w:tcPr>
            <w:tcW w:w="3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Zentrale Studierendenoberfläche.</w:t>
            </w:r>
          </w:p>
        </w:tc>
      </w:tr>
      <w:t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Teacher-Frontend</w:t>
            </w:r>
          </w:p>
        </w:tc>
        <w:tc>
          <w:tcPr>
            <w:tcW w:w="4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Svelte-5-Frontend für Kursliste, Kursdetails, Content-Editor, Skill-Tagging und Einschreibung.</w:t>
            </w:r>
          </w:p>
        </w:tc>
        <w:tc>
          <w:tcPr>
            <w:tcW w:w="3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Zentrale Lehrendenoberfläche für Kursarbeit.</w:t>
            </w:r>
          </w:p>
        </w:tc>
      </w:tr>
      <w:tr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Games</w:t>
            </w:r>
          </w:p>
        </w:tc>
        <w:tc>
          <w:tcPr>
            <w:tcW w:w="4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Memory, Flashcards und Hangman als Lernspiele aus Kursinhalten.</w:t>
            </w:r>
          </w:p>
        </w:tc>
        <w:tc>
          <w:tcPr>
            <w:tcW w:w="3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Zeigt spielerische Lernformate, braucht aber fachliche Schärfung.</w:t>
            </w:r>
          </w:p>
        </w:tc>
      </w:tr>
    </w:tbl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  <w:szCs w:val="32"/>
        </w:rPr>
        <w:t>3 Technischer Gesamtaufbau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  <w:szCs w:val="22"/>
        </w:rPr>
        <w:t>ELISA erweitert bestehende OpenBook-Modelle, statt eine getrennte Plattform zu bilden. Kurse, Textbooks, Textbook-Seiten, Rollen und Berechtigungen kommen aus OpenBook. ELISA ergänzt darauf eigene Apps und Frontends.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D9DEE7"/>
          <w:insideV w:val="single" w:sz="4" w:space="0" w:color="D9DEE7"/>
        </w:tblBorders>
      </w:tblPr>
      <w:tblGrid>
        <w:gridCol w:w="900"/>
        <w:gridCol w:w="8460"/>
      </w:tblGrid>
      <w:tr>
        <w:tc>
          <w:tcPr>
            <w:tcW w:w="90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Schritt</w:t>
            </w:r>
          </w:p>
        </w:tc>
        <w:tc>
          <w:tcPr>
            <w:tcW w:w="846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Datenfluss</w:t>
            </w:r>
          </w:p>
        </w:tc>
      </w:tr>
      <w:t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Lehrende erstellen oder importieren Textbook-Seiten im Teacher-Frontend.</w:t>
            </w:r>
          </w:p>
        </w:tc>
      </w:tr>
      <w:t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TextbookDocumentSyncService rendert daraus Markdown und speichert ein AssistantDocument.</w:t>
            </w:r>
          </w:p>
        </w:tc>
      </w:tr>
      <w:t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8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Der RAG-Client erzeugt Chunks und Embeddings für die Vektorsuche.</w:t>
            </w:r>
          </w:p>
        </w:tc>
      </w:tr>
      <w:t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Studierende öffnen Kursinhalte, Chat, Quiz, Exam oder Games im Dashboard.</w:t>
            </w:r>
          </w:p>
        </w:tc>
      </w:tr>
      <w:t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8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Assistant, Learning und Gamification aktualisieren Antworten, Lernstand und Punkte.</w:t>
            </w:r>
          </w:p>
        </w:tc>
      </w:tr>
    </w:tbl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  <w:szCs w:val="32"/>
        </w:rPr>
        <w:t>4 Backend-Artefakte</w:t>
      </w:r>
    </w:p>
    <w:p>
      <w:pPr>
        <w:spacing w:before="240" w:after="120" w:line="264" w:lineRule="auto"/>
      </w:pPr>
      <w:r>
        <w:rPr>
          <w:rFonts w:ascii="Calibri" w:hAnsi="Calibri"/>
          <w:b/>
          <w:color w:val="2E74B5"/>
          <w:sz w:val="26"/>
          <w:szCs w:val="26"/>
        </w:rPr>
        <w:t>4.1 Assistant, RAG Und Orchestrator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  <w:szCs w:val="22"/>
        </w:rPr>
        <w:t>Der Assistant-Bereich bündelt die KI-Funktionen. Im Zentrum steht der AssistantOrchestrator. Er löst Eingaben auf, prüft Berechtigungen und delegiert an Chat-, Quiz-, Exam-, Learning- und Kontextservices.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D9DEE7"/>
          <w:insideV w:val="single" w:sz="4" w:space="0" w:color="D9DEE7"/>
        </w:tblBorders>
      </w:tblPr>
      <w:tblGrid>
        <w:gridCol w:w="3300"/>
        <w:gridCol w:w="6060"/>
      </w:tblGrid>
      <w:tr>
        <w:tc>
          <w:tcPr>
            <w:tcW w:w="330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Artefakt</w:t>
            </w:r>
          </w:p>
        </w:tc>
        <w:tc>
          <w:tcPr>
            <w:tcW w:w="606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Aufgabe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assistant/services/orchestrator.py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Einstiegspunkt für Chat, Lernereignisse, Quiz, Exam und Grading.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assistant/services/llm_client.py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Kapselt Mistral-Chatmodell und Embedding-Modell.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assistant/services/rag_client.py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Indexiert Assistant-Dokumente und sucht passende Chunks über sqlite-vec.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assistant/services/textbook_sync.py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Rendert Textbook-Seiten in Markdown und baut den RAG-Index neu auf.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assistant/services/request_context.py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Löst Course- und Page-IDs auf und prüft Kursberechtigungen.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assistant/services/course_context.py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Baut fallbackfähigen Kurs- und Textbook-Kontext aus OpenBook-Inhalten.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assistant/services/prompt_builder.py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Baut Prompts für Chat, Quiz, Exam und Freitextbewertung.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assistant/services/quiz_service.py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Erzeugt und bewertet Multiple-Choice-Quizze.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assistant/services/exam_service.py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Erzeugt und bewertet gemischte Exams mit Freitext und Multiple Choice.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assistant/models/*.py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Speichert AssistantDocument, ChatSession, ChatMessage, QuizAttempt und ExamAttempt.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ai/consumers/chat.py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WebSocket-Consumer für Chat, Quiz, Exam und Lernereignisse.</w:t>
            </w:r>
          </w:p>
        </w:tc>
      </w:tr>
    </w:tbl>
    <w:p>
      <w:pPr>
        <w:spacing w:before="240" w:after="120" w:line="264" w:lineRule="auto"/>
      </w:pPr>
      <w:r>
        <w:rPr>
          <w:rFonts w:ascii="Calibri" w:hAnsi="Calibri"/>
          <w:b/>
          <w:color w:val="2E74B5"/>
          <w:sz w:val="26"/>
          <w:szCs w:val="26"/>
        </w:rPr>
        <w:t>4.2 Learning-App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  <w:szCs w:val="22"/>
        </w:rPr>
        <w:t>Die Learning-App speichert Lernzustände und stellt den Lernkontext für Assistant und Gamification bereit. Sie ist die Verbindung zwischen Kursinhalt, Studierendenaktivität und Belohnungssystem.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D9DEE7"/>
          <w:insideV w:val="single" w:sz="4" w:space="0" w:color="D9DEE7"/>
        </w:tblBorders>
      </w:tblPr>
      <w:tblGrid>
        <w:gridCol w:w="3300"/>
        <w:gridCol w:w="6060"/>
      </w:tblGrid>
      <w:tr>
        <w:tc>
          <w:tcPr>
            <w:tcW w:w="330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Artefakt</w:t>
            </w:r>
          </w:p>
        </w:tc>
        <w:tc>
          <w:tcPr>
            <w:tcW w:w="606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Aufgabe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learning/models/state.py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LearningState speichert letzte Seite, abgeschlossene Seiten, Kursabschluss und letzten Zugriff.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learning/models/quiz_result.py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QuizResult speichert den letzten Quizstand pro Nutzer und Seite.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learning/services/context.py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Lädt Lernstand, Quiz-Ergebnisse und Kursfortschritt für LLM-Kontext.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learning/services/activity.py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Zentraler Service für Lernereignisse wie Seite geöffnet, Quiz und Exam.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learning/services/rewards.py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Übergibt Learning-Ereignisse kontrolliert an Gamification.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learning/viewsets/state.py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REST-Endpunkte für record-page-opened, mark-page-completed und complete-course.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learning/signals.py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Meldet Lernaktivität an den Streak-Mechanismus.</w:t>
            </w:r>
          </w:p>
        </w:tc>
      </w:tr>
    </w:tbl>
    <w:p>
      <w:pPr>
        <w:spacing w:before="240" w:after="120" w:line="264" w:lineRule="auto"/>
      </w:pPr>
      <w:r>
        <w:rPr>
          <w:rFonts w:ascii="Calibri" w:hAnsi="Calibri"/>
          <w:b/>
          <w:color w:val="2E74B5"/>
          <w:sz w:val="26"/>
          <w:szCs w:val="26"/>
        </w:rPr>
        <w:t>4.3 Gamification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  <w:szCs w:val="22"/>
        </w:rPr>
        <w:t>Gamification macht Lernaktivität sichtbar. Die App ist kein Notensystem, sondern eine Motivations- und Feedbackschicht. Der zentrale Schreibpfad läuft über Services und RewardEventLog.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D9DEE7"/>
          <w:insideV w:val="single" w:sz="4" w:space="0" w:color="D9DEE7"/>
        </w:tblBorders>
      </w:tblPr>
      <w:tblGrid>
        <w:gridCol w:w="3300"/>
        <w:gridCol w:w="6060"/>
      </w:tblGrid>
      <w:tr>
        <w:tc>
          <w:tcPr>
            <w:tcW w:w="330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Artefakt</w:t>
            </w:r>
          </w:p>
        </w:tc>
        <w:tc>
          <w:tcPr>
            <w:tcW w:w="606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Aufgabe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gamification/models/account_progress.py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Globaler Punktestand und globales Level pro Account.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gamification/models/course_progress.py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Kurspunkte, Kurslevel und Kursfortschritt pro Account und Kurs.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gamification/models/skill.py / skill_progress.py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Globaler Skill-Katalog und nutzerspezifischer Skill-Fortschritt.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gamification/models/reward_event_log.py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Nachvollziehbares Ereignislog für Punkte und Belohnungen.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gamification/services/course.py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Vergibt Kurspunkte und schreibt RewardEventLog-Einträge.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gamification/services/learning_rewards.py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Vergibt Quiz-, Exam- und Chat-Belohnungen mit Anti-Farming.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gamification/services/streak.py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Pflegt Daily Streaks und Aktivitätstage.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gamification/signals.py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Aktualisiert AccountProgress und Streaks nach Reward-Events.</w:t>
            </w:r>
          </w:p>
        </w:tc>
      </w:tr>
    </w:tbl>
    <w:p>
      <w:pPr>
        <w:spacing w:before="240" w:after="120" w:line="264" w:lineRule="auto"/>
      </w:pPr>
      <w:r>
        <w:rPr>
          <w:rFonts w:ascii="Calibri" w:hAnsi="Calibri"/>
          <w:b/>
          <w:color w:val="2E74B5"/>
          <w:sz w:val="26"/>
          <w:szCs w:val="26"/>
        </w:rPr>
        <w:t>4.4 Content-Integration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D9DEE7"/>
          <w:insideV w:val="single" w:sz="4" w:space="0" w:color="D9DEE7"/>
        </w:tblBorders>
      </w:tblPr>
      <w:tblGrid>
        <w:gridCol w:w="3300"/>
        <w:gridCol w:w="6060"/>
      </w:tblGrid>
      <w:tr>
        <w:tc>
          <w:tcPr>
            <w:tcW w:w="330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Artefakt</w:t>
            </w:r>
          </w:p>
        </w:tc>
        <w:tc>
          <w:tcPr>
            <w:tcW w:w="606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Aufgabe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content/viewsets/course.py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upload_textbook erzeugt aus .md, .html, .txt oder .pdf Textbook-Seiten und Assistant-Dokumente.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content/viewsets/textbook.py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Synchronisiert Assistant-Dokumente, wenn Textbook-Metadaten geändert werden.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content/viewsets/textbook_page.py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Synchronisiert Assistant-Dokumente nach Erstellen, Ändern oder Löschen von Seiten.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content/services/chapter_extraction.py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Erkennt Kapitel aus hochgeladenen Quellen und liefert Seiteninhalte.</w:t>
            </w:r>
          </w:p>
        </w:tc>
      </w:tr>
    </w:tbl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  <w:szCs w:val="32"/>
        </w:rPr>
        <w:t>5 Frontend-Artefakte</w:t>
      </w:r>
    </w:p>
    <w:p>
      <w:pPr>
        <w:spacing w:before="240" w:after="120" w:line="264" w:lineRule="auto"/>
      </w:pPr>
      <w:r>
        <w:rPr>
          <w:rFonts w:ascii="Calibri" w:hAnsi="Calibri"/>
          <w:b/>
          <w:color w:val="2E74B5"/>
          <w:sz w:val="26"/>
          <w:szCs w:val="26"/>
        </w:rPr>
        <w:t>5.1 Student Dashboard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  <w:szCs w:val="22"/>
        </w:rPr>
        <w:t>Das Dashboard ist ein eigenständiges Svelte-5-Microfrontend unter src/frontend/dashboard/. Es wird unter /dashboard/ ausgeliefert und nutzt intern Hash-Routen.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D9DEE7"/>
          <w:insideV w:val="single" w:sz="4" w:space="0" w:color="D9DEE7"/>
        </w:tblBorders>
      </w:tblPr>
      <w:tblGrid>
        <w:gridCol w:w="3300"/>
        <w:gridCol w:w="6060"/>
      </w:tblGrid>
      <w:tr>
        <w:tc>
          <w:tcPr>
            <w:tcW w:w="330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Artefakt</w:t>
            </w:r>
          </w:p>
        </w:tc>
        <w:tc>
          <w:tcPr>
            <w:tcW w:w="606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Aufgabe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dashboard/src/components/routes.ts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Hash-Routen für Dashboard, Profil, Chat, Quiz, Exam, Content und Games.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dashboard/src/stores/dashboard.store.ts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Lädt User, Fortschritt, Punkte, Skills, Kurse und Leaderboard.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dashboard/src/stores/ai-chat.store.ts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Kapselt Kurs-Chat, gespeicherte Sessions und WebSocket-Nachrichten.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dashboard/src/stores/quiz.store.ts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Erzeugt Quizze und verarbeitet Punkte-/Skill-Feedback.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dashboard/src/stores/exam.store.ts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Erzeugt, bewertet und lädt Exam-Versuche.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dashboard/src/api/learning.ts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Meldet Seitenaufrufe, Seitenabschluss und Kursabschluss an Learning.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dashboard/src/data/course-content.ts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Baut die lesbare Kursinhaltsansicht aus Materialien, Seiten und Downloads.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dashboard/src/data/course-terms.ts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Extrahiert Begriffe und Flashcards aus Kursinhalten für Spiele.</w:t>
            </w:r>
          </w:p>
        </w:tc>
      </w:tr>
    </w:tbl>
    <w:p>
      <w:pPr>
        <w:spacing w:before="240" w:after="120" w:line="264" w:lineRule="auto"/>
      </w:pPr>
      <w:r>
        <w:rPr>
          <w:rFonts w:ascii="Calibri" w:hAnsi="Calibri"/>
          <w:b/>
          <w:color w:val="2E74B5"/>
          <w:sz w:val="26"/>
          <w:szCs w:val="26"/>
        </w:rPr>
        <w:t>5.2 Teacher-Frontend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  <w:szCs w:val="22"/>
        </w:rPr>
        <w:t>Das Teacher-Frontend liegt unter src/frontend/teacher/ und wird unter /teacher/ ausgeliefert. Der Einstieg ist für Mitglieder der Django-Gruppe Teacher geschützt.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D9DEE7"/>
          <w:insideV w:val="single" w:sz="4" w:space="0" w:color="D9DEE7"/>
        </w:tblBorders>
      </w:tblPr>
      <w:tblGrid>
        <w:gridCol w:w="3300"/>
        <w:gridCol w:w="6060"/>
      </w:tblGrid>
      <w:tr>
        <w:tc>
          <w:tcPr>
            <w:tcW w:w="330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Artefakt</w:t>
            </w:r>
          </w:p>
        </w:tc>
        <w:tc>
          <w:tcPr>
            <w:tcW w:w="606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Aufgabe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teacher/src/components/routes.ts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Hash-Routen für Kursliste und Kursdetailseite.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teacher/src/stores/teacher.store.ts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Lädt aktuellen Lehrenden und dessen Kurse.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teacher/src/api/courses.ts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Kurse, Library Groups, Current User und Slug-Erzeugung.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teacher/src/api/content.ts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Textbooks, Seiten, Upload, Materialien, Page Ranges und Skills.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teacher/src/api/enrollment.ts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Usersuche, Student-Rolle und Kurseinschreibung.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teacher/src/components/pages/CourseListPage.svelte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Kurskarten, New-course-Dialog und Kurslöschung.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teacher/src/components/panels/ContentPanel.svelte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Textbook-Anlage, Upload, Seiteneditor, Vorschau, Import und Skill-Tagging.</w:t>
            </w:r>
          </w:p>
        </w:tc>
      </w:tr>
      <w:t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teacher/src/components/panels/StudentsPanel.svelte</w:t>
            </w:r>
          </w:p>
        </w:tc>
        <w:tc>
          <w:tcPr>
            <w:tcW w:w="6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Einschreiben und Ausschreiben von Studierenden.</w:t>
            </w:r>
          </w:p>
        </w:tc>
      </w:tr>
    </w:tbl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  <w:szCs w:val="32"/>
        </w:rPr>
        <w:t>6 Zentrale Abläufe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D9DEE7"/>
          <w:insideV w:val="single" w:sz="4" w:space="0" w:color="D9DEE7"/>
        </w:tblBorders>
      </w:tblPr>
      <w:tblGrid>
        <w:gridCol w:w="2200"/>
        <w:gridCol w:w="7160"/>
      </w:tblGrid>
      <w:tr>
        <w:tc>
          <w:tcPr>
            <w:tcW w:w="220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Ablauf</w:t>
            </w:r>
          </w:p>
        </w:tc>
        <w:tc>
          <w:tcPr>
            <w:tcW w:w="716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Schritte</w:t>
            </w:r>
          </w:p>
        </w:tc>
      </w:tr>
      <w:tr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Kursvorbereitung</w:t>
            </w:r>
          </w:p>
        </w:tc>
        <w:tc>
          <w:tcPr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Teacher öffnen, Kurs anlegen, Content pflegen, Skills vergeben, Studierende einschreiben, Dashboard prüfen.</w:t>
            </w:r>
          </w:p>
        </w:tc>
      </w:tr>
      <w:tr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Lernen</w:t>
            </w:r>
          </w:p>
        </w:tc>
        <w:tc>
          <w:tcPr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Dashboard öffnen, Kurs wählen, Skript lesen, Fragen stellen, Quiz oder Exam bearbeiten, Spiele nutzen.</w:t>
            </w:r>
          </w:p>
        </w:tc>
      </w:tr>
      <w:tr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Quiz/Exam</w:t>
            </w:r>
          </w:p>
        </w:tc>
        <w:tc>
          <w:tcPr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WebSocket öffnen, Aufgaben erzeugen, Attempt speichern, Antworten bewerten, Learning/Gamification aktualisieren.</w:t>
            </w:r>
          </w:p>
        </w:tc>
      </w:tr>
      <w:tr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Content-Sync</w:t>
            </w:r>
          </w:p>
        </w:tc>
        <w:tc>
          <w:tcPr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Seite speichern, AssistantDocument erzeugen, Chunks und Embeddings schreiben, RAG-Kontext nutzbar machen.</w:t>
            </w:r>
          </w:p>
        </w:tc>
      </w:tr>
    </w:tbl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  <w:szCs w:val="32"/>
        </w:rPr>
        <w:t>7 Technische Zusatzdokumentation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  <w:szCs w:val="22"/>
        </w:rPr>
        <w:t>Neben dieser Datei existieren detaillierte technische Notizen unter documentation/. Sie sollten erhalten bleiben oder später geordnet in die Sphinx-Entwicklerdokumentation migriert werden.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D9DEE7"/>
          <w:insideV w:val="single" w:sz="4" w:space="0" w:color="D9DEE7"/>
        </w:tblBorders>
      </w:tblPr>
      <w:tblGrid>
        <w:gridCol w:w="3900"/>
        <w:gridCol w:w="5460"/>
      </w:tblGrid>
      <w:tr>
        <w:tc>
          <w:tcPr>
            <w:tcW w:w="390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Datei</w:t>
            </w:r>
          </w:p>
        </w:tc>
        <w:tc>
          <w:tcPr>
            <w:tcW w:w="546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Inhalt</w:t>
            </w:r>
          </w:p>
        </w:tc>
      </w:tr>
      <w:tr>
        <w:tc>
          <w:tcPr>
            <w:tcW w:w="3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documentation/frontend-dashboard.md</w:t>
            </w:r>
          </w:p>
        </w:tc>
        <w:tc>
          <w:tcPr>
            <w:tcW w:w="5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Dashboard-Struktur, Routes, Stores, API-Schicht, WebSocket-Protokoll und Pages.</w:t>
            </w:r>
          </w:p>
        </w:tc>
      </w:tr>
      <w:tr>
        <w:tc>
          <w:tcPr>
            <w:tcW w:w="3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documentation/frontend-teacher.md</w:t>
            </w:r>
          </w:p>
        </w:tc>
        <w:tc>
          <w:tcPr>
            <w:tcW w:w="5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Teacher-Frontend, Kursworkflow, Content-Editor, Enrollment und Stolperfallen.</w:t>
            </w:r>
          </w:p>
        </w:tc>
      </w:tr>
      <w:tr>
        <w:tc>
          <w:tcPr>
            <w:tcW w:w="3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documentation/gamification.md</w:t>
            </w:r>
          </w:p>
        </w:tc>
        <w:tc>
          <w:tcPr>
            <w:tcW w:w="5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Gamification-Modelle, Services, Signals, API und Lernaktivitätsanbindung.</w:t>
            </w:r>
          </w:p>
        </w:tc>
      </w:tr>
      <w:tr>
        <w:tc>
          <w:tcPr>
            <w:tcW w:w="3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documentation/gamification-course-progress.md</w:t>
            </w:r>
          </w:p>
        </w:tc>
        <w:tc>
          <w:tcPr>
            <w:tcW w:w="5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Details zu CourseProgress, Kursleveln und Kursfortschritt.</w:t>
            </w:r>
          </w:p>
        </w:tc>
      </w:tr>
      <w:tr>
        <w:tc>
          <w:tcPr>
            <w:tcW w:w="3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documentation/skills-catalog-progress-implementation.md</w:t>
            </w:r>
          </w:p>
        </w:tc>
        <w:tc>
          <w:tcPr>
            <w:tcW w:w="5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Trennung von globalem Skill-Katalog und nutzerspezifischem SkillProgress.</w:t>
            </w:r>
          </w:p>
        </w:tc>
      </w:tr>
      <w:tr>
        <w:tc>
          <w:tcPr>
            <w:tcW w:w="3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docs/handbook/benutzerhandbuch.rst</w:t>
            </w:r>
          </w:p>
        </w:tc>
        <w:tc>
          <w:tcPr>
            <w:tcW w:w="5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Nutzerorientiertes Handbuch für Studierende und Lehrende.</w:t>
            </w:r>
          </w:p>
        </w:tc>
      </w:tr>
    </w:tbl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  <w:szCs w:val="32"/>
        </w:rPr>
        <w:t>8 Bekannte Offene Punkte Und Empfehlungen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  <w:szCs w:val="22"/>
        </w:rPr>
        <w:t>Die folgenden Punkte sind bewusst als Übergabehinweise formuliert. Sie beschreiben keine pauschale Codekritik, sondern die Stellen mit dem größten Nutzen für die nächste Projektphase.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D9DEE7"/>
          <w:insideV w:val="single" w:sz="4" w:space="0" w:color="D9DEE7"/>
        </w:tblBorders>
      </w:tblPr>
      <w:tblGrid>
        <w:gridCol w:w="2400"/>
        <w:gridCol w:w="6960"/>
      </w:tblGrid>
      <w:tr>
        <w:tc>
          <w:tcPr>
            <w:tcW w:w="240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Thema</w:t>
            </w:r>
          </w:p>
        </w:tc>
        <w:tc>
          <w:tcPr>
            <w:tcW w:w="696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Empfehlung</w:t>
            </w:r>
          </w:p>
        </w:tc>
      </w:tr>
      <w:tr>
        <w:tc>
          <w:tcPr>
            <w:tcW w:w="24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Performance</w:t>
            </w:r>
          </w:p>
        </w:tc>
        <w:tc>
          <w:tcPr>
            <w:tcW w:w="69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RAG-Suche, LLM-Aufrufe, WebSocket-Flows, Dashboard-Refreshes und Content-Synchronisation mit realistischen Kursdaten messen.</w:t>
            </w:r>
          </w:p>
        </w:tc>
      </w:tr>
      <w:tr>
        <w:tc>
          <w:tcPr>
            <w:tcW w:w="24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Modellwahl</w:t>
            </w:r>
          </w:p>
        </w:tc>
        <w:tc>
          <w:tcPr>
            <w:tcW w:w="69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Prüfen, ob mistral-small-latest und mistral-embed für Qualität, Latenz und Kosten passen oder ersetzt werden sollten.</w:t>
            </w:r>
          </w:p>
        </w:tc>
      </w:tr>
      <w:tr>
        <w:tc>
          <w:tcPr>
            <w:tcW w:w="24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Memory und Spiele</w:t>
            </w:r>
          </w:p>
        </w:tc>
        <w:tc>
          <w:tcPr>
            <w:tcW w:w="69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Begriffsauswahl fachlich verbessern, damit keine zufälligen oder wenig relevanten Wörter verwendet werden.</w:t>
            </w:r>
          </w:p>
        </w:tc>
      </w:tr>
      <w:tr>
        <w:tc>
          <w:tcPr>
            <w:tcW w:w="24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Sokratischer Hilfemodus</w:t>
            </w:r>
          </w:p>
        </w:tc>
        <w:tc>
          <w:tcPr>
            <w:tcW w:w="69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Eigenen Modus ergänzen, der über Rückfragen und Hinweise zum Verständnis führt, statt direkt Lösungen zu geben.</w:t>
            </w:r>
          </w:p>
        </w:tc>
      </w:tr>
      <w:tr>
        <w:tc>
          <w:tcPr>
            <w:tcW w:w="24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Quiz/Exam-Architektur</w:t>
            </w:r>
          </w:p>
        </w:tc>
        <w:tc>
          <w:tcPr>
            <w:tcW w:w="69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Entscheiden, ob WebSocket-Flow reicht oder ein separater API-Bereich sinnvoller ist.</w:t>
            </w:r>
          </w:p>
        </w:tc>
      </w:tr>
      <w:tr>
        <w:tc>
          <w:tcPr>
            <w:tcW w:w="24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Gamification-Regeln</w:t>
            </w:r>
          </w:p>
        </w:tc>
        <w:tc>
          <w:tcPr>
            <w:tcW w:w="69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Pädagogisch festlegen, welche Aktivitäten wie stark belohnt werden und welche Grenzen gelten.</w:t>
            </w:r>
          </w:p>
        </w:tc>
      </w:tr>
      <w:tr>
        <w:tc>
          <w:tcPr>
            <w:tcW w:w="24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Teacher-Workflow</w:t>
            </w:r>
          </w:p>
        </w:tc>
        <w:tc>
          <w:tcPr>
            <w:tcW w:w="69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Kursanlage, Upload, Kapitelkorrektur, Skill-Tagging und Einschreibung mit echten Lehrendenszenarien prüfen.</w:t>
            </w:r>
          </w:p>
        </w:tc>
      </w:tr>
      <w:tr>
        <w:tc>
          <w:tcPr>
            <w:tcW w:w="24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Testdaten</w:t>
            </w:r>
          </w:p>
        </w:tc>
        <w:tc>
          <w:tcPr>
            <w:tcW w:w="69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Reproduzierbaren Demo-Stand mit Kurs, Textbooks, Seiten, Skills, Enrollment und Assistant-Dokumenten vorbereiten.</w:t>
            </w:r>
          </w:p>
        </w:tc>
      </w:tr>
      <w:tr>
        <w:tc>
          <w:tcPr>
            <w:tcW w:w="24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Abhängigkeiten</w:t>
            </w:r>
          </w:p>
        </w:tc>
        <w:tc>
          <w:tcPr>
            <w:tcW w:w="69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sqlite-vec reproduzierbar in Projektabhängigkeiten und frischen Setups prüfen.</w:t>
            </w:r>
          </w:p>
        </w:tc>
      </w:tr>
      <w:tr>
        <w:tc>
          <w:tcPr>
            <w:tcW w:w="24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Dokumentationsbereinigung</w:t>
            </w:r>
          </w:p>
        </w:tc>
        <w:tc>
          <w:tcPr>
            <w:tcW w:w="69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Alte Kommentare und Zwischenstandsnotizen an aktuelle kursbezogene WebSocket-Pfade anpassen.</w:t>
            </w:r>
          </w:p>
        </w:tc>
      </w:tr>
    </w:tbl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  <w:szCs w:val="32"/>
        </w:rPr>
        <w:t>9 Handover-Checkliste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D9DEE7"/>
          <w:insideV w:val="single" w:sz="4" w:space="0" w:color="D9DEE7"/>
        </w:tblBorders>
      </w:tblPr>
      <w:tblGrid>
        <w:gridCol w:w="900"/>
        <w:gridCol w:w="8460"/>
      </w:tblGrid>
      <w:tr>
        <w:tc>
          <w:tcPr>
            <w:tcW w:w="90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Nr.</w:t>
            </w:r>
          </w:p>
        </w:tc>
        <w:tc>
          <w:tcPr>
            <w:tcW w:w="8460" w:type="dxa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Schritt</w:t>
            </w:r>
          </w:p>
        </w:tc>
      </w:tr>
      <w:t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Aktuellen integrierten Stand lokal starten und Testdaten laden oder erstellen.</w:t>
            </w:r>
          </w:p>
        </w:tc>
      </w:tr>
      <w:t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Mit Teacher-Account einen Kurs im Teacher-Frontend anlegen.</w:t>
            </w:r>
          </w:p>
        </w:tc>
      </w:tr>
      <w:t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8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Skript hochladen, Seiten prüfen, Skills vergeben und Studierende einschreiben.</w:t>
            </w:r>
          </w:p>
        </w:tc>
      </w:tr>
      <w:t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Mit Student-Account Dashboard, Skript, Chat, Quiz, Exam und Games testen.</w:t>
            </w:r>
          </w:p>
        </w:tc>
      </w:tr>
      <w:t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8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Prüfen, ob Assistant-Dokumente indexiert werden und RAG-Kontext genutzt wird.</w:t>
            </w:r>
          </w:p>
        </w:tc>
      </w:tr>
      <w:t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8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Performance und Modellqualität mit realistischen Kursseiten beobachten.</w:t>
            </w:r>
          </w:p>
        </w:tc>
      </w:tr>
      <w:t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8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Didaktische Entscheidungen für Gamification, Quiz, Exam und Hilfemodus treffen.</w:t>
            </w:r>
          </w:p>
        </w:tc>
      </w:tr>
      <w:t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8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Technische Detaildokumente aus documentation/ nach Bedarf in docs/ migrieren.</w:t>
            </w:r>
          </w:p>
        </w:tc>
      </w:tr>
      <w:t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84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Benutzerhandbuch aktualisieren, sobald sichtbare Bedienwege geändert werden.</w:t>
            </w:r>
          </w:p>
        </w:tc>
      </w:tr>
    </w:tbl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  <w:szCs w:val="32"/>
        </w:rPr>
        <w:t>10 Kurzfazit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  <w:szCs w:val="22"/>
        </w:rPr>
        <w:t>ELISA erweitert OpenBook im aktuellen Stand um mehrere zusammenhängende Lern- und KI-Bausteine. Die wichtigste Leistung ist nicht ein einzelnes Feature, sondern die integrierte Grundlage aus Assistant/RAG, Learning, Gamification, Dashboard und Teacher-Frontend.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  <w:szCs w:val="22"/>
        </w:rPr>
        <w:t>Die nächste Gruppe sollte nicht bei null anfangen. Sie sollte den vorhandenen PoC stabilisieren, mit echten Kursdaten prüfen, fachliche Regeln festlegen und dann gezielt entscheiden, welche Bausteine produktnah weiterentwickelt werden.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9E601" w14:textId="77777777" w:rsidR="00884BF1" w:rsidRDefault="00884BF1">
      <w:pPr>
        <w:spacing w:before="0" w:after="0" w:line="240" w:lineRule="auto"/>
      </w:pPr>
      <w:r>
        <w:separator/>
      </w:r>
    </w:p>
  </w:endnote>
  <w:endnote w:type="continuationSeparator" w:id="0">
    <w:p w14:paraId="691422FC" w14:textId="77777777" w:rsidR="00884BF1" w:rsidRDefault="00884BF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90421" w14:textId="77777777" w:rsidR="00884BF1" w:rsidRDefault="00884BF1">
      <w:pPr>
        <w:spacing w:before="0" w:after="0" w:line="240" w:lineRule="auto"/>
      </w:pPr>
      <w:r>
        <w:separator/>
      </w:r>
    </w:p>
  </w:footnote>
  <w:footnote w:type="continuationSeparator" w:id="0">
    <w:p w14:paraId="33BF0588" w14:textId="77777777" w:rsidR="00884BF1" w:rsidRDefault="00884BF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091D8" w14:textId="77777777" w:rsidR="00C00F9B" w:rsidRDefault="00C00F9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5105918"/>
      <w:docPartObj>
        <w:docPartGallery w:val="Page Numbers (Top of Page)"/>
        <w:docPartUnique/>
      </w:docPartObj>
    </w:sdtPr>
    <w:sdtEndPr/>
    <w:sdtContent>
      <w:p w14:paraId="22DF7F4E" w14:textId="77777777" w:rsidR="00C00F9B" w:rsidRDefault="007B7E28">
        <w:pPr>
          <w:pStyle w:val="Kopfzeile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01930" w14:textId="77777777" w:rsidR="00C00F9B" w:rsidRDefault="00C00F9B">
    <w:pPr>
      <w:pStyle w:val="Kopfzeile"/>
      <w:jc w:val="right"/>
      <w:rPr>
        <w:color w:val="156082" w:themeColor="accent1"/>
        <w:sz w:val="28"/>
        <w:szCs w:val="28"/>
      </w:rPr>
    </w:pPr>
  </w:p>
  <w:p w14:paraId="50E309F2" w14:textId="77777777" w:rsidR="00C00F9B" w:rsidRDefault="00C00F9B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F0C34" w14:textId="77777777" w:rsidR="00C00F9B" w:rsidRDefault="00C00F9B">
    <w:pPr>
      <w:pStyle w:val="Kopfzeil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3822473"/>
      <w:docPartObj>
        <w:docPartGallery w:val="Page Numbers (Top of Page)"/>
        <w:docPartUnique/>
      </w:docPartObj>
    </w:sdtPr>
    <w:sdtEndPr/>
    <w:sdtContent>
      <w:p w14:paraId="28E385B4" w14:textId="77777777" w:rsidR="00C00F9B" w:rsidRDefault="007B7E28">
        <w:pPr>
          <w:pStyle w:val="Kopfzeile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15</w:t>
        </w:r>
        <w:r>
          <w:fldChar w:fldCharType="end"/>
        </w:r>
      </w:p>
    </w:sdtContent>
  </w:sdt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9796504"/>
      <w:docPartObj>
        <w:docPartGallery w:val="Page Numbers (Top of Page)"/>
        <w:docPartUnique/>
      </w:docPartObj>
    </w:sdtPr>
    <w:sdtEndPr/>
    <w:sdtContent>
      <w:p w14:paraId="2EF91106" w14:textId="77777777" w:rsidR="00C00F9B" w:rsidRDefault="007B7E28">
        <w:pPr>
          <w:pStyle w:val="Kopfzeile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15</w:t>
        </w:r>
        <w: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F9B"/>
    <w:rsid w:val="0004152D"/>
    <w:rsid w:val="00465ECA"/>
    <w:rsid w:val="00512633"/>
    <w:rsid w:val="00703624"/>
    <w:rsid w:val="007B7E28"/>
    <w:rsid w:val="007C21DA"/>
    <w:rsid w:val="008717D2"/>
    <w:rsid w:val="00884BF1"/>
    <w:rsid w:val="00890022"/>
    <w:rsid w:val="00940C4A"/>
    <w:rsid w:val="009B63A7"/>
    <w:rsid w:val="00A23722"/>
    <w:rsid w:val="00B61D58"/>
    <w:rsid w:val="00C00F9B"/>
    <w:rsid w:val="00C74EDD"/>
    <w:rsid w:val="00E376EE"/>
    <w:rsid w:val="00FF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79409"/>
  <w15:docId w15:val="{EC0EFED1-DEF3-47EA-B338-9833CF652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87E72"/>
    <w:pPr>
      <w:spacing w:before="120" w:after="120" w:line="276" w:lineRule="auto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C128E"/>
    <w:pPr>
      <w:keepNext/>
      <w:keepLines/>
      <w:spacing w:before="360" w:after="16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C128E"/>
    <w:pPr>
      <w:keepNext/>
      <w:keepLines/>
      <w:spacing w:before="24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11C7A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00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00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00F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00F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00F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00F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qFormat/>
    <w:rsid w:val="00CC128E"/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qFormat/>
    <w:rsid w:val="00CC128E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qFormat/>
    <w:rsid w:val="00811C7A"/>
    <w:rPr>
      <w:rFonts w:ascii="Times New Roman" w:eastAsiaTheme="majorEastAsia" w:hAnsi="Times New Roman" w:cstheme="majorBidi"/>
      <w:b/>
      <w:color w:val="000000" w:themeColor="text1"/>
      <w:kern w:val="0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qFormat/>
    <w:rsid w:val="00100F7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qFormat/>
    <w:rsid w:val="00100F7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qFormat/>
    <w:rsid w:val="00100F7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qFormat/>
    <w:rsid w:val="00100F7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qFormat/>
    <w:rsid w:val="00100F7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qFormat/>
    <w:rsid w:val="00100F7C"/>
    <w:rPr>
      <w:rFonts w:eastAsiaTheme="majorEastAsia" w:cstheme="majorBidi"/>
      <w:color w:val="272727" w:themeColor="text1" w:themeTint="D8"/>
    </w:rPr>
  </w:style>
  <w:style w:type="character" w:customStyle="1" w:styleId="TitelZchn">
    <w:name w:val="Titel Zchn"/>
    <w:basedOn w:val="Absatz-Standardschriftart"/>
    <w:link w:val="Titel"/>
    <w:uiPriority w:val="10"/>
    <w:qFormat/>
    <w:rsid w:val="00100F7C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UntertitelZchn">
    <w:name w:val="Untertitel Zchn"/>
    <w:basedOn w:val="Absatz-Standardschriftart"/>
    <w:link w:val="Untertitel"/>
    <w:uiPriority w:val="11"/>
    <w:qFormat/>
    <w:rsid w:val="00100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ZitatZchn">
    <w:name w:val="Zitat Zchn"/>
    <w:basedOn w:val="Absatz-Standardschriftart"/>
    <w:link w:val="Zitat"/>
    <w:uiPriority w:val="29"/>
    <w:qFormat/>
    <w:rsid w:val="00100F7C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sid w:val="00100F7C"/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qFormat/>
    <w:rsid w:val="00100F7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00F7C"/>
    <w:rPr>
      <w:b/>
      <w:bCs/>
      <w:smallCaps/>
      <w:color w:val="0F4761" w:themeColor="accent1" w:themeShade="BF"/>
      <w:spacing w:val="5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F37190"/>
    <w:rPr>
      <w:rFonts w:ascii="Times New Roman" w:hAnsi="Times New Roman"/>
      <w:kern w:val="0"/>
      <w14:ligatures w14:val="none"/>
    </w:rPr>
  </w:style>
  <w:style w:type="character" w:customStyle="1" w:styleId="FuzeileZchn">
    <w:name w:val="Fußzeile Zchn"/>
    <w:basedOn w:val="Absatz-Standardschriftart"/>
    <w:link w:val="Fuzeile"/>
    <w:uiPriority w:val="99"/>
    <w:qFormat/>
    <w:rsid w:val="00F37190"/>
    <w:rPr>
      <w:rFonts w:ascii="Times New Roman" w:hAnsi="Times New Roman"/>
      <w:kern w:val="0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FF1AF0"/>
    <w:rPr>
      <w:color w:val="467886" w:themeColor="hyperlink"/>
      <w:u w:val="single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qFormat/>
    <w:rsid w:val="00F82B84"/>
    <w:rPr>
      <w:rFonts w:ascii="Times New Roman" w:hAnsi="Times New Roman"/>
      <w:kern w:val="0"/>
      <w:sz w:val="20"/>
      <w:szCs w:val="20"/>
      <w14:ligatures w14:val="none"/>
    </w:rPr>
  </w:style>
  <w:style w:type="character" w:customStyle="1" w:styleId="FootnoteCharactersuser">
    <w:name w:val="Footnote Characters (user)"/>
    <w:basedOn w:val="Absatz-Standardschriftart"/>
    <w:uiPriority w:val="99"/>
    <w:unhideWhenUsed/>
    <w:qFormat/>
    <w:rsid w:val="00F82B84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unotenzeichen">
    <w:name w:val="footnote reference"/>
    <w:rPr>
      <w:vertAlign w:val="superscript"/>
    </w:rPr>
  </w:style>
  <w:style w:type="character" w:styleId="Fett">
    <w:name w:val="Strong"/>
    <w:basedOn w:val="Absatz-Standardschriftart"/>
    <w:uiPriority w:val="22"/>
    <w:qFormat/>
    <w:rsid w:val="00615C94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qFormat/>
    <w:rsid w:val="009A4E2F"/>
    <w:rPr>
      <w:rFonts w:ascii="Courier New" w:eastAsia="Times New Roman" w:hAnsi="Courier New" w:cs="Courier New"/>
      <w:sz w:val="20"/>
      <w:szCs w:val="20"/>
    </w:rPr>
  </w:style>
  <w:style w:type="character" w:styleId="Hervorhebung">
    <w:name w:val="Emphasis"/>
    <w:basedOn w:val="Absatz-Standardschriftart"/>
    <w:uiPriority w:val="20"/>
    <w:qFormat/>
    <w:rsid w:val="00FB0D01"/>
    <w:rPr>
      <w:i/>
      <w:iCs/>
    </w:rPr>
  </w:style>
  <w:style w:type="character" w:styleId="NichtaufgelsteErwhnung">
    <w:name w:val="Unresolved Mention"/>
    <w:basedOn w:val="Absatz-Standardschriftart"/>
    <w:uiPriority w:val="99"/>
    <w:semiHidden/>
    <w:unhideWhenUsed/>
    <w:qFormat/>
    <w:rsid w:val="0059440F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591546"/>
    <w:rPr>
      <w:color w:val="96607D" w:themeColor="followedHyperlink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Standard"/>
    <w:next w:val="Textkrper"/>
    <w:qFormat/>
    <w:pPr>
      <w:keepNext/>
      <w:spacing w:before="240"/>
    </w:pPr>
    <w:rPr>
      <w:rFonts w:ascii="Liberation Sans" w:eastAsia="Noto Sans CJK SC" w:hAnsi="Liberation Sans" w:cs="Lohit Devanagari"/>
      <w:sz w:val="28"/>
      <w:szCs w:val="28"/>
    </w:rPr>
  </w:style>
  <w:style w:type="paragraph" w:styleId="Textkrper">
    <w:name w:val="Body Text"/>
    <w:basedOn w:val="Standard"/>
    <w:pPr>
      <w:spacing w:before="0" w:after="140"/>
    </w:pPr>
  </w:style>
  <w:style w:type="paragraph" w:styleId="Liste">
    <w:name w:val="List"/>
    <w:basedOn w:val="Textkrper"/>
    <w:rPr>
      <w:rFonts w:cs="Lohit Devanagari"/>
    </w:rPr>
  </w:style>
  <w:style w:type="paragraph" w:styleId="Beschriftung">
    <w:name w:val="caption"/>
    <w:basedOn w:val="Standard"/>
    <w:next w:val="Standard"/>
    <w:uiPriority w:val="35"/>
    <w:unhideWhenUsed/>
    <w:qFormat/>
    <w:rsid w:val="004545DC"/>
    <w:pPr>
      <w:spacing w:before="0" w:after="200" w:line="240" w:lineRule="auto"/>
    </w:pPr>
    <w:rPr>
      <w:i/>
      <w:iCs/>
      <w:color w:val="0E2841" w:themeColor="text2"/>
      <w:sz w:val="20"/>
      <w:szCs w:val="18"/>
    </w:rPr>
  </w:style>
  <w:style w:type="paragraph" w:customStyle="1" w:styleId="Index">
    <w:name w:val="Index"/>
    <w:basedOn w:val="Standard"/>
    <w:qFormat/>
    <w:pPr>
      <w:suppressLineNumbers/>
    </w:pPr>
    <w:rPr>
      <w:rFonts w:cs="Lohit Devanagari"/>
    </w:rPr>
  </w:style>
  <w:style w:type="paragraph" w:styleId="Titel">
    <w:name w:val="Title"/>
    <w:basedOn w:val="Standard"/>
    <w:next w:val="Standard"/>
    <w:link w:val="TitelZchn"/>
    <w:uiPriority w:val="10"/>
    <w:qFormat/>
    <w:rsid w:val="00100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00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00F7C"/>
    <w:pPr>
      <w:spacing w:before="160"/>
      <w:jc w:val="center"/>
    </w:pPr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00F7C"/>
    <w:pPr>
      <w:ind w:left="720"/>
      <w:contextualSpacing/>
    </w:p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00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unhideWhenUsed/>
    <w:rsid w:val="00F37190"/>
    <w:pPr>
      <w:tabs>
        <w:tab w:val="center" w:pos="4536"/>
        <w:tab w:val="right" w:pos="9072"/>
      </w:tabs>
      <w:spacing w:before="0" w:line="240" w:lineRule="auto"/>
    </w:pPr>
  </w:style>
  <w:style w:type="paragraph" w:styleId="KeinLeerraum">
    <w:name w:val="No Spacing"/>
    <w:uiPriority w:val="1"/>
    <w:qFormat/>
    <w:rsid w:val="00736AF8"/>
  </w:style>
  <w:style w:type="paragraph" w:styleId="Fuzeile">
    <w:name w:val="footer"/>
    <w:basedOn w:val="Standard"/>
    <w:link w:val="FuzeileZchn"/>
    <w:uiPriority w:val="99"/>
    <w:unhideWhenUsed/>
    <w:rsid w:val="00F37190"/>
    <w:pPr>
      <w:tabs>
        <w:tab w:val="center" w:pos="4536"/>
        <w:tab w:val="right" w:pos="9072"/>
      </w:tabs>
      <w:spacing w:before="0" w:line="240" w:lineRule="auto"/>
    </w:pPr>
  </w:style>
  <w:style w:type="paragraph" w:styleId="Indexberschrift">
    <w:name w:val="index heading"/>
    <w:basedOn w:val="Heading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E7E06"/>
    <w:pPr>
      <w:spacing w:before="240" w:after="0" w:line="259" w:lineRule="auto"/>
      <w:jc w:val="left"/>
      <w:outlineLvl w:val="9"/>
    </w:pPr>
    <w:rPr>
      <w:szCs w:val="32"/>
      <w:lang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65735A"/>
    <w:pPr>
      <w:spacing w:before="0" w:after="100" w:line="259" w:lineRule="auto"/>
      <w:ind w:left="220"/>
      <w:jc w:val="left"/>
    </w:pPr>
    <w:rPr>
      <w:rFonts w:eastAsiaTheme="minorEastAsia"/>
      <w:sz w:val="22"/>
      <w:szCs w:val="2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107239"/>
    <w:pPr>
      <w:spacing w:before="0" w:after="100" w:line="259" w:lineRule="auto"/>
      <w:jc w:val="left"/>
    </w:pPr>
    <w:rPr>
      <w:rFonts w:eastAsiaTheme="minorEastAsia"/>
      <w:szCs w:val="22"/>
      <w:lang w:eastAsia="de-DE"/>
    </w:rPr>
  </w:style>
  <w:style w:type="paragraph" w:styleId="Verzeichnis3">
    <w:name w:val="toc 3"/>
    <w:basedOn w:val="Standard"/>
    <w:next w:val="Standard"/>
    <w:autoRedefine/>
    <w:uiPriority w:val="39"/>
    <w:unhideWhenUsed/>
    <w:rsid w:val="0065735A"/>
    <w:pPr>
      <w:spacing w:before="0" w:after="100" w:line="259" w:lineRule="auto"/>
      <w:ind w:left="440"/>
      <w:jc w:val="left"/>
    </w:pPr>
    <w:rPr>
      <w:rFonts w:eastAsiaTheme="minorEastAsia"/>
      <w:sz w:val="22"/>
      <w:szCs w:val="22"/>
      <w:lang w:eastAsia="de-DE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F82B84"/>
    <w:pPr>
      <w:spacing w:before="0" w:line="240" w:lineRule="auto"/>
    </w:pPr>
    <w:rPr>
      <w:sz w:val="20"/>
      <w:szCs w:val="20"/>
    </w:rPr>
  </w:style>
  <w:style w:type="paragraph" w:styleId="Index1">
    <w:name w:val="index 1"/>
    <w:basedOn w:val="Standard"/>
    <w:next w:val="Standard"/>
    <w:autoRedefine/>
    <w:uiPriority w:val="99"/>
    <w:unhideWhenUsed/>
    <w:rsid w:val="00FE61D0"/>
    <w:pPr>
      <w:spacing w:before="0" w:line="240" w:lineRule="auto"/>
      <w:ind w:left="240" w:hanging="240"/>
    </w:pPr>
  </w:style>
  <w:style w:type="paragraph" w:styleId="StandardWeb">
    <w:name w:val="Normal (Web)"/>
    <w:basedOn w:val="Standard"/>
    <w:uiPriority w:val="99"/>
    <w:semiHidden/>
    <w:unhideWhenUsed/>
    <w:qFormat/>
    <w:rsid w:val="00E14019"/>
    <w:pPr>
      <w:spacing w:beforeAutospacing="1" w:afterAutospacing="1" w:line="240" w:lineRule="auto"/>
      <w:jc w:val="left"/>
    </w:pPr>
    <w:rPr>
      <w:lang w:eastAsia="de-DE"/>
    </w:rPr>
  </w:style>
  <w:style w:type="paragraph" w:styleId="Literaturverzeichnis">
    <w:name w:val="Bibliography"/>
    <w:basedOn w:val="Standard"/>
    <w:next w:val="Standard"/>
    <w:uiPriority w:val="37"/>
    <w:unhideWhenUsed/>
    <w:qFormat/>
    <w:rsid w:val="008E22E0"/>
    <w:pPr>
      <w:spacing w:line="480" w:lineRule="auto"/>
      <w:ind w:left="720" w:hanging="720"/>
    </w:p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65735A"/>
    <w:pPr>
      <w:spacing w:after="100"/>
      <w:ind w:left="720"/>
    </w:p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65735A"/>
    <w:pPr>
      <w:spacing w:after="100"/>
      <w:ind w:left="1920"/>
    </w:pPr>
  </w:style>
  <w:style w:type="paragraph" w:customStyle="1" w:styleId="Seminararbeit-Schrift">
    <w:name w:val="Seminararbeit - Schrift"/>
    <w:basedOn w:val="StandardWeb"/>
    <w:qFormat/>
    <w:rsid w:val="008C5126"/>
    <w:pPr>
      <w:spacing w:before="280" w:beforeAutospacing="0" w:after="0" w:afterAutospacing="0" w:line="360" w:lineRule="auto"/>
      <w:jc w:val="both"/>
    </w:pPr>
    <w:rPr>
      <w:color w:val="000000" w:themeColor="text1"/>
      <w:lang w:val="en-US"/>
    </w:rPr>
  </w:style>
  <w:style w:type="paragraph" w:styleId="Abbildungsverzeichnis">
    <w:name w:val="table of figures"/>
    <w:basedOn w:val="Standard"/>
    <w:next w:val="Standard"/>
    <w:uiPriority w:val="99"/>
    <w:unhideWhenUsed/>
    <w:rsid w:val="00BA6189"/>
  </w:style>
  <w:style w:type="table" w:styleId="Tabellenraster">
    <w:name w:val="Table Grid"/>
    <w:basedOn w:val="NormaleTabelle"/>
    <w:uiPriority w:val="59"/>
    <w:rsid w:val="004545DC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3Akzent3">
    <w:name w:val="Grid Table 3 Accent 3"/>
    <w:basedOn w:val="NormaleTabelle"/>
    <w:uiPriority w:val="48"/>
    <w:rsid w:val="00884708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196B24" w:themeColor="accent3"/>
        </w:tcBorders>
      </w:tcPr>
    </w:tblStylePr>
    <w:tblStylePr w:type="nwCell">
      <w:tblPr/>
      <w:tcPr>
        <w:tcBorders>
          <w:bottom w:val="single" w:sz="4" w:space="0" w:color="196B24" w:themeColor="accent3"/>
        </w:tcBorders>
      </w:tcPr>
    </w:tblStylePr>
    <w:tblStylePr w:type="seCell">
      <w:tblPr/>
      <w:tcPr>
        <w:tcBorders>
          <w:top w:val="single" w:sz="4" w:space="0" w:color="196B24" w:themeColor="accent3"/>
        </w:tcBorders>
      </w:tcPr>
    </w:tblStylePr>
    <w:tblStylePr w:type="swCell">
      <w:tblPr/>
      <w:tcPr>
        <w:tcBorders>
          <w:top w:val="single" w:sz="4" w:space="0" w:color="196B24" w:themeColor="accent3"/>
        </w:tcBorders>
      </w:tcPr>
    </w:tblStylePr>
  </w:style>
  <w:style w:type="table" w:customStyle="1" w:styleId="Tabellenraster1">
    <w:name w:val="Tabellenraster1"/>
    <w:basedOn w:val="NormaleTabelle"/>
    <w:uiPriority w:val="59"/>
    <w:rsid w:val="004C378A"/>
    <w:rPr>
      <w:rFonts w:eastAsiaTheme="minorEastAsia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">
    <w:name w:val="Tabellenraster2"/>
    <w:basedOn w:val="NormaleTabelle"/>
    <w:uiPriority w:val="59"/>
    <w:rsid w:val="00B32E03"/>
    <w:rPr>
      <w:rFonts w:eastAsiaTheme="minorEastAsia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3">
    <w:name w:val="Tabellenraster3"/>
    <w:basedOn w:val="NormaleTabelle"/>
    <w:uiPriority w:val="59"/>
    <w:rsid w:val="00211CC6"/>
    <w:rPr>
      <w:rFonts w:eastAsiaTheme="minorEastAsia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4">
    <w:name w:val="Tabellenraster4"/>
    <w:basedOn w:val="NormaleTabelle"/>
    <w:uiPriority w:val="59"/>
    <w:rsid w:val="00313B35"/>
    <w:rPr>
      <w:rFonts w:eastAsiaTheme="minorEastAsia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5">
    <w:name w:val="Tabellenraster5"/>
    <w:basedOn w:val="NormaleTabelle"/>
    <w:uiPriority w:val="59"/>
    <w:rsid w:val="00930ECA"/>
    <w:rPr>
      <w:rFonts w:eastAsiaTheme="minorEastAsia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6">
    <w:name w:val="Tabellenraster6"/>
    <w:basedOn w:val="NormaleTabelle"/>
    <w:uiPriority w:val="59"/>
    <w:rsid w:val="007D3C5F"/>
    <w:rPr>
      <w:rFonts w:eastAsiaTheme="minorEastAsia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7">
    <w:name w:val="Tabellenraster7"/>
    <w:basedOn w:val="NormaleTabelle"/>
    <w:uiPriority w:val="59"/>
    <w:rsid w:val="002A0344"/>
    <w:rPr>
      <w:rFonts w:eastAsiaTheme="minorEastAsia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8">
    <w:name w:val="Tabellenraster8"/>
    <w:basedOn w:val="NormaleTabelle"/>
    <w:uiPriority w:val="59"/>
    <w:rsid w:val="00162F81"/>
    <w:rPr>
      <w:rFonts w:eastAsiaTheme="minorEastAsia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Mic22</b:Tag>
    <b:SourceType>InternetSite</b:SourceType>
    <b:Guid>{79EC3A13-7DD3-42A3-9E96-AFC7347ABCC3}</b:Guid>
    <b:Year>2022</b:Year>
    <b:Author>
      <b:Author>
        <b:NameList>
          <b:Person>
            <b:Last>Center</b:Last>
            <b:First>Microsoft</b:First>
            <b:Middle>News</b:Middle>
          </b:Person>
        </b:NameList>
      </b:Author>
    </b:Author>
    <b:Month>Januar</b:Month>
    <b:Day>18</b:Day>
    <b:URL>https://news.microsoft.com/2022/01/18/microsoft-to-acquire-activision-blizzard-to-bring-the-joy-and-community-of-gaming-to-everyone-across-every-device/</b:URL>
    <b:RefOrder>1</b:RefOrder>
  </b:Source>
</b:Sources>
</file>

<file path=customXml/itemProps1.xml><?xml version="1.0" encoding="utf-8"?>
<ds:datastoreItem xmlns:ds="http://schemas.openxmlformats.org/officeDocument/2006/customXml" ds:itemID="{B6157115-EE74-47A1-A177-364414064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2836</Words>
  <Characters>17869</Characters>
  <Application>Microsoft Office Word</Application>
  <DocSecurity>0</DocSecurity>
  <Lines>148</Lines>
  <Paragraphs>41</Paragraphs>
  <ScaleCrop>false</ScaleCrop>
  <Company/>
  <LinksUpToDate>false</LinksUpToDate>
  <CharactersWithSpaces>20664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Molkenthin</dc:creator>
  <cp:lastModifiedBy>Patrick Molkenthin</cp:lastModifiedBy>
  <cp:revision>8</cp:revision>
  <dcterms:created xsi:type="dcterms:W3CDTF">2026-07-03T12:21:00Z</dcterms:created>
  <dcterms:modified xsi:type="dcterms:W3CDTF">2026-07-03T12:25:00Z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2026-01-10T12:07:00Z</dcterms:created>
  <dc:creator>Daniel Sachadae</dc:creator>
  <dc:description/>
  <dc:language>en-US</dc:language>
  <cp:lastModifiedBy/>
  <cp:lastPrinted>2026-01-10T18:11:00Z</cp:lastPrinted>
  <dcterms:modified xsi:type="dcterms:W3CDTF">2026-07-03T11:49:03Z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c6b84b-b667-4877-8b96-2c993ebf33bc_ActionId">
    <vt:lpwstr>176ead4f-4b35-4f4f-bac5-141a23912556</vt:lpwstr>
  </property>
  <property fmtid="{D5CDD505-2E9C-101B-9397-08002B2CF9AE}" pid="3" name="MSIP_Label_dec6b84b-b667-4877-8b96-2c993ebf33bc_ContentBits">
    <vt:lpwstr>0</vt:lpwstr>
  </property>
  <property fmtid="{D5CDD505-2E9C-101B-9397-08002B2CF9AE}" pid="4" name="MSIP_Label_dec6b84b-b667-4877-8b96-2c993ebf33bc_Enabled">
    <vt:lpwstr>true</vt:lpwstr>
  </property>
  <property fmtid="{D5CDD505-2E9C-101B-9397-08002B2CF9AE}" pid="5" name="MSIP_Label_dec6b84b-b667-4877-8b96-2c993ebf33bc_Method">
    <vt:lpwstr>Privileged</vt:lpwstr>
  </property>
  <property fmtid="{D5CDD505-2E9C-101B-9397-08002B2CF9AE}" pid="6" name="MSIP_Label_dec6b84b-b667-4877-8b96-2c993ebf33bc_Name">
    <vt:lpwstr>vb_non-business</vt:lpwstr>
  </property>
  <property fmtid="{D5CDD505-2E9C-101B-9397-08002B2CF9AE}" pid="7" name="MSIP_Label_dec6b84b-b667-4877-8b96-2c993ebf33bc_SetDate">
    <vt:lpwstr>2026-01-10T12:02:32Z</vt:lpwstr>
  </property>
  <property fmtid="{D5CDD505-2E9C-101B-9397-08002B2CF9AE}" pid="8" name="MSIP_Label_dec6b84b-b667-4877-8b96-2c993ebf33bc_SiteId">
    <vt:lpwstr>9186fbbe-fa2f-408b-b116-e9799f388136</vt:lpwstr>
  </property>
  <property fmtid="{D5CDD505-2E9C-101B-9397-08002B2CF9AE}" pid="9" name="MSIP_Label_dec6b84b-b667-4877-8b96-2c993ebf33bc_Tag">
    <vt:lpwstr>10, 0, 1, 1</vt:lpwstr>
  </property>
  <property fmtid="{D5CDD505-2E9C-101B-9397-08002B2CF9AE}" pid="10" name="ZOTERO_PREF_1">
    <vt:lpwstr>&lt;data data-version="3" zotero-version="7.0.15"&gt;&lt;session id="mLG0MErW"/&gt;&lt;style id="http://www.zotero.org/styles/deutsche-gesellschaft-fur-psychologie" hasBibliography="1" bibliographyStyleHasBeenSet="1"/&gt;&lt;prefs&gt;&lt;pref name="fieldType" value="Field"/&gt;&lt;pref n</vt:lpwstr>
  </property>
  <property fmtid="{D5CDD505-2E9C-101B-9397-08002B2CF9AE}" pid="11" name="ZOTERO_PREF_2">
    <vt:lpwstr>ame="noteType" value="1"/&gt;&lt;/prefs&gt;&lt;/data&gt;</vt:lpwstr>
  </property>
</Properties>
</file>