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7FD11">
      <w:pPr>
        <w:rPr>
          <w:rFonts w:hint="eastAsia" w:ascii="宋体" w:hAnsi="宋体" w:eastAsia="宋体" w:cs="宋体"/>
          <w:i w:val="0"/>
          <w:iCs/>
          <w:vertAlign w:val="baseline"/>
        </w:rPr>
      </w:pPr>
      <w:r>
        <w:rPr>
          <w:rFonts w:hint="eastAsia" w:ascii="宋体" w:hAnsi="宋体" w:eastAsia="宋体" w:cs="宋体"/>
          <w:i w:val="0"/>
          <w:iCs/>
          <w:vertAlign w:val="baseline"/>
        </w:rPr>
        <w:t>从治理的逻辑来看，治理的内在结构可以分解成三个部分：治理的目标，治理的手段 和治理的领域。治理绩效是治理目标的实现程度，而治理绩效的影响因素实际上就是治理 的途径，包括自上而下的政党主导和自下而上的社会参与(吴建平，2017)。从这两条路 径出发，政府治理绩效影响因素研究也主要体现在两个方面， 一是政府内部</w:t>
      </w:r>
      <w:bookmarkStart w:id="0" w:name="_GoBack"/>
      <w:bookmarkEnd w:id="0"/>
      <w:r>
        <w:rPr>
          <w:rFonts w:hint="eastAsia" w:ascii="宋体" w:hAnsi="宋体" w:eastAsia="宋体" w:cs="宋体"/>
          <w:i w:val="0"/>
          <w:iCs/>
          <w:vertAlign w:val="baseline"/>
        </w:rPr>
        <w:t>因素，二是外 部环境因素。</w:t>
      </w:r>
    </w:p>
    <w:p w14:paraId="52D437CF">
      <w:pPr>
        <w:rPr>
          <w:rFonts w:hint="eastAsia" w:ascii="宋体" w:hAnsi="宋体" w:eastAsia="宋体" w:cs="宋体"/>
          <w:i w:val="0"/>
          <w:iCs/>
          <w:vertAlign w:val="baseline"/>
        </w:rPr>
      </w:pPr>
      <w:r>
        <w:rPr>
          <w:rFonts w:hint="eastAsia" w:ascii="宋体" w:hAnsi="宋体" w:eastAsia="宋体" w:cs="宋体"/>
          <w:i w:val="0"/>
          <w:iCs/>
          <w:vertAlign w:val="baseline"/>
        </w:rPr>
        <w:t>在政府内部因素方面，Toole 和 Meier(1999)     最早从管理的角度研究管理对组织绩效 的影响，认为组织稳定性会对组织绩效产生影响，同时环境冲击也起到了一定作用。在此 基础上，他们引入个人稳定因素对模型进行了改进，指出个人稳定性作为一种管理能力能 够提升组织绩效(Toole     and     Meier,2003) 。Meier 和 Toole(2013)      还研究了网络管理和</w:t>
      </w:r>
    </w:p>
    <w:p w14:paraId="5DD13055">
      <w:pPr>
        <w:rPr>
          <w:rFonts w:hint="eastAsia" w:ascii="宋体" w:hAnsi="宋体" w:eastAsia="宋体" w:cs="宋体"/>
          <w:i w:val="0"/>
          <w:iCs/>
          <w:vertAlign w:val="baseline"/>
        </w:rPr>
      </w:pPr>
      <w:r>
        <w:rPr>
          <w:rFonts w:hint="eastAsia" w:ascii="宋体" w:hAnsi="宋体" w:eastAsia="宋体" w:cs="宋体"/>
          <w:i w:val="0"/>
          <w:iCs/>
          <w:vertAlign w:val="baseline"/>
        </w:rPr>
        <w:t>管理环境对组织绩效的影响，指出公共管理者应当将网络管理作为重要工具应用到公共管 理中。领导能力也是学者们考察治理绩效的重要因素(Coggburn  and   Schneider,2003;Jones, 2004),领导能力直接影响政策执行。 Moynihan 和 Pandey(2004) 则指出组织文化、信 息技术能力和员工工作满意度等都对政府治理绩效有积极作用。</w:t>
      </w:r>
    </w:p>
    <w:p w14:paraId="68398D04">
      <w:pPr>
        <w:rPr>
          <w:rFonts w:hint="eastAsia" w:ascii="宋体" w:hAnsi="宋体" w:eastAsia="宋体" w:cs="宋体"/>
          <w:i w:val="0"/>
          <w:iCs/>
          <w:vertAlign w:val="baseline"/>
        </w:rPr>
      </w:pPr>
      <w:r>
        <w:rPr>
          <w:rFonts w:hint="eastAsia" w:ascii="宋体" w:hAnsi="宋体" w:eastAsia="宋体" w:cs="宋体"/>
          <w:i w:val="0"/>
          <w:iCs/>
          <w:vertAlign w:val="baseline"/>
        </w:rPr>
        <w:t>在外部环境因素方面，Dull(2006)、Fernandez和 Rainey(2006) 等人认为外部环境可 以被描述成多维度、多组成和多类型的便利，他们通过影响组织可以从环境方面获得支持 水平来影响组织绩效。社会资本是广受学者们关注的重要因素，主要聚焦于公民参与和公 民信任两个方面。Putnam(1993)  在《使民主转起来》中指出，公民生活与制度绩效有决 定性的正相关。一方面，公民参与网络促进了信息的流通，增加了欺骗的成本从而培养了 强大的互惠规范，为合作的成功创造了条件。另一方面，公民参与增加了弱势群体在公共 领域的话语权。实证研究发现，公民参与对治理绩效有显著的正向影响，但是其中政治性 参与的影响大而社会性参与的影响小(谢治菊，2012)。也有学者对公民参与和治理绩效 的正向关系提出质疑。郎友兴和喻冬琪(2014)将温岭市参与式治理和其他相关治理失败 案例作比较，指出参与对社会公众和稳定的作用是有限的，有赖于政府支持、法律保障以 及社会组织的培育。在人口方面，人口密度带来的规模效应也是提升政府治理绩效的重要 因素(Grossman et al,1999)。但也学者指出，人口密度越大，政府治理难度就越大，治理 效率也就越低 (Loikkanen    and    Susiluoto,2005)。陈诗一和张军(2008)认为经济发展水 平、人口受教育水平、开放政策、地理区位等外生因素在决定各地区政府产出表现和效率 差异中起到了很大作用。Cruz 和 Marques(2014)     对葡萄牙地方政府治理绩效影响因素的 研究中发现，人口教育水平、右翼高管的参与与地方经济绩效呈正相关，旅游活动、选民 投票率、老龄化指数、购买力、更大的市政领域等于地方政府的经济绩效呈负相关。</w:t>
      </w:r>
    </w:p>
    <w:p w14:paraId="3AAE79C7">
      <w:pPr>
        <w:rPr>
          <w:rFonts w:hint="eastAsia" w:ascii="宋体" w:hAnsi="宋体" w:eastAsia="宋体" w:cs="宋体"/>
          <w:i w:val="0"/>
          <w:iCs/>
          <w:vertAlign w:val="baseline"/>
        </w:rPr>
      </w:pPr>
      <w:r>
        <w:rPr>
          <w:rFonts w:hint="eastAsia" w:ascii="宋体" w:hAnsi="宋体" w:eastAsia="宋体" w:cs="宋体"/>
          <w:i w:val="0"/>
          <w:iCs/>
          <w:vertAlign w:val="baseline"/>
        </w:rPr>
        <w:t>通过对政府治理绩效的影响因素进行整理归纳，如表2-3所示。从已有研究中可以发 现，组织内部因素对政府绩效的影响主要是正向的，但组织外部因素对绩效的影响方向并 不一致。另外，虽然政府治理绩效包括经济、社会、文化、生态等多个方面，但是在实证 研究中，经济绩效通常作为政府治理绩效的代理变量进行考量。各影响因素对政府治理的 总和绩效的影响还有待进一步研究。</w:t>
      </w:r>
    </w:p>
    <w:p w14:paraId="08FC495E">
      <w:pPr>
        <w:rPr>
          <w:rFonts w:hint="eastAsia" w:ascii="宋体" w:hAnsi="宋体" w:eastAsia="宋体" w:cs="宋体"/>
          <w:i w:val="0"/>
          <w:iCs/>
          <w:vertAlign w:val="baseline"/>
        </w:rPr>
      </w:pPr>
      <w:r>
        <w:rPr>
          <w:rFonts w:hint="eastAsia" w:ascii="宋体" w:hAnsi="宋体" w:eastAsia="宋体" w:cs="宋体"/>
          <w:i w:val="0"/>
          <w:iCs/>
          <w:vertAlign w:val="baseline"/>
        </w:rPr>
        <w:t>表2-3政府治理绩效的影响因素</w:t>
      </w:r>
    </w:p>
    <w:p w14:paraId="7476BBE1">
      <w:pPr>
        <w:rPr>
          <w:rFonts w:hint="eastAsia" w:ascii="宋体" w:hAnsi="宋体" w:eastAsia="宋体" w:cs="宋体"/>
          <w:i w:val="0"/>
          <w:iCs/>
          <w:vertAlign w:val="baseline"/>
        </w:rPr>
      </w:pPr>
      <w:r>
        <w:rPr>
          <w:rFonts w:hint="eastAsia" w:ascii="宋体" w:hAnsi="宋体" w:eastAsia="宋体" w:cs="宋体"/>
          <w:i w:val="0"/>
          <w:iCs/>
          <w:vertAlign w:val="baseline"/>
        </w:rPr>
        <w:t>类别</w:t>
      </w:r>
      <w:r>
        <w:rPr>
          <w:rFonts w:hint="eastAsia" w:ascii="宋体" w:hAnsi="宋体" w:eastAsia="宋体" w:cs="宋体"/>
          <w:i w:val="0"/>
          <w:iCs/>
          <w:vertAlign w:val="baseline"/>
        </w:rPr>
        <w:tab/>
      </w:r>
      <w:r>
        <w:rPr>
          <w:rFonts w:hint="eastAsia" w:ascii="宋体" w:hAnsi="宋体" w:eastAsia="宋体" w:cs="宋体"/>
          <w:i w:val="0"/>
          <w:iCs/>
          <w:vertAlign w:val="baseline"/>
        </w:rPr>
        <w:t>影响因素</w:t>
      </w:r>
      <w:r>
        <w:rPr>
          <w:rFonts w:hint="eastAsia" w:ascii="宋体" w:hAnsi="宋体" w:eastAsia="宋体" w:cs="宋体"/>
          <w:i w:val="0"/>
          <w:iCs/>
          <w:vertAlign w:val="baseline"/>
        </w:rPr>
        <w:tab/>
      </w:r>
      <w:r>
        <w:rPr>
          <w:rFonts w:hint="eastAsia" w:ascii="宋体" w:hAnsi="宋体" w:eastAsia="宋体" w:cs="宋体"/>
          <w:i w:val="0"/>
          <w:iCs/>
          <w:vertAlign w:val="baseline"/>
        </w:rPr>
        <w:t>影响方向</w:t>
      </w:r>
      <w:r>
        <w:rPr>
          <w:rFonts w:hint="eastAsia" w:ascii="宋体" w:hAnsi="宋体" w:eastAsia="宋体" w:cs="宋体"/>
          <w:i w:val="0"/>
          <w:iCs/>
          <w:vertAlign w:val="baseline"/>
        </w:rPr>
        <w:tab/>
      </w:r>
      <w:r>
        <w:rPr>
          <w:rFonts w:hint="eastAsia" w:ascii="宋体" w:hAnsi="宋体" w:eastAsia="宋体" w:cs="宋体"/>
          <w:i w:val="0"/>
          <w:iCs/>
          <w:vertAlign w:val="baseline"/>
        </w:rPr>
        <w:t>来源</w:t>
      </w:r>
    </w:p>
    <w:p w14:paraId="4C52EC48">
      <w:pPr>
        <w:rPr>
          <w:rFonts w:hint="eastAsia" w:ascii="宋体" w:hAnsi="宋体" w:eastAsia="宋体" w:cs="宋体"/>
          <w:i w:val="0"/>
          <w:iCs/>
          <w:vertAlign w:val="baseline"/>
        </w:rPr>
      </w:pPr>
      <w:r>
        <w:rPr>
          <w:rFonts w:hint="eastAsia" w:ascii="宋体" w:hAnsi="宋体" w:eastAsia="宋体" w:cs="宋体"/>
          <w:i w:val="0"/>
          <w:iCs/>
          <w:vertAlign w:val="baseline"/>
        </w:rPr>
        <w:t>政府</w:t>
      </w:r>
    </w:p>
    <w:p w14:paraId="050F56B3">
      <w:pPr>
        <w:rPr>
          <w:rFonts w:hint="eastAsia" w:ascii="宋体" w:hAnsi="宋体" w:eastAsia="宋体" w:cs="宋体"/>
          <w:i w:val="0"/>
          <w:iCs/>
          <w:vertAlign w:val="baseline"/>
        </w:rPr>
      </w:pPr>
      <w:r>
        <w:rPr>
          <w:rFonts w:hint="eastAsia" w:ascii="宋体" w:hAnsi="宋体" w:eastAsia="宋体" w:cs="宋体"/>
          <w:i w:val="0"/>
          <w:iCs/>
          <w:vertAlign w:val="baseline"/>
        </w:rPr>
        <w:t>内部</w:t>
      </w:r>
      <w:r>
        <w:rPr>
          <w:rFonts w:hint="eastAsia" w:ascii="宋体" w:hAnsi="宋体" w:eastAsia="宋体" w:cs="宋体"/>
          <w:i w:val="0"/>
          <w:iCs/>
          <w:vertAlign w:val="baseline"/>
        </w:rPr>
        <w:tab/>
      </w:r>
      <w:r>
        <w:rPr>
          <w:rFonts w:hint="eastAsia" w:ascii="宋体" w:hAnsi="宋体" w:eastAsia="宋体" w:cs="宋体"/>
          <w:i w:val="0"/>
          <w:iCs/>
          <w:vertAlign w:val="baseline"/>
        </w:rPr>
        <w:t>政府规模</w:t>
      </w:r>
      <w:r>
        <w:rPr>
          <w:rFonts w:hint="eastAsia" w:ascii="宋体" w:hAnsi="宋体" w:eastAsia="宋体" w:cs="宋体"/>
          <w:i w:val="0"/>
          <w:iCs/>
          <w:vertAlign w:val="baseline"/>
        </w:rPr>
        <w:tab/>
      </w:r>
      <w:r>
        <w:rPr>
          <w:rFonts w:hint="eastAsia" w:ascii="宋体" w:hAnsi="宋体" w:eastAsia="宋体" w:cs="宋体"/>
          <w:i w:val="0"/>
          <w:iCs/>
          <w:vertAlign w:val="baseline"/>
        </w:rPr>
        <w:t>正向</w:t>
      </w:r>
      <w:r>
        <w:rPr>
          <w:rFonts w:hint="eastAsia" w:ascii="宋体" w:hAnsi="宋体" w:eastAsia="宋体" w:cs="宋体"/>
          <w:i w:val="0"/>
          <w:iCs/>
          <w:vertAlign w:val="baseline"/>
        </w:rPr>
        <w:tab/>
      </w:r>
      <w:r>
        <w:rPr>
          <w:rFonts w:hint="eastAsia" w:ascii="宋体" w:hAnsi="宋体" w:eastAsia="宋体" w:cs="宋体"/>
          <w:i w:val="0"/>
          <w:iCs/>
          <w:vertAlign w:val="baseline"/>
        </w:rPr>
        <w:t>陈仲常、张峥，2012;Lago-Pe-as,2013</w:t>
      </w:r>
    </w:p>
    <w:p w14:paraId="6B932C78">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组织稳定性</w:t>
      </w:r>
      <w:r>
        <w:rPr>
          <w:rFonts w:hint="eastAsia" w:ascii="宋体" w:hAnsi="宋体" w:eastAsia="宋体" w:cs="宋体"/>
          <w:i w:val="0"/>
          <w:iCs/>
          <w:vertAlign w:val="baseline"/>
        </w:rPr>
        <w:tab/>
      </w:r>
      <w:r>
        <w:rPr>
          <w:rFonts w:hint="eastAsia" w:ascii="宋体" w:hAnsi="宋体" w:eastAsia="宋体" w:cs="宋体"/>
          <w:i w:val="0"/>
          <w:iCs/>
          <w:vertAlign w:val="baseline"/>
        </w:rPr>
        <w:t>正向</w:t>
      </w:r>
      <w:r>
        <w:rPr>
          <w:rFonts w:hint="eastAsia" w:ascii="宋体" w:hAnsi="宋体" w:eastAsia="宋体" w:cs="宋体"/>
          <w:i w:val="0"/>
          <w:iCs/>
          <w:vertAlign w:val="baseline"/>
        </w:rPr>
        <w:tab/>
      </w:r>
      <w:r>
        <w:rPr>
          <w:rFonts w:hint="eastAsia" w:ascii="宋体" w:hAnsi="宋体" w:eastAsia="宋体" w:cs="宋体"/>
          <w:i w:val="0"/>
          <w:iCs/>
          <w:vertAlign w:val="baseline"/>
        </w:rPr>
        <w:t>Toole and Meier,1999;Meier,2003</w:t>
      </w:r>
    </w:p>
    <w:p w14:paraId="3226D3C0">
      <w:pPr>
        <w:rPr>
          <w:rFonts w:hint="eastAsia" w:ascii="宋体" w:hAnsi="宋体" w:eastAsia="宋体" w:cs="宋体"/>
          <w:i w:val="0"/>
          <w:iCs/>
          <w:vertAlign w:val="baseline"/>
        </w:rPr>
      </w:pPr>
    </w:p>
    <w:p w14:paraId="2EFAC23B">
      <w:pPr>
        <w:rPr>
          <w:rFonts w:hint="eastAsia" w:ascii="宋体" w:hAnsi="宋体" w:eastAsia="宋体" w:cs="宋体"/>
          <w:i w:val="0"/>
          <w:iCs/>
          <w:vertAlign w:val="baseline"/>
        </w:rPr>
      </w:pPr>
      <w:r>
        <w:rPr>
          <w:rFonts w:hint="eastAsia" w:ascii="宋体" w:hAnsi="宋体" w:eastAsia="宋体" w:cs="宋体"/>
          <w:i w:val="0"/>
          <w:iCs/>
          <w:vertAlign w:val="baseline"/>
        </w:rPr>
        <w:t>17</w:t>
      </w:r>
    </w:p>
    <w:p w14:paraId="62A353A6">
      <w:pPr>
        <w:rPr>
          <w:rFonts w:hint="eastAsia" w:ascii="宋体" w:hAnsi="宋体" w:eastAsia="宋体" w:cs="宋体"/>
          <w:i w:val="0"/>
          <w:iCs/>
          <w:vertAlign w:val="baseline"/>
        </w:rPr>
      </w:pPr>
    </w:p>
    <w:p w14:paraId="4BCFBD3A">
      <w:pPr>
        <w:rPr>
          <w:rFonts w:hint="eastAsia" w:ascii="宋体" w:hAnsi="宋体" w:eastAsia="宋体" w:cs="宋体"/>
          <w:i w:val="0"/>
          <w:iCs/>
          <w:vertAlign w:val="baseline"/>
        </w:rPr>
      </w:pPr>
    </w:p>
    <w:p w14:paraId="12F66DD0">
      <w:pPr>
        <w:rPr>
          <w:rFonts w:hint="eastAsia" w:ascii="宋体" w:hAnsi="宋体" w:eastAsia="宋体" w:cs="宋体"/>
          <w:i w:val="0"/>
          <w:iCs/>
          <w:vertAlign w:val="baseline"/>
        </w:rPr>
      </w:pPr>
    </w:p>
    <w:p w14:paraId="101B6A54">
      <w:pPr>
        <w:rPr>
          <w:rFonts w:hint="eastAsia" w:ascii="宋体" w:hAnsi="宋体" w:eastAsia="宋体" w:cs="宋体"/>
          <w:i w:val="0"/>
          <w:iCs/>
          <w:vertAlign w:val="baseline"/>
        </w:rPr>
      </w:pPr>
      <w:r>
        <w:rPr>
          <w:rFonts w:hint="eastAsia" w:ascii="宋体" w:hAnsi="宋体" w:eastAsia="宋体" w:cs="宋体"/>
          <w:i w:val="0"/>
          <w:iCs/>
          <w:vertAlign w:val="baseline"/>
        </w:rPr>
        <w:t>类别</w:t>
      </w:r>
      <w:r>
        <w:rPr>
          <w:rFonts w:hint="eastAsia" w:ascii="宋体" w:hAnsi="宋体" w:eastAsia="宋体" w:cs="宋体"/>
          <w:i w:val="0"/>
          <w:iCs/>
          <w:vertAlign w:val="baseline"/>
        </w:rPr>
        <w:tab/>
      </w:r>
      <w:r>
        <w:rPr>
          <w:rFonts w:hint="eastAsia" w:ascii="宋体" w:hAnsi="宋体" w:eastAsia="宋体" w:cs="宋体"/>
          <w:i w:val="0"/>
          <w:iCs/>
          <w:vertAlign w:val="baseline"/>
        </w:rPr>
        <w:t>影响因素</w:t>
      </w:r>
      <w:r>
        <w:rPr>
          <w:rFonts w:hint="eastAsia" w:ascii="宋体" w:hAnsi="宋体" w:eastAsia="宋体" w:cs="宋体"/>
          <w:i w:val="0"/>
          <w:iCs/>
          <w:vertAlign w:val="baseline"/>
        </w:rPr>
        <w:tab/>
      </w:r>
      <w:r>
        <w:rPr>
          <w:rFonts w:hint="eastAsia" w:ascii="宋体" w:hAnsi="宋体" w:eastAsia="宋体" w:cs="宋体"/>
          <w:i w:val="0"/>
          <w:iCs/>
          <w:vertAlign w:val="baseline"/>
        </w:rPr>
        <w:t>影响方向</w:t>
      </w:r>
      <w:r>
        <w:rPr>
          <w:rFonts w:hint="eastAsia" w:ascii="宋体" w:hAnsi="宋体" w:eastAsia="宋体" w:cs="宋体"/>
          <w:i w:val="0"/>
          <w:iCs/>
          <w:vertAlign w:val="baseline"/>
        </w:rPr>
        <w:tab/>
      </w:r>
      <w:r>
        <w:rPr>
          <w:rFonts w:hint="eastAsia" w:ascii="宋体" w:hAnsi="宋体" w:eastAsia="宋体" w:cs="宋体"/>
          <w:i w:val="0"/>
          <w:iCs/>
          <w:vertAlign w:val="baseline"/>
        </w:rPr>
        <w:t>来源</w:t>
      </w:r>
    </w:p>
    <w:p w14:paraId="25FAB20C">
      <w:pPr>
        <w:rPr>
          <w:rFonts w:hint="eastAsia" w:ascii="宋体" w:hAnsi="宋体" w:eastAsia="宋体" w:cs="宋体"/>
          <w:i w:val="0"/>
          <w:iCs/>
          <w:vertAlign w:val="baseline"/>
        </w:rPr>
      </w:pPr>
      <w:r>
        <w:rPr>
          <w:rFonts w:hint="eastAsia" w:ascii="宋体" w:hAnsi="宋体" w:eastAsia="宋体" w:cs="宋体"/>
          <w:i w:val="0"/>
          <w:iCs/>
          <w:vertAlign w:val="baseline"/>
        </w:rPr>
        <w:t>因素</w:t>
      </w:r>
      <w:r>
        <w:rPr>
          <w:rFonts w:hint="eastAsia" w:ascii="宋体" w:hAnsi="宋体" w:eastAsia="宋体" w:cs="宋体"/>
          <w:i w:val="0"/>
          <w:iCs/>
          <w:vertAlign w:val="baseline"/>
        </w:rPr>
        <w:tab/>
      </w:r>
      <w:r>
        <w:rPr>
          <w:rFonts w:hint="eastAsia" w:ascii="宋体" w:hAnsi="宋体" w:eastAsia="宋体" w:cs="宋体"/>
          <w:i w:val="0"/>
          <w:iCs/>
          <w:vertAlign w:val="baseline"/>
        </w:rPr>
        <w:t>网络管理</w:t>
      </w:r>
      <w:r>
        <w:rPr>
          <w:rFonts w:hint="eastAsia" w:ascii="宋体" w:hAnsi="宋体" w:eastAsia="宋体" w:cs="宋体"/>
          <w:i w:val="0"/>
          <w:iCs/>
          <w:vertAlign w:val="baseline"/>
        </w:rPr>
        <w:tab/>
      </w:r>
      <w:r>
        <w:rPr>
          <w:rFonts w:hint="eastAsia" w:ascii="宋体" w:hAnsi="宋体" w:eastAsia="宋体" w:cs="宋体"/>
          <w:i w:val="0"/>
          <w:iCs/>
          <w:vertAlign w:val="baseline"/>
        </w:rPr>
        <w:t>正向</w:t>
      </w:r>
      <w:r>
        <w:rPr>
          <w:rFonts w:hint="eastAsia" w:ascii="宋体" w:hAnsi="宋体" w:eastAsia="宋体" w:cs="宋体"/>
          <w:i w:val="0"/>
          <w:iCs/>
          <w:vertAlign w:val="baseline"/>
        </w:rPr>
        <w:tab/>
      </w:r>
      <w:r>
        <w:rPr>
          <w:rFonts w:hint="eastAsia" w:ascii="宋体" w:hAnsi="宋体" w:eastAsia="宋体" w:cs="宋体"/>
          <w:i w:val="0"/>
          <w:iCs/>
          <w:vertAlign w:val="baseline"/>
        </w:rPr>
        <w:t>Meier and Toole,2010,2011</w:t>
      </w:r>
    </w:p>
    <w:p w14:paraId="21C1EE41">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领导能力</w:t>
      </w:r>
      <w:r>
        <w:rPr>
          <w:rFonts w:hint="eastAsia" w:ascii="宋体" w:hAnsi="宋体" w:eastAsia="宋体" w:cs="宋体"/>
          <w:i w:val="0"/>
          <w:iCs/>
          <w:vertAlign w:val="baseline"/>
        </w:rPr>
        <w:tab/>
      </w:r>
      <w:r>
        <w:rPr>
          <w:rFonts w:hint="eastAsia" w:ascii="宋体" w:hAnsi="宋体" w:eastAsia="宋体" w:cs="宋体"/>
          <w:i w:val="0"/>
          <w:iCs/>
          <w:vertAlign w:val="baseline"/>
        </w:rPr>
        <w:t>正向</w:t>
      </w:r>
      <w:r>
        <w:rPr>
          <w:rFonts w:hint="eastAsia" w:ascii="宋体" w:hAnsi="宋体" w:eastAsia="宋体" w:cs="宋体"/>
          <w:i w:val="0"/>
          <w:iCs/>
          <w:vertAlign w:val="baseline"/>
        </w:rPr>
        <w:tab/>
      </w:r>
      <w:r>
        <w:rPr>
          <w:rFonts w:hint="eastAsia" w:ascii="宋体" w:hAnsi="宋体" w:eastAsia="宋体" w:cs="宋体"/>
          <w:i w:val="0"/>
          <w:iCs/>
          <w:vertAlign w:val="baseline"/>
        </w:rPr>
        <w:t>Coggburn and Schneider,2003;Jones,2004</w:t>
      </w:r>
    </w:p>
    <w:p w14:paraId="076DBE78">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制度能力</w:t>
      </w:r>
      <w:r>
        <w:rPr>
          <w:rFonts w:hint="eastAsia" w:ascii="宋体" w:hAnsi="宋体" w:eastAsia="宋体" w:cs="宋体"/>
          <w:i w:val="0"/>
          <w:iCs/>
          <w:vertAlign w:val="baseline"/>
        </w:rPr>
        <w:tab/>
      </w:r>
      <w:r>
        <w:rPr>
          <w:rFonts w:hint="eastAsia" w:ascii="宋体" w:hAnsi="宋体" w:eastAsia="宋体" w:cs="宋体"/>
          <w:i w:val="0"/>
          <w:iCs/>
          <w:vertAlign w:val="baseline"/>
        </w:rPr>
        <w:t>正向</w:t>
      </w:r>
      <w:r>
        <w:rPr>
          <w:rFonts w:hint="eastAsia" w:ascii="宋体" w:hAnsi="宋体" w:eastAsia="宋体" w:cs="宋体"/>
          <w:i w:val="0"/>
          <w:iCs/>
          <w:vertAlign w:val="baseline"/>
        </w:rPr>
        <w:tab/>
      </w:r>
      <w:r>
        <w:rPr>
          <w:rFonts w:hint="eastAsia" w:ascii="宋体" w:hAnsi="宋体" w:eastAsia="宋体" w:cs="宋体"/>
          <w:i w:val="0"/>
          <w:iCs/>
          <w:vertAlign w:val="baseline"/>
        </w:rPr>
        <w:t>Gibbs et al,2001;孙小逸、黄荣贵，2012</w:t>
      </w:r>
    </w:p>
    <w:p w14:paraId="664C4BCD">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组织文化</w:t>
      </w:r>
      <w:r>
        <w:rPr>
          <w:rFonts w:hint="eastAsia" w:ascii="宋体" w:hAnsi="宋体" w:eastAsia="宋体" w:cs="宋体"/>
          <w:i w:val="0"/>
          <w:iCs/>
          <w:vertAlign w:val="baseline"/>
        </w:rPr>
        <w:tab/>
      </w:r>
      <w:r>
        <w:rPr>
          <w:rFonts w:hint="eastAsia" w:ascii="宋体" w:hAnsi="宋体" w:eastAsia="宋体" w:cs="宋体"/>
          <w:i w:val="0"/>
          <w:iCs/>
          <w:vertAlign w:val="baseline"/>
        </w:rPr>
        <w:t>正向</w:t>
      </w:r>
      <w:r>
        <w:rPr>
          <w:rFonts w:hint="eastAsia" w:ascii="宋体" w:hAnsi="宋体" w:eastAsia="宋体" w:cs="宋体"/>
          <w:i w:val="0"/>
          <w:iCs/>
          <w:vertAlign w:val="baseline"/>
        </w:rPr>
        <w:tab/>
      </w:r>
      <w:r>
        <w:rPr>
          <w:rFonts w:hint="eastAsia" w:ascii="宋体" w:hAnsi="宋体" w:eastAsia="宋体" w:cs="宋体"/>
          <w:i w:val="0"/>
          <w:iCs/>
          <w:vertAlign w:val="baseline"/>
        </w:rPr>
        <w:t>Moynihan,2005;宋雅琴等，2012</w:t>
      </w:r>
    </w:p>
    <w:p w14:paraId="3D027F11">
      <w:pPr>
        <w:rPr>
          <w:rFonts w:hint="eastAsia" w:ascii="宋体" w:hAnsi="宋体" w:eastAsia="宋体" w:cs="宋体"/>
          <w:i w:val="0"/>
          <w:iCs/>
          <w:vertAlign w:val="baseline"/>
        </w:rPr>
      </w:pPr>
    </w:p>
    <w:p w14:paraId="02251A74">
      <w:pPr>
        <w:rPr>
          <w:rFonts w:hint="eastAsia" w:ascii="宋体" w:hAnsi="宋体" w:eastAsia="宋体" w:cs="宋体"/>
          <w:i w:val="0"/>
          <w:iCs/>
          <w:vertAlign w:val="baseline"/>
        </w:rPr>
      </w:pPr>
    </w:p>
    <w:p w14:paraId="61B0ADA2">
      <w:pPr>
        <w:rPr>
          <w:rFonts w:hint="eastAsia" w:ascii="宋体" w:hAnsi="宋体" w:eastAsia="宋体" w:cs="宋体"/>
          <w:i w:val="0"/>
          <w:iCs/>
          <w:vertAlign w:val="baseline"/>
        </w:rPr>
      </w:pPr>
    </w:p>
    <w:p w14:paraId="6C28BB07">
      <w:pPr>
        <w:rPr>
          <w:rFonts w:hint="eastAsia" w:ascii="宋体" w:hAnsi="宋体" w:eastAsia="宋体" w:cs="宋体"/>
          <w:i w:val="0"/>
          <w:iCs/>
          <w:vertAlign w:val="baseline"/>
        </w:rPr>
      </w:pPr>
    </w:p>
    <w:p w14:paraId="2E916A25">
      <w:pPr>
        <w:rPr>
          <w:rFonts w:hint="eastAsia" w:ascii="宋体" w:hAnsi="宋体" w:eastAsia="宋体" w:cs="宋体"/>
          <w:i w:val="0"/>
          <w:iCs/>
          <w:vertAlign w:val="baseline"/>
        </w:rPr>
      </w:pPr>
    </w:p>
    <w:p w14:paraId="359B7C1D">
      <w:pPr>
        <w:rPr>
          <w:rFonts w:hint="eastAsia" w:ascii="宋体" w:hAnsi="宋体" w:eastAsia="宋体" w:cs="宋体"/>
          <w:i w:val="0"/>
          <w:iCs/>
          <w:vertAlign w:val="baseline"/>
        </w:rPr>
      </w:pPr>
      <w:r>
        <w:rPr>
          <w:rFonts w:hint="eastAsia" w:ascii="宋体" w:hAnsi="宋体" w:eastAsia="宋体" w:cs="宋体"/>
          <w:i w:val="0"/>
          <w:iCs/>
          <w:vertAlign w:val="baseline"/>
        </w:rPr>
        <w:t>外部</w:t>
      </w:r>
    </w:p>
    <w:p w14:paraId="6403FAEA">
      <w:pPr>
        <w:rPr>
          <w:rFonts w:hint="eastAsia" w:ascii="宋体" w:hAnsi="宋体" w:eastAsia="宋体" w:cs="宋体"/>
          <w:i w:val="0"/>
          <w:iCs/>
          <w:vertAlign w:val="baseline"/>
        </w:rPr>
      </w:pPr>
      <w:r>
        <w:rPr>
          <w:rFonts w:hint="eastAsia" w:ascii="宋体" w:hAnsi="宋体" w:eastAsia="宋体" w:cs="宋体"/>
          <w:i w:val="0"/>
          <w:iCs/>
          <w:vertAlign w:val="baseline"/>
        </w:rPr>
        <w:t>环境</w:t>
      </w:r>
    </w:p>
    <w:p w14:paraId="22C2483B">
      <w:pPr>
        <w:rPr>
          <w:rFonts w:hint="eastAsia" w:ascii="宋体" w:hAnsi="宋体" w:eastAsia="宋体" w:cs="宋体"/>
          <w:i w:val="0"/>
          <w:iCs/>
          <w:vertAlign w:val="baseline"/>
        </w:rPr>
      </w:pPr>
      <w:r>
        <w:rPr>
          <w:rFonts w:hint="eastAsia" w:ascii="宋体" w:hAnsi="宋体" w:eastAsia="宋体" w:cs="宋体"/>
          <w:i w:val="0"/>
          <w:iCs/>
          <w:vertAlign w:val="baseline"/>
        </w:rPr>
        <w:t>因素</w:t>
      </w:r>
      <w:r>
        <w:rPr>
          <w:rFonts w:hint="eastAsia" w:ascii="宋体" w:hAnsi="宋体" w:eastAsia="宋体" w:cs="宋体"/>
          <w:i w:val="0"/>
          <w:iCs/>
          <w:vertAlign w:val="baseline"/>
        </w:rPr>
        <w:tab/>
      </w:r>
      <w:r>
        <w:rPr>
          <w:rFonts w:hint="eastAsia" w:ascii="宋体" w:hAnsi="宋体" w:eastAsia="宋体" w:cs="宋体"/>
          <w:i w:val="0"/>
          <w:iCs/>
          <w:vertAlign w:val="baseline"/>
        </w:rPr>
        <w:t>社会资本</w:t>
      </w:r>
    </w:p>
    <w:p w14:paraId="064B4C23">
      <w:pPr>
        <w:rPr>
          <w:rFonts w:hint="eastAsia" w:ascii="宋体" w:hAnsi="宋体" w:eastAsia="宋体" w:cs="宋体"/>
          <w:i w:val="0"/>
          <w:iCs/>
          <w:vertAlign w:val="baseline"/>
        </w:rPr>
      </w:pPr>
      <w:r>
        <w:rPr>
          <w:rFonts w:hint="eastAsia" w:ascii="宋体" w:hAnsi="宋体" w:eastAsia="宋体" w:cs="宋体"/>
          <w:i w:val="0"/>
          <w:iCs/>
          <w:vertAlign w:val="baseline"/>
        </w:rPr>
        <w:t>(公民信任)</w:t>
      </w:r>
      <w:r>
        <w:rPr>
          <w:rFonts w:hint="eastAsia" w:ascii="宋体" w:hAnsi="宋体" w:eastAsia="宋体" w:cs="宋体"/>
          <w:i w:val="0"/>
          <w:iCs/>
          <w:vertAlign w:val="baseline"/>
        </w:rPr>
        <w:tab/>
      </w:r>
      <w:r>
        <w:rPr>
          <w:rFonts w:hint="eastAsia" w:ascii="宋体" w:hAnsi="宋体" w:eastAsia="宋体" w:cs="宋体"/>
          <w:i w:val="0"/>
          <w:iCs/>
          <w:vertAlign w:val="baseline"/>
        </w:rPr>
        <w:t>正向</w:t>
      </w:r>
    </w:p>
    <w:p w14:paraId="05D7E6BB">
      <w:pPr>
        <w:rPr>
          <w:rFonts w:hint="eastAsia" w:ascii="宋体" w:hAnsi="宋体" w:eastAsia="宋体" w:cs="宋体"/>
          <w:i w:val="0"/>
          <w:iCs/>
          <w:vertAlign w:val="baseline"/>
        </w:rPr>
      </w:pPr>
      <w:r>
        <w:rPr>
          <w:rFonts w:hint="eastAsia" w:ascii="宋体" w:hAnsi="宋体" w:eastAsia="宋体" w:cs="宋体"/>
          <w:i w:val="0"/>
          <w:iCs/>
          <w:vertAlign w:val="baseline"/>
        </w:rPr>
        <w:t>负向</w:t>
      </w:r>
      <w:r>
        <w:rPr>
          <w:rFonts w:hint="eastAsia" w:ascii="宋体" w:hAnsi="宋体" w:eastAsia="宋体" w:cs="宋体"/>
          <w:i w:val="0"/>
          <w:iCs/>
          <w:vertAlign w:val="baseline"/>
        </w:rPr>
        <w:tab/>
      </w:r>
      <w:r>
        <w:rPr>
          <w:rFonts w:hint="eastAsia" w:ascii="宋体" w:hAnsi="宋体" w:eastAsia="宋体" w:cs="宋体"/>
          <w:i w:val="0"/>
          <w:iCs/>
          <w:vertAlign w:val="baseline"/>
        </w:rPr>
        <w:t>Putnam,1993;Keele,2007;胡荣等，2011;  孟天广、杨明，2012;李小勇、谢治菊，2013</w:t>
      </w:r>
    </w:p>
    <w:p w14:paraId="31604C8E">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人口禀赋</w:t>
      </w:r>
      <w:r>
        <w:rPr>
          <w:rFonts w:hint="eastAsia" w:ascii="宋体" w:hAnsi="宋体" w:eastAsia="宋体" w:cs="宋体"/>
          <w:i w:val="0"/>
          <w:iCs/>
          <w:vertAlign w:val="baseline"/>
        </w:rPr>
        <w:tab/>
      </w:r>
      <w:r>
        <w:rPr>
          <w:rFonts w:hint="eastAsia" w:ascii="宋体" w:hAnsi="宋体" w:eastAsia="宋体" w:cs="宋体"/>
          <w:i w:val="0"/>
          <w:iCs/>
          <w:vertAlign w:val="baseline"/>
        </w:rPr>
        <w:t>正向</w:t>
      </w:r>
    </w:p>
    <w:p w14:paraId="1BE4398A">
      <w:pPr>
        <w:rPr>
          <w:rFonts w:hint="eastAsia" w:ascii="宋体" w:hAnsi="宋体" w:eastAsia="宋体" w:cs="宋体"/>
          <w:i w:val="0"/>
          <w:iCs/>
          <w:vertAlign w:val="baseline"/>
        </w:rPr>
      </w:pPr>
      <w:r>
        <w:rPr>
          <w:rFonts w:hint="eastAsia" w:ascii="宋体" w:hAnsi="宋体" w:eastAsia="宋体" w:cs="宋体"/>
          <w:i w:val="0"/>
          <w:iCs/>
          <w:vertAlign w:val="baseline"/>
        </w:rPr>
        <w:t>负向</w:t>
      </w:r>
      <w:r>
        <w:rPr>
          <w:rFonts w:hint="eastAsia" w:ascii="宋体" w:hAnsi="宋体" w:eastAsia="宋体" w:cs="宋体"/>
          <w:i w:val="0"/>
          <w:iCs/>
          <w:vertAlign w:val="baseline"/>
        </w:rPr>
        <w:tab/>
      </w:r>
      <w:r>
        <w:rPr>
          <w:rFonts w:hint="eastAsia" w:ascii="宋体" w:hAnsi="宋体" w:eastAsia="宋体" w:cs="宋体"/>
          <w:i w:val="0"/>
          <w:iCs/>
          <w:vertAlign w:val="baseline"/>
        </w:rPr>
        <w:t>Grossman,1999;Loikkanen and Susiluoto,2005; 陈诗一、张军，2008;Cruz and Marques,2014</w:t>
      </w:r>
    </w:p>
    <w:p w14:paraId="20A2BEF3">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公民参与</w:t>
      </w:r>
    </w:p>
    <w:p w14:paraId="71DD9433">
      <w:pPr>
        <w:rPr>
          <w:rFonts w:hint="eastAsia" w:ascii="宋体" w:hAnsi="宋体" w:eastAsia="宋体" w:cs="宋体"/>
          <w:i w:val="0"/>
          <w:iCs/>
          <w:vertAlign w:val="baseline"/>
        </w:rPr>
      </w:pPr>
      <w:r>
        <w:rPr>
          <w:rFonts w:hint="eastAsia" w:ascii="宋体" w:hAnsi="宋体" w:eastAsia="宋体" w:cs="宋体"/>
          <w:i w:val="0"/>
          <w:iCs/>
          <w:vertAlign w:val="baseline"/>
        </w:rPr>
        <w:t>(公众诉求)</w:t>
      </w:r>
      <w:r>
        <w:rPr>
          <w:rFonts w:hint="eastAsia" w:ascii="宋体" w:hAnsi="宋体" w:eastAsia="宋体" w:cs="宋体"/>
          <w:i w:val="0"/>
          <w:iCs/>
          <w:vertAlign w:val="baseline"/>
        </w:rPr>
        <w:tab/>
      </w:r>
      <w:r>
        <w:rPr>
          <w:rFonts w:hint="eastAsia" w:ascii="宋体" w:hAnsi="宋体" w:eastAsia="宋体" w:cs="宋体"/>
          <w:i w:val="0"/>
          <w:iCs/>
          <w:vertAlign w:val="baseline"/>
        </w:rPr>
        <w:t>正向</w:t>
      </w:r>
    </w:p>
    <w:p w14:paraId="1F5B4F2F">
      <w:pPr>
        <w:rPr>
          <w:rFonts w:hint="eastAsia" w:ascii="宋体" w:hAnsi="宋体" w:eastAsia="宋体" w:cs="宋体"/>
          <w:i w:val="0"/>
          <w:iCs/>
          <w:vertAlign w:val="baseline"/>
        </w:rPr>
      </w:pPr>
      <w:r>
        <w:rPr>
          <w:rFonts w:hint="eastAsia" w:ascii="宋体" w:hAnsi="宋体" w:eastAsia="宋体" w:cs="宋体"/>
          <w:i w:val="0"/>
          <w:iCs/>
          <w:vertAlign w:val="baseline"/>
        </w:rPr>
        <w:t>负向</w:t>
      </w:r>
      <w:r>
        <w:rPr>
          <w:rFonts w:hint="eastAsia" w:ascii="宋体" w:hAnsi="宋体" w:eastAsia="宋体" w:cs="宋体"/>
          <w:i w:val="0"/>
          <w:iCs/>
          <w:vertAlign w:val="baseline"/>
        </w:rPr>
        <w:tab/>
      </w:r>
    </w:p>
    <w:p w14:paraId="315874C6">
      <w:pPr>
        <w:rPr>
          <w:rFonts w:hint="eastAsia" w:ascii="宋体" w:hAnsi="宋体" w:eastAsia="宋体" w:cs="宋体"/>
          <w:i w:val="0"/>
          <w:iCs/>
          <w:vertAlign w:val="baseline"/>
        </w:rPr>
      </w:pPr>
      <w:r>
        <w:rPr>
          <w:rFonts w:hint="eastAsia" w:ascii="宋体" w:hAnsi="宋体" w:eastAsia="宋体" w:cs="宋体"/>
          <w:i w:val="0"/>
          <w:iCs/>
          <w:vertAlign w:val="baseline"/>
        </w:rPr>
        <w:t>曹正汉，2011;谢治菊，2012;郑思齐，2013;</w:t>
      </w:r>
    </w:p>
    <w:p w14:paraId="53C296B9">
      <w:pPr>
        <w:rPr>
          <w:rFonts w:hint="eastAsia" w:ascii="宋体" w:hAnsi="宋体" w:eastAsia="宋体" w:cs="宋体"/>
          <w:i w:val="0"/>
          <w:iCs/>
          <w:vertAlign w:val="baseline"/>
        </w:rPr>
      </w:pPr>
      <w:r>
        <w:rPr>
          <w:rFonts w:hint="eastAsia" w:ascii="宋体" w:hAnsi="宋体" w:eastAsia="宋体" w:cs="宋体"/>
          <w:i w:val="0"/>
          <w:iCs/>
          <w:vertAlign w:val="baseline"/>
        </w:rPr>
        <w:tab/>
      </w:r>
    </w:p>
    <w:p w14:paraId="50521B4E">
      <w:pPr>
        <w:rPr>
          <w:rFonts w:hint="eastAsia" w:ascii="宋体" w:hAnsi="宋体" w:eastAsia="宋体" w:cs="宋体"/>
          <w:i w:val="0"/>
          <w:iCs/>
          <w:vertAlign w:val="baseline"/>
        </w:rPr>
      </w:pPr>
      <w:r>
        <w:rPr>
          <w:rFonts w:hint="eastAsia" w:ascii="宋体" w:hAnsi="宋体" w:eastAsia="宋体" w:cs="宋体"/>
          <w:i w:val="0"/>
          <w:iCs/>
          <w:vertAlign w:val="baseline"/>
        </w:rPr>
        <w:t>地理条件</w:t>
      </w:r>
      <w:r>
        <w:rPr>
          <w:rFonts w:hint="eastAsia" w:ascii="宋体" w:hAnsi="宋体" w:eastAsia="宋体" w:cs="宋体"/>
          <w:i w:val="0"/>
          <w:iCs/>
          <w:vertAlign w:val="baseline"/>
        </w:rPr>
        <w:tab/>
      </w:r>
      <w:r>
        <w:rPr>
          <w:rFonts w:hint="eastAsia" w:ascii="宋体" w:hAnsi="宋体" w:eastAsia="宋体" w:cs="宋体"/>
          <w:i w:val="0"/>
          <w:iCs/>
          <w:vertAlign w:val="baseline"/>
        </w:rPr>
        <w:t>正向</w:t>
      </w:r>
    </w:p>
    <w:p w14:paraId="67084253">
      <w:pPr>
        <w:rPr>
          <w:rFonts w:hint="eastAsia" w:ascii="宋体" w:hAnsi="宋体" w:eastAsia="宋体" w:cs="宋体"/>
          <w:i w:val="0"/>
          <w:iCs/>
          <w:vertAlign w:val="baseline"/>
        </w:rPr>
      </w:pPr>
      <w:r>
        <w:rPr>
          <w:rFonts w:hint="eastAsia" w:ascii="宋体" w:hAnsi="宋体" w:eastAsia="宋体" w:cs="宋体"/>
          <w:i w:val="0"/>
          <w:iCs/>
          <w:vertAlign w:val="baseline"/>
        </w:rPr>
        <w:t>负向</w:t>
      </w:r>
      <w:r>
        <w:rPr>
          <w:rFonts w:hint="eastAsia" w:ascii="宋体" w:hAnsi="宋体" w:eastAsia="宋体" w:cs="宋体"/>
          <w:i w:val="0"/>
          <w:iCs/>
          <w:vertAlign w:val="baseline"/>
        </w:rPr>
        <w:tab/>
      </w:r>
    </w:p>
    <w:p w14:paraId="5D84EF68">
      <w:pPr>
        <w:rPr>
          <w:rFonts w:hint="eastAsia" w:ascii="宋体" w:hAnsi="宋体" w:eastAsia="宋体" w:cs="宋体"/>
          <w:i w:val="0"/>
          <w:iCs/>
          <w:vertAlign w:val="baseline"/>
        </w:rPr>
      </w:pPr>
      <w:r>
        <w:rPr>
          <w:rFonts w:hint="eastAsia" w:ascii="宋体" w:hAnsi="宋体" w:eastAsia="宋体" w:cs="宋体"/>
          <w:i w:val="0"/>
          <w:iCs/>
          <w:vertAlign w:val="baseline"/>
        </w:rPr>
        <w:t>陈诗一、张军，2008;陈仲常、张峥，2012</w:t>
      </w:r>
    </w:p>
    <w:p w14:paraId="1E27EF9D">
      <w:pPr>
        <w:rPr>
          <w:rFonts w:hint="eastAsia" w:ascii="宋体" w:hAnsi="宋体" w:eastAsia="宋体" w:cs="宋体"/>
          <w:i w:val="0"/>
          <w:iCs/>
          <w:vertAlign w:val="baseline"/>
        </w:rPr>
      </w:pPr>
      <w:r>
        <w:rPr>
          <w:rFonts w:hint="eastAsia" w:ascii="宋体" w:hAnsi="宋体" w:eastAsia="宋体" w:cs="宋体"/>
          <w:i w:val="0"/>
          <w:iCs/>
          <w:vertAlign w:val="baseline"/>
        </w:rPr>
        <w:tab/>
      </w:r>
      <w:r>
        <w:rPr>
          <w:rFonts w:hint="eastAsia" w:ascii="宋体" w:hAnsi="宋体" w:eastAsia="宋体" w:cs="宋体"/>
          <w:i w:val="0"/>
          <w:iCs/>
          <w:vertAlign w:val="baseline"/>
        </w:rPr>
        <w:t>经济发展水平</w:t>
      </w:r>
    </w:p>
    <w:p w14:paraId="00C47743">
      <w:pPr>
        <w:rPr>
          <w:rFonts w:hint="eastAsia" w:ascii="宋体" w:hAnsi="宋体" w:eastAsia="宋体" w:cs="宋体"/>
          <w:i w:val="0"/>
          <w:iCs/>
          <w:vertAlign w:val="baseline"/>
        </w:rPr>
      </w:pPr>
      <w:r>
        <w:rPr>
          <w:rFonts w:hint="eastAsia" w:ascii="宋体" w:hAnsi="宋体" w:eastAsia="宋体" w:cs="宋体"/>
          <w:i w:val="0"/>
          <w:iCs/>
          <w:vertAlign w:val="baseline"/>
        </w:rPr>
        <w:t>(市场化水平)</w:t>
      </w:r>
      <w:r>
        <w:rPr>
          <w:rFonts w:hint="eastAsia" w:ascii="宋体" w:hAnsi="宋体" w:eastAsia="宋体" w:cs="宋体"/>
          <w:i w:val="0"/>
          <w:iCs/>
          <w:vertAlign w:val="baseline"/>
        </w:rPr>
        <w:tab/>
      </w:r>
      <w:r>
        <w:rPr>
          <w:rFonts w:hint="eastAsia" w:ascii="宋体" w:hAnsi="宋体" w:eastAsia="宋体" w:cs="宋体"/>
          <w:i w:val="0"/>
          <w:iCs/>
          <w:vertAlign w:val="baseline"/>
        </w:rPr>
        <w:t>正向</w:t>
      </w:r>
    </w:p>
    <w:p w14:paraId="17D1BF3C">
      <w:pPr>
        <w:rPr>
          <w:rFonts w:hint="eastAsia" w:ascii="宋体" w:hAnsi="宋体" w:eastAsia="宋体" w:cs="宋体"/>
          <w:i w:val="0"/>
          <w:iCs/>
          <w:vertAlign w:val="baseline"/>
        </w:rPr>
      </w:pPr>
      <w:r>
        <w:rPr>
          <w:rFonts w:hint="eastAsia" w:ascii="宋体" w:hAnsi="宋体" w:eastAsia="宋体" w:cs="宋体"/>
          <w:i w:val="0"/>
          <w:iCs/>
          <w:vertAlign w:val="baseline"/>
        </w:rPr>
        <w:t>负向</w:t>
      </w:r>
      <w:r>
        <w:rPr>
          <w:rFonts w:hint="eastAsia" w:ascii="宋体" w:hAnsi="宋体" w:eastAsia="宋体" w:cs="宋体"/>
          <w:i w:val="0"/>
          <w:iCs/>
          <w:vertAlign w:val="baseline"/>
        </w:rPr>
        <w:tab/>
      </w:r>
      <w:r>
        <w:rPr>
          <w:rFonts w:hint="eastAsia" w:ascii="宋体" w:hAnsi="宋体" w:eastAsia="宋体" w:cs="宋体"/>
          <w:i w:val="0"/>
          <w:iCs/>
          <w:vertAlign w:val="baseline"/>
        </w:rPr>
        <w:t>Cruz&amp;Marques,2014;</w:t>
      </w:r>
    </w:p>
    <w:p w14:paraId="117F5356">
      <w:pPr>
        <w:rPr>
          <w:rFonts w:hint="eastAsia" w:ascii="宋体" w:hAnsi="宋体" w:eastAsia="宋体" w:cs="宋体"/>
          <w:i w:val="0"/>
          <w:iCs/>
          <w:vertAlign w:val="baseline"/>
        </w:rPr>
      </w:pPr>
      <w:r>
        <w:rPr>
          <w:rFonts w:hint="eastAsia" w:ascii="宋体" w:hAnsi="宋体" w:eastAsia="宋体" w:cs="宋体"/>
          <w:i w:val="0"/>
          <w:iCs/>
          <w:vertAlign w:val="baseline"/>
        </w:rPr>
        <w:t>陈诗一，张军，2008;陈仲常，张峥，2012</w:t>
      </w:r>
    </w:p>
    <w:p w14:paraId="26C2BF27">
      <w:pPr>
        <w:rPr>
          <w:rFonts w:hint="eastAsia" w:ascii="宋体" w:hAnsi="宋体" w:eastAsia="宋体" w:cs="宋体"/>
          <w:i w:val="0"/>
          <w:iCs/>
          <w:vertAlign w:val="baseline"/>
        </w:rPr>
      </w:pPr>
    </w:p>
    <w:p w14:paraId="25BA6AF2">
      <w:pPr>
        <w:rPr>
          <w:rFonts w:hint="eastAsia" w:ascii="宋体" w:hAnsi="宋体" w:eastAsia="宋体" w:cs="宋体"/>
          <w:i w:val="0"/>
          <w:iCs/>
          <w:vertAlign w:val="baseline"/>
        </w:rPr>
      </w:pPr>
    </w:p>
    <w:p w14:paraId="2EAAE580">
      <w:pPr>
        <w:rPr>
          <w:rFonts w:hint="eastAsia" w:ascii="宋体" w:hAnsi="宋体" w:eastAsia="宋体" w:cs="宋体"/>
          <w:i w:val="0"/>
          <w:iCs/>
          <w:vertAlign w:val="baseline"/>
        </w:rPr>
      </w:pPr>
      <w:r>
        <w:rPr>
          <w:rFonts w:hint="eastAsia" w:ascii="宋体" w:hAnsi="宋体" w:eastAsia="宋体" w:cs="宋体"/>
          <w:i w:val="0"/>
          <w:iCs/>
          <w:vertAlign w:val="baseline"/>
        </w:rPr>
        <w:t>排放治理是气候治理的核心内容，气候治理是一个高度复杂的多层次、多中心、网络化的治理问题，因此提升碳排放治理绩效的复杂程度也是不言而喻的，成为各个国家以及专家学者们高度关注的领域。绩效管理是各国政府推出的一系列新公共管理举措的一部分，使政府能通过绩效管理量化政策承诺，并通过报告的方式衡量和说明其所采取的行动，使公民、管理人员和政客能够就日益复杂的国家活动做出决策[1] 。碳排放治理绩效的提升需要政府利用其人财物和其他各类资源共同发挥作用，他们之间相互作用的结果及作用的方向成为学者们研究的重点。当前对气候变化治理的研究多将侧重点置于全球层面，应对气候变化的早期努力集中在达成一项具有约束性目标的全球协议上，而现在的重点已经逐渐转向自上而下、更加多样化和更加多层次的治理框架。除了国家政府的行动之外，随着城市、地区、企业和民间社会团体开始加大缓解和适应行动的力度，出现了气候行动的“风潮”[2,3] 。 目前已有研究从多角度探讨碳排放治理问题，如缓解气候变化与适应发展趋势、司法管辖区在设计和实施气候变化解决方案时面临的障碍、缓解和适应计划的特征以及可用于适应气候变化的管理策略等。可以看出，碳排放治理绩效影响因素众多，如制度、政策工具、经济水平、治理网络、行业差异、技术水平等。以下将根据研究范式、研究方法和关键变量的不同，</w:t>
      </w:r>
    </w:p>
    <w:p w14:paraId="35AB8C56">
      <w:pPr>
        <w:rPr>
          <w:rFonts w:hint="eastAsia" w:ascii="宋体" w:hAnsi="宋体" w:eastAsia="宋体" w:cs="宋体"/>
          <w:i w:val="0"/>
          <w:iCs/>
          <w:vertAlign w:val="baseline"/>
        </w:rPr>
      </w:pPr>
      <w:r>
        <w:rPr>
          <w:rFonts w:hint="eastAsia" w:ascii="宋体" w:hAnsi="宋体" w:eastAsia="宋体" w:cs="宋体"/>
          <w:i w:val="0"/>
          <w:iCs/>
          <w:vertAlign w:val="baseline"/>
        </w:rPr>
        <w:t>从制度－结构、组织－行为、工具主义三个视角分析碳排放治理绩效的影响因素。</w:t>
      </w:r>
    </w:p>
    <w:p w14:paraId="19018513">
      <w:pPr>
        <w:rPr>
          <w:rFonts w:hint="eastAsia" w:ascii="宋体" w:hAnsi="宋体" w:eastAsia="宋体" w:cs="宋体"/>
          <w:i w:val="0"/>
          <w:iCs/>
          <w:vertAlign w:val="baseline"/>
        </w:rPr>
      </w:pPr>
      <w:r>
        <w:rPr>
          <w:rFonts w:hint="eastAsia" w:ascii="宋体" w:hAnsi="宋体" w:eastAsia="宋体" w:cs="宋体"/>
          <w:i w:val="0"/>
          <w:iCs/>
          <w:vertAlign w:val="baseline"/>
        </w:rPr>
        <w:t>第一，制度－结构视角。制度是正式和非正式的规则，规定在特定情况下该做什么和不该做什么，被认为是指导影响生物物理系统的人类行为的过滤器，并在确定人类如何反应和适应生物物理系统的实际或预期变化方面发挥重要作用。制度可以调节人与自然资源的相互作用，从而影响环境变化过程[4] 。传统上，气候变化是典型的全球性公共治理问题，其治理过程总是从最高层即全球机制开始再向下延伸[5] 。为能在国际</w:t>
      </w:r>
    </w:p>
    <w:p w14:paraId="6D4410FD">
      <w:pPr>
        <w:rPr>
          <w:rFonts w:hint="eastAsia" w:ascii="宋体" w:hAnsi="宋体" w:eastAsia="宋体" w:cs="宋体"/>
          <w:i w:val="0"/>
          <w:iCs/>
          <w:vertAlign w:val="baseline"/>
        </w:rPr>
      </w:pPr>
    </w:p>
    <w:p w14:paraId="63781402">
      <w:pPr>
        <w:rPr>
          <w:rFonts w:hint="eastAsia" w:ascii="宋体" w:hAnsi="宋体" w:eastAsia="宋体" w:cs="宋体"/>
          <w:i w:val="0"/>
          <w:iCs/>
          <w:vertAlign w:val="baseline"/>
        </w:rPr>
      </w:pPr>
      <w:r>
        <w:rPr>
          <w:rFonts w:hint="eastAsia" w:ascii="宋体" w:hAnsi="宋体" w:eastAsia="宋体" w:cs="宋体"/>
          <w:i w:val="0"/>
          <w:iCs/>
          <w:vertAlign w:val="baseline"/>
        </w:rPr>
        <w:t>[1]   Bouckaert G, Halligan J. Managing Performance: International Comparisons[M]. Oxford: Routledge, 2008.</w:t>
      </w:r>
    </w:p>
    <w:p w14:paraId="23C8A427">
      <w:pPr>
        <w:rPr>
          <w:rFonts w:hint="eastAsia" w:ascii="宋体" w:hAnsi="宋体" w:eastAsia="宋体" w:cs="宋体"/>
          <w:i w:val="0"/>
          <w:iCs/>
          <w:vertAlign w:val="baseline"/>
        </w:rPr>
      </w:pPr>
      <w:r>
        <w:rPr>
          <w:rFonts w:hint="eastAsia" w:ascii="宋体" w:hAnsi="宋体" w:eastAsia="宋体" w:cs="宋体"/>
          <w:i w:val="0"/>
          <w:iCs/>
          <w:vertAlign w:val="baseline"/>
        </w:rPr>
        <w:t>[2]   Hale T. “All Hands on Deck”: The Paris Agreement and Nonstate Climate Action[J]. Global Environmental Politics, 2016, 16 (3): 12-22.</w:t>
      </w:r>
    </w:p>
    <w:p w14:paraId="5B3842E8">
      <w:pPr>
        <w:rPr>
          <w:rFonts w:hint="eastAsia" w:ascii="宋体" w:hAnsi="宋体" w:eastAsia="宋体" w:cs="宋体"/>
          <w:i w:val="0"/>
          <w:iCs/>
          <w:vertAlign w:val="baseline"/>
        </w:rPr>
      </w:pPr>
      <w:r>
        <w:rPr>
          <w:rFonts w:hint="eastAsia" w:ascii="宋体" w:hAnsi="宋体" w:eastAsia="宋体" w:cs="宋体"/>
          <w:i w:val="0"/>
          <w:iCs/>
          <w:vertAlign w:val="baseline"/>
        </w:rPr>
        <w:t>[3]   Chan S, Van Asselt H, Hale T, et al. Reinvigorating International Climate Policy: A Comprehensive Framework for Effective Nonstate Action[J]. Global Policy, 2015, 6 (4): 466-473.</w:t>
      </w:r>
    </w:p>
    <w:p w14:paraId="0CA8B44B">
      <w:pPr>
        <w:rPr>
          <w:rFonts w:hint="eastAsia" w:ascii="宋体" w:hAnsi="宋体" w:eastAsia="宋体" w:cs="宋体"/>
          <w:i w:val="0"/>
          <w:iCs/>
          <w:vertAlign w:val="baseline"/>
        </w:rPr>
      </w:pPr>
      <w:r>
        <w:rPr>
          <w:rFonts w:hint="eastAsia" w:ascii="宋体" w:hAnsi="宋体" w:eastAsia="宋体" w:cs="宋体"/>
          <w:i w:val="0"/>
          <w:iCs/>
          <w:vertAlign w:val="baseline"/>
        </w:rPr>
        <w:t>[4]   Corbera E, Soberanis C G, Brown K. Institutional Dimensions of Payments for Ecosystem Services: An Analysis of Mexico's Carbon Forestry Programme[J]. Ecological Economics, 2009, 68 (3): 743-761.</w:t>
      </w:r>
    </w:p>
    <w:p w14:paraId="0C862FD6">
      <w:pPr>
        <w:rPr>
          <w:rFonts w:hint="eastAsia" w:ascii="宋体" w:hAnsi="宋体" w:eastAsia="宋体" w:cs="宋体"/>
          <w:i w:val="0"/>
          <w:iCs/>
          <w:vertAlign w:val="baseline"/>
        </w:rPr>
      </w:pPr>
      <w:r>
        <w:rPr>
          <w:rFonts w:hint="eastAsia" w:ascii="宋体" w:hAnsi="宋体" w:eastAsia="宋体" w:cs="宋体"/>
          <w:i w:val="0"/>
          <w:iCs/>
          <w:vertAlign w:val="baseline"/>
        </w:rPr>
        <w:t>[5]   Tan X, Wang Y, Gu B, et al. Research on the National Climate Governance System toward Carbon Neutrality—A Critical Literature Review[J]. Fundamental Research, 2022, 2 (3): 384-391.</w:t>
      </w:r>
    </w:p>
    <w:p w14:paraId="75D23E4C">
      <w:pPr>
        <w:rPr>
          <w:rFonts w:hint="eastAsia" w:ascii="宋体" w:hAnsi="宋体" w:eastAsia="宋体" w:cs="宋体"/>
          <w:i w:val="0"/>
          <w:iCs/>
          <w:vertAlign w:val="baseline"/>
        </w:rPr>
      </w:pPr>
    </w:p>
    <w:p w14:paraId="21F86461">
      <w:pPr>
        <w:rPr>
          <w:rFonts w:hint="eastAsia" w:ascii="宋体" w:hAnsi="宋体" w:eastAsia="宋体" w:cs="宋体"/>
          <w:i w:val="0"/>
          <w:iCs/>
          <w:vertAlign w:val="baseline"/>
        </w:rPr>
      </w:pPr>
    </w:p>
    <w:p w14:paraId="18552FFF">
      <w:pPr>
        <w:rPr>
          <w:rFonts w:hint="eastAsia" w:ascii="宋体" w:hAnsi="宋体" w:eastAsia="宋体" w:cs="宋体"/>
          <w:i w:val="0"/>
          <w:iCs/>
          <w:vertAlign w:val="baseline"/>
        </w:rPr>
      </w:pPr>
      <w:r>
        <w:rPr>
          <w:rFonts w:hint="eastAsia" w:ascii="宋体" w:hAnsi="宋体" w:eastAsia="宋体" w:cs="宋体"/>
          <w:i w:val="0"/>
          <w:iCs/>
          <w:vertAlign w:val="baseline"/>
        </w:rPr>
        <w:t>舞台上有效解决气候治理问题，各国通过制定多边环境协定的形式开展合作，如始于1992 年的《联合国气候变化框架公约》。 精心设计的制度框架可以促进创新，提高环境和企业绩效。既可采用正式的规制，也可采用激励措施等来增加制定政策的自愿行动。正式规制可以是严格的，也可以是激励性的，以制定减缓气候变化的措施[1] 。 自上而下的正式制度与自下而上非正式制度构成了传统的制度－结构视角，然而当面对环境气候问题时，传统视角难以成功地管理环境气候领域所涉及的复杂性和不确定性。为此，气候治理领域的研究在自上而下和自下而上两种传统研究路径的基础上，更多地从多中心、多层次、网络化的角度展开研究。</w:t>
      </w:r>
    </w:p>
    <w:p w14:paraId="1B0EDFFD">
      <w:pPr>
        <w:rPr>
          <w:rFonts w:hint="eastAsia" w:ascii="宋体" w:hAnsi="宋体" w:eastAsia="宋体" w:cs="宋体"/>
          <w:i w:val="0"/>
          <w:iCs/>
          <w:vertAlign w:val="baseline"/>
        </w:rPr>
      </w:pPr>
      <w:r>
        <w:rPr>
          <w:rFonts w:hint="eastAsia" w:ascii="宋体" w:hAnsi="宋体" w:eastAsia="宋体" w:cs="宋体"/>
          <w:i w:val="0"/>
          <w:iCs/>
          <w:vertAlign w:val="baseline"/>
        </w:rPr>
        <w:t>气候变化治理是一个横向跨部门、纵向跨政府的棘手问题[2] ，学者们发现不同的路径适用的政策类型不同，减缓气候变化可能适用于自上而下的方法，如《京都议定书》目标和其他减排目标，但考虑到变量众多、背景依赖性和文化背景， 自下而上的方法可能更适合于气候变化适应策略[3] 。当前大多气候变化治理文献侧重于从全球层面展开研究，例如，制度理论学者讨论了联合国气候变化框架公约等国际气候文书如何影响国家的行为和承诺[4] ，同时对区域、国家和次国家层面的关注也越来越多[5,6] 。以前的环境治理更为依靠自上而下的命令控制法[7] ，但有评论员提出“现在减少气候排放的大部分权力掌握在城市手中，而不是国家政府”[8]。由此可知，与以往环境治理不同的是，气候治理更加注重自下而上的治理路径。城市是减缓和适应气候变化的关键，并已成为创新的城市气候治理场所，可以刺激气候治理行动[9] ，然而仅依靠市政当局实现高于国家一级制定的能源绩效水平目标，其可能性有限[10]。</w:t>
      </w:r>
    </w:p>
    <w:p w14:paraId="12E7BAB2">
      <w:pPr>
        <w:rPr>
          <w:rFonts w:hint="eastAsia" w:ascii="宋体" w:hAnsi="宋体" w:eastAsia="宋体" w:cs="宋体"/>
          <w:i w:val="0"/>
          <w:iCs/>
          <w:vertAlign w:val="baseline"/>
        </w:rPr>
      </w:pPr>
      <w:r>
        <w:rPr>
          <w:rFonts w:hint="eastAsia" w:ascii="宋体" w:hAnsi="宋体" w:eastAsia="宋体" w:cs="宋体"/>
          <w:i w:val="0"/>
          <w:iCs/>
          <w:vertAlign w:val="baseline"/>
        </w:rPr>
        <w:t>在对气候减缓政策和措施绩效进行的研究中，获得学者最多关注的两类政策和措施是：①政府对排放的直接监管，如对企业和公共机构具有法律约束力的年度温室气体排放目标[11] ，和②旨在通过迫使公民和企业将其改变气候变化行为进行社会成本内</w:t>
      </w:r>
    </w:p>
    <w:p w14:paraId="6CE27FF9">
      <w:pPr>
        <w:rPr>
          <w:rFonts w:hint="eastAsia" w:ascii="宋体" w:hAnsi="宋体" w:eastAsia="宋体" w:cs="宋体"/>
          <w:i w:val="0"/>
          <w:iCs/>
          <w:vertAlign w:val="baseline"/>
        </w:rPr>
      </w:pPr>
    </w:p>
    <w:p w14:paraId="6BBD1844">
      <w:pPr>
        <w:rPr>
          <w:rFonts w:hint="eastAsia" w:ascii="宋体" w:hAnsi="宋体" w:eastAsia="宋体" w:cs="宋体"/>
          <w:i w:val="0"/>
          <w:iCs/>
          <w:vertAlign w:val="baseline"/>
        </w:rPr>
      </w:pPr>
    </w:p>
    <w:p w14:paraId="1505CD98">
      <w:pPr>
        <w:rPr>
          <w:rFonts w:hint="eastAsia" w:ascii="宋体" w:hAnsi="宋体" w:eastAsia="宋体" w:cs="宋体"/>
          <w:i w:val="0"/>
          <w:iCs/>
          <w:vertAlign w:val="baseline"/>
        </w:rPr>
      </w:pPr>
    </w:p>
    <w:p w14:paraId="58F7FC10">
      <w:pPr>
        <w:rPr>
          <w:rFonts w:hint="eastAsia" w:ascii="宋体" w:hAnsi="宋体" w:eastAsia="宋体" w:cs="宋体"/>
          <w:i w:val="0"/>
          <w:iCs/>
          <w:vertAlign w:val="baseline"/>
        </w:rPr>
      </w:pPr>
      <w:r>
        <w:rPr>
          <w:rFonts w:hint="eastAsia" w:ascii="宋体" w:hAnsi="宋体" w:eastAsia="宋体" w:cs="宋体"/>
          <w:i w:val="0"/>
          <w:iCs/>
          <w:vertAlign w:val="baseline"/>
        </w:rPr>
        <w:t>[1]   North D C. Institutions, Institutional Change and Economic Performance[M]. New York: Cambridge University Press, 1990: 360.</w:t>
      </w:r>
    </w:p>
    <w:p w14:paraId="08EF9345">
      <w:pPr>
        <w:rPr>
          <w:rFonts w:hint="eastAsia" w:ascii="宋体" w:hAnsi="宋体" w:eastAsia="宋体" w:cs="宋体"/>
          <w:i w:val="0"/>
          <w:iCs/>
          <w:vertAlign w:val="baseline"/>
        </w:rPr>
      </w:pPr>
      <w:r>
        <w:rPr>
          <w:rFonts w:hint="eastAsia" w:ascii="宋体" w:hAnsi="宋体" w:eastAsia="宋体" w:cs="宋体"/>
          <w:i w:val="0"/>
          <w:iCs/>
          <w:vertAlign w:val="baseline"/>
        </w:rPr>
        <w:t>[2]  Casado-Asensio J, Steurer R. Bookkeeping rather than Climate Policy Making: National Mitigation Strategies in Western Europe[J]. Climate Policy, 2016, 16 (1): 88-108.</w:t>
      </w:r>
    </w:p>
    <w:p w14:paraId="73D4438A">
      <w:pPr>
        <w:rPr>
          <w:rFonts w:hint="eastAsia" w:ascii="宋体" w:hAnsi="宋体" w:eastAsia="宋体" w:cs="宋体"/>
          <w:i w:val="0"/>
          <w:iCs/>
          <w:vertAlign w:val="baseline"/>
        </w:rPr>
      </w:pPr>
      <w:r>
        <w:rPr>
          <w:rFonts w:hint="eastAsia" w:ascii="宋体" w:hAnsi="宋体" w:eastAsia="宋体" w:cs="宋体"/>
          <w:i w:val="0"/>
          <w:iCs/>
          <w:vertAlign w:val="baseline"/>
        </w:rPr>
        <w:t>[3]   Biesbroek G R, Swart R J, Carter T R, et al. Europe Adapts to Climate Change: Comparing National Adaptation Strategies[J]. Global Environmental Change, 2010, 20 (3): 440-450.</w:t>
      </w:r>
    </w:p>
    <w:p w14:paraId="0B79C69A">
      <w:pPr>
        <w:rPr>
          <w:rFonts w:hint="eastAsia" w:ascii="宋体" w:hAnsi="宋体" w:eastAsia="宋体" w:cs="宋体"/>
          <w:i w:val="0"/>
          <w:iCs/>
          <w:vertAlign w:val="baseline"/>
        </w:rPr>
      </w:pPr>
      <w:r>
        <w:rPr>
          <w:rFonts w:hint="eastAsia" w:ascii="宋体" w:hAnsi="宋体" w:eastAsia="宋体" w:cs="宋体"/>
          <w:i w:val="0"/>
          <w:iCs/>
          <w:vertAlign w:val="baseline"/>
        </w:rPr>
        <w:t>[4]   Huang-Lachmann J, Lovett J C. How Cities Prepare for Climate Change: Comparing Hamburg and Rotterdam[J]. Cities, 2016, 54: 36-44.</w:t>
      </w:r>
    </w:p>
    <w:p w14:paraId="21A7BC56">
      <w:pPr>
        <w:rPr>
          <w:rFonts w:hint="eastAsia" w:ascii="宋体" w:hAnsi="宋体" w:eastAsia="宋体" w:cs="宋体"/>
          <w:i w:val="0"/>
          <w:iCs/>
          <w:vertAlign w:val="baseline"/>
        </w:rPr>
      </w:pPr>
      <w:r>
        <w:rPr>
          <w:rFonts w:hint="eastAsia" w:ascii="宋体" w:hAnsi="宋体" w:eastAsia="宋体" w:cs="宋体"/>
          <w:i w:val="0"/>
          <w:iCs/>
          <w:vertAlign w:val="baseline"/>
        </w:rPr>
        <w:t>[5]   Cole D H. Advantages ofa Polycentric Approach to Climate Change Policy[J]. Nature Climate Change, 2015, 5 (2): 114-118.</w:t>
      </w:r>
    </w:p>
    <w:p w14:paraId="441FBD99">
      <w:pPr>
        <w:rPr>
          <w:rFonts w:hint="eastAsia" w:ascii="宋体" w:hAnsi="宋体" w:eastAsia="宋体" w:cs="宋体"/>
          <w:i w:val="0"/>
          <w:iCs/>
          <w:vertAlign w:val="baseline"/>
        </w:rPr>
      </w:pPr>
      <w:r>
        <w:rPr>
          <w:rFonts w:hint="eastAsia" w:ascii="宋体" w:hAnsi="宋体" w:eastAsia="宋体" w:cs="宋体"/>
          <w:i w:val="0"/>
          <w:iCs/>
          <w:vertAlign w:val="baseline"/>
        </w:rPr>
        <w:t>[6]   Hale T. “All Hands on Deck”: The Paris Agreement and Nonstate Climate Action[J]. Global Environmental Politics, 2016, 16 (3): 12-22.</w:t>
      </w:r>
    </w:p>
    <w:p w14:paraId="46C5D5B8">
      <w:pPr>
        <w:rPr>
          <w:rFonts w:hint="eastAsia" w:ascii="宋体" w:hAnsi="宋体" w:eastAsia="宋体" w:cs="宋体"/>
          <w:i w:val="0"/>
          <w:iCs/>
          <w:vertAlign w:val="baseline"/>
        </w:rPr>
      </w:pPr>
      <w:r>
        <w:rPr>
          <w:rFonts w:hint="eastAsia" w:ascii="宋体" w:hAnsi="宋体" w:eastAsia="宋体" w:cs="宋体"/>
          <w:i w:val="0"/>
          <w:iCs/>
          <w:vertAlign w:val="baseline"/>
        </w:rPr>
        <w:t>[7]   Casado-Asensio J, Steurer R. Integrated Strategies on Sustainable Development, Climate Change Mitigation and Adaptation in Western Europe: Communication rather than Coordination[J]. Journal of Public Policy, 2014, 34 (3): 437-473.</w:t>
      </w:r>
    </w:p>
    <w:p w14:paraId="534BA316">
      <w:pPr>
        <w:rPr>
          <w:rFonts w:hint="eastAsia" w:ascii="宋体" w:hAnsi="宋体" w:eastAsia="宋体" w:cs="宋体"/>
          <w:i w:val="0"/>
          <w:iCs/>
          <w:vertAlign w:val="baseline"/>
        </w:rPr>
      </w:pPr>
      <w:r>
        <w:rPr>
          <w:rFonts w:hint="eastAsia" w:ascii="宋体" w:hAnsi="宋体" w:eastAsia="宋体" w:cs="宋体"/>
          <w:i w:val="0"/>
          <w:iCs/>
          <w:vertAlign w:val="baseline"/>
        </w:rPr>
        <w:t>[8]   Jones S. City Governments Measuring Their Response to Climate Change[J]. Regional Studies, 2019, 53 (1): 146-155.</w:t>
      </w:r>
    </w:p>
    <w:p w14:paraId="236EB8B3">
      <w:pPr>
        <w:rPr>
          <w:rFonts w:hint="eastAsia" w:ascii="宋体" w:hAnsi="宋体" w:eastAsia="宋体" w:cs="宋体"/>
          <w:i w:val="0"/>
          <w:iCs/>
          <w:vertAlign w:val="baseline"/>
        </w:rPr>
      </w:pPr>
      <w:r>
        <w:rPr>
          <w:rFonts w:hint="eastAsia" w:ascii="宋体" w:hAnsi="宋体" w:eastAsia="宋体" w:cs="宋体"/>
          <w:i w:val="0"/>
          <w:iCs/>
          <w:vertAlign w:val="baseline"/>
        </w:rPr>
        <w:t>[9]   van der Heijden J. Studying Urban Climate Governance: Where to Begin, What to Look for, and How to Make a Meaningful Contribution to Scholarship and Practice[J]. Earth System Governance, 2019, 1: 100005.</w:t>
      </w:r>
    </w:p>
    <w:p w14:paraId="0117B26C">
      <w:pPr>
        <w:rPr>
          <w:rFonts w:hint="eastAsia" w:ascii="宋体" w:hAnsi="宋体" w:eastAsia="宋体" w:cs="宋体"/>
          <w:i w:val="0"/>
          <w:iCs/>
          <w:vertAlign w:val="baseline"/>
        </w:rPr>
      </w:pPr>
      <w:r>
        <w:rPr>
          <w:rFonts w:hint="eastAsia" w:ascii="宋体" w:hAnsi="宋体" w:eastAsia="宋体" w:cs="宋体"/>
          <w:i w:val="0"/>
          <w:iCs/>
          <w:vertAlign w:val="baseline"/>
        </w:rPr>
        <w:t>[10] Tambach M, Visscher H. Towards Energy-Neutral New Housing Developments. Municipal Climate Governance in the Netherlands[J]. European Planning Studies, 2012, 20 (1): 111-130.</w:t>
      </w:r>
    </w:p>
    <w:p w14:paraId="351BA7FD">
      <w:pPr>
        <w:rPr>
          <w:rFonts w:hint="eastAsia" w:ascii="宋体" w:hAnsi="宋体" w:eastAsia="宋体" w:cs="宋体"/>
          <w:i w:val="0"/>
          <w:iCs/>
          <w:vertAlign w:val="baseline"/>
        </w:rPr>
      </w:pPr>
      <w:r>
        <w:rPr>
          <w:rFonts w:hint="eastAsia" w:ascii="宋体" w:hAnsi="宋体" w:eastAsia="宋体" w:cs="宋体"/>
          <w:i w:val="0"/>
          <w:iCs/>
          <w:vertAlign w:val="baseline"/>
        </w:rPr>
        <w:t>[11] 张友国. 碳强度与总量约束的绩效比较: 基于 CGE 模型的分析[J]. 世界经济, 2013, 36 (7): 138-160.</w:t>
      </w:r>
    </w:p>
    <w:p w14:paraId="486AC660">
      <w:pPr>
        <w:rPr>
          <w:rFonts w:hint="eastAsia" w:ascii="宋体" w:hAnsi="宋体" w:eastAsia="宋体" w:cs="宋体"/>
          <w:i w:val="0"/>
          <w:iCs/>
          <w:vertAlign w:val="baseline"/>
        </w:rPr>
      </w:pPr>
    </w:p>
    <w:p w14:paraId="0E42A2AC">
      <w:pPr>
        <w:rPr>
          <w:rFonts w:hint="eastAsia" w:ascii="宋体" w:hAnsi="宋体" w:eastAsia="宋体" w:cs="宋体"/>
          <w:i w:val="0"/>
          <w:iCs/>
          <w:vertAlign w:val="baseline"/>
        </w:rPr>
      </w:pPr>
    </w:p>
    <w:p w14:paraId="14187B1C">
      <w:pPr>
        <w:rPr>
          <w:rFonts w:hint="eastAsia" w:ascii="宋体" w:hAnsi="宋体" w:eastAsia="宋体" w:cs="宋体"/>
          <w:i w:val="0"/>
          <w:iCs/>
          <w:vertAlign w:val="baseline"/>
        </w:rPr>
      </w:pPr>
      <w:r>
        <w:rPr>
          <w:rFonts w:hint="eastAsia" w:ascii="宋体" w:hAnsi="宋体" w:eastAsia="宋体" w:cs="宋体"/>
          <w:i w:val="0"/>
          <w:iCs/>
          <w:vertAlign w:val="baseline"/>
        </w:rPr>
        <w:t>部化，以提高气候绩效的市场机制，如排放交易和碳税计划等[1,2] ，即环境治理常用到的强制型规制和市场型规制。一项针对中国低碳试点城市的研究指出，低碳试点采用了一种独特的中国政策制定方法，其特点是自下而上的实验和自上而下的控制，并认为自上而下的指导机制不利于气候治理试验，并产生了鼓励风险规避行为的意外后果[3]。类似地，有研究发现自愿型城市气候治理计划可以克服强制性、自上而下、国家主导的政府干预措施的不足，提升气候治理绩效[4]，但同时有文献指出自愿型城市气候治理计划的绩效水平尚难以确定[5] ，能改善自愿治理方法绩效的因素有很多，其中比较重要的有个人和组织参与志愿计划的可能性、参与者期待满足的要求、获得的回报以及参与制定和监督计划的权力[6]。</w:t>
      </w:r>
    </w:p>
    <w:p w14:paraId="4FEBB349">
      <w:pPr>
        <w:rPr>
          <w:rFonts w:hint="eastAsia" w:ascii="宋体" w:hAnsi="宋体" w:eastAsia="宋体" w:cs="宋体"/>
          <w:i w:val="0"/>
          <w:iCs/>
          <w:vertAlign w:val="baseline"/>
        </w:rPr>
      </w:pPr>
      <w:r>
        <w:rPr>
          <w:rFonts w:hint="eastAsia" w:ascii="宋体" w:hAnsi="宋体" w:eastAsia="宋体" w:cs="宋体"/>
          <w:i w:val="0"/>
          <w:iCs/>
          <w:vertAlign w:val="baseline"/>
        </w:rPr>
        <w:t>在 20 世纪 90 年代，决策者和研究人员意识到，复杂的环境问题不能仅用强制或市</w:t>
      </w:r>
    </w:p>
    <w:p w14:paraId="5114EE17">
      <w:pPr>
        <w:rPr>
          <w:rFonts w:hint="eastAsia" w:ascii="宋体" w:hAnsi="宋体" w:eastAsia="宋体" w:cs="宋体"/>
          <w:i w:val="0"/>
          <w:iCs/>
          <w:vertAlign w:val="baseline"/>
        </w:rPr>
      </w:pPr>
      <w:r>
        <w:rPr>
          <w:rFonts w:hint="eastAsia" w:ascii="宋体" w:hAnsi="宋体" w:eastAsia="宋体" w:cs="宋体"/>
          <w:i w:val="0"/>
          <w:iCs/>
          <w:vertAlign w:val="baseline"/>
        </w:rPr>
        <w:t>场型的“末端治理”政策来解决，而需要用与潜在问题的空间和部门范围相匹配的综</w:t>
      </w:r>
    </w:p>
    <w:p w14:paraId="54882AE6">
      <w:pPr>
        <w:rPr>
          <w:rFonts w:hint="eastAsia" w:ascii="宋体" w:hAnsi="宋体" w:eastAsia="宋体" w:cs="宋体"/>
          <w:i w:val="0"/>
          <w:iCs/>
          <w:vertAlign w:val="baseline"/>
        </w:rPr>
      </w:pPr>
      <w:r>
        <w:rPr>
          <w:rFonts w:hint="eastAsia" w:ascii="宋体" w:hAnsi="宋体" w:eastAsia="宋体" w:cs="宋体"/>
          <w:i w:val="0"/>
          <w:iCs/>
          <w:vertAlign w:val="baseline"/>
        </w:rPr>
        <w:t>合对策，通过采取综合多部门战略，使其在跨部门和多层次环境中有效发挥作用[7]。关</w:t>
      </w:r>
    </w:p>
    <w:p w14:paraId="44FDDC23">
      <w:pPr>
        <w:rPr>
          <w:rFonts w:hint="eastAsia" w:ascii="宋体" w:hAnsi="宋体" w:eastAsia="宋体" w:cs="宋体"/>
          <w:i w:val="0"/>
          <w:iCs/>
          <w:vertAlign w:val="baseline"/>
        </w:rPr>
      </w:pPr>
      <w:r>
        <w:rPr>
          <w:rFonts w:hint="eastAsia" w:ascii="宋体" w:hAnsi="宋体" w:eastAsia="宋体" w:cs="宋体"/>
          <w:i w:val="0"/>
          <w:iCs/>
          <w:vertAlign w:val="baseline"/>
        </w:rPr>
        <w:t>于“自上而下”和“自下而上”之间的适当平衡引起气候变化政策圈的热烈讨论[8,9]，</w:t>
      </w:r>
    </w:p>
    <w:p w14:paraId="5CA00128">
      <w:pPr>
        <w:rPr>
          <w:rFonts w:hint="eastAsia" w:ascii="宋体" w:hAnsi="宋体" w:eastAsia="宋体" w:cs="宋体"/>
          <w:i w:val="0"/>
          <w:iCs/>
          <w:vertAlign w:val="baseline"/>
        </w:rPr>
      </w:pPr>
      <w:r>
        <w:rPr>
          <w:rFonts w:hint="eastAsia" w:ascii="宋体" w:hAnsi="宋体" w:eastAsia="宋体" w:cs="宋体"/>
          <w:i w:val="0"/>
          <w:iCs/>
          <w:vertAlign w:val="baseline"/>
        </w:rPr>
        <w:t>这与新权力下放治理模式的兴起密切相关，包括“网络治理体系”“多中心治理系统”和“多层治理”，其中包括参与者的横向网络和从国际到国家和次国家级的相互依存</w:t>
      </w:r>
    </w:p>
    <w:p w14:paraId="76E3A24B">
      <w:pPr>
        <w:rPr>
          <w:rFonts w:hint="eastAsia" w:ascii="宋体" w:hAnsi="宋体" w:eastAsia="宋体" w:cs="宋体"/>
          <w:i w:val="0"/>
          <w:iCs/>
          <w:vertAlign w:val="baseline"/>
        </w:rPr>
      </w:pPr>
      <w:r>
        <w:rPr>
          <w:rFonts w:hint="eastAsia" w:ascii="宋体" w:hAnsi="宋体" w:eastAsia="宋体" w:cs="宋体"/>
          <w:i w:val="0"/>
          <w:iCs/>
          <w:vertAlign w:val="baseline"/>
        </w:rPr>
        <w:t>的参与规模[10] 。为了寻求一个合适的制度结构来成功实施气候政策，许多研究人员将注意力集中在网络治理上，认为它为气候变化倡议提供了所需的灵活性和适应性[11] 。对于政府来说，使用网络有助于以较少的资源接触到不同的目标群体，并且没有来自上面的压制性控制[12] 。学者们从跨国网络（如欧盟）、国家以下各级政府的跨政府网络（如城市气候领导联盟，C40 Cities Climate Leadership Group Mayors，简称 C40）等</w:t>
      </w:r>
    </w:p>
    <w:p w14:paraId="73D09204">
      <w:pPr>
        <w:rPr>
          <w:rFonts w:hint="eastAsia" w:ascii="宋体" w:hAnsi="宋体" w:eastAsia="宋体" w:cs="宋体"/>
          <w:i w:val="0"/>
          <w:iCs/>
          <w:vertAlign w:val="baseline"/>
        </w:rPr>
      </w:pPr>
    </w:p>
    <w:p w14:paraId="73B02EC6">
      <w:pPr>
        <w:rPr>
          <w:rFonts w:hint="eastAsia" w:ascii="宋体" w:hAnsi="宋体" w:eastAsia="宋体" w:cs="宋体"/>
          <w:i w:val="0"/>
          <w:iCs/>
          <w:vertAlign w:val="baseline"/>
        </w:rPr>
      </w:pPr>
    </w:p>
    <w:p w14:paraId="1088D9FF">
      <w:pPr>
        <w:rPr>
          <w:rFonts w:hint="eastAsia" w:ascii="宋体" w:hAnsi="宋体" w:eastAsia="宋体" w:cs="宋体"/>
          <w:i w:val="0"/>
          <w:iCs/>
          <w:vertAlign w:val="baseline"/>
        </w:rPr>
      </w:pPr>
    </w:p>
    <w:p w14:paraId="456C0A22">
      <w:pPr>
        <w:rPr>
          <w:rFonts w:hint="eastAsia" w:ascii="宋体" w:hAnsi="宋体" w:eastAsia="宋体" w:cs="宋体"/>
          <w:i w:val="0"/>
          <w:iCs/>
          <w:vertAlign w:val="baseline"/>
        </w:rPr>
      </w:pPr>
    </w:p>
    <w:p w14:paraId="3A207789">
      <w:pPr>
        <w:rPr>
          <w:rFonts w:hint="eastAsia" w:ascii="宋体" w:hAnsi="宋体" w:eastAsia="宋体" w:cs="宋体"/>
          <w:i w:val="0"/>
          <w:iCs/>
          <w:vertAlign w:val="baseline"/>
        </w:rPr>
      </w:pPr>
      <w:r>
        <w:rPr>
          <w:rFonts w:hint="eastAsia" w:ascii="宋体" w:hAnsi="宋体" w:eastAsia="宋体" w:cs="宋体"/>
          <w:i w:val="0"/>
          <w:iCs/>
          <w:vertAlign w:val="baseline"/>
        </w:rPr>
        <w:t>[1]   史修艺,徐盈之. 低碳城市试点政策的公平性碳减排效果评估——基于工业碳排放视角[J]. 公共管理学报, 2023, 20 (1): 84-96.</w:t>
      </w:r>
    </w:p>
    <w:p w14:paraId="59968F85">
      <w:pPr>
        <w:rPr>
          <w:rFonts w:hint="eastAsia" w:ascii="宋体" w:hAnsi="宋体" w:eastAsia="宋体" w:cs="宋体"/>
          <w:i w:val="0"/>
          <w:iCs/>
          <w:vertAlign w:val="baseline"/>
        </w:rPr>
      </w:pPr>
      <w:r>
        <w:rPr>
          <w:rFonts w:hint="eastAsia" w:ascii="宋体" w:hAnsi="宋体" w:eastAsia="宋体" w:cs="宋体"/>
          <w:i w:val="0"/>
          <w:iCs/>
          <w:vertAlign w:val="baseline"/>
        </w:rPr>
        <w:t>[2]   Page E A. The Hidden Costs of Carbon Commodification: Emissions Trading, Political Legitimacy and Procedural Justice[J]. Democratization, 2012, 19 (5): 932-950.</w:t>
      </w:r>
    </w:p>
    <w:p w14:paraId="2C48C2D4">
      <w:pPr>
        <w:rPr>
          <w:rFonts w:hint="eastAsia" w:ascii="宋体" w:hAnsi="宋体" w:eastAsia="宋体" w:cs="宋体"/>
          <w:i w:val="0"/>
          <w:iCs/>
          <w:vertAlign w:val="baseline"/>
        </w:rPr>
      </w:pPr>
      <w:r>
        <w:rPr>
          <w:rFonts w:hint="eastAsia" w:ascii="宋体" w:hAnsi="宋体" w:eastAsia="宋体" w:cs="宋体"/>
          <w:i w:val="0"/>
          <w:iCs/>
          <w:vertAlign w:val="baseline"/>
        </w:rPr>
        <w:t>[3]   Lo K, Li H, Chen K. Climate Experimentation and the Limits of Top-Down Control: Local Variation of Climate Pilots in China[J]. Journal of Environmental Planning and Management, 2020, 63 (1): 109-126.</w:t>
      </w:r>
    </w:p>
    <w:p w14:paraId="127BB15E">
      <w:pPr>
        <w:rPr>
          <w:rFonts w:hint="eastAsia" w:ascii="宋体" w:hAnsi="宋体" w:eastAsia="宋体" w:cs="宋体"/>
          <w:i w:val="0"/>
          <w:iCs/>
          <w:vertAlign w:val="baseline"/>
        </w:rPr>
      </w:pPr>
      <w:r>
        <w:rPr>
          <w:rFonts w:hint="eastAsia" w:ascii="宋体" w:hAnsi="宋体" w:eastAsia="宋体" w:cs="宋体"/>
          <w:i w:val="0"/>
          <w:iCs/>
          <w:vertAlign w:val="baseline"/>
        </w:rPr>
        <w:t>[4]   van der Heijden J. Voluntary Urban Climate Programmes: Should City Governments be Involved and, If So, How?[J]. Journal of Environmental Planning and Management, 2019, 62 (3): 446-465.</w:t>
      </w:r>
    </w:p>
    <w:p w14:paraId="5D07DFEE">
      <w:pPr>
        <w:rPr>
          <w:rFonts w:hint="eastAsia" w:ascii="宋体" w:hAnsi="宋体" w:eastAsia="宋体" w:cs="宋体"/>
          <w:i w:val="0"/>
          <w:iCs/>
          <w:vertAlign w:val="baseline"/>
        </w:rPr>
      </w:pPr>
      <w:r>
        <w:rPr>
          <w:rFonts w:hint="eastAsia" w:ascii="宋体" w:hAnsi="宋体" w:eastAsia="宋体" w:cs="宋体"/>
          <w:i w:val="0"/>
          <w:iCs/>
          <w:vertAlign w:val="baseline"/>
        </w:rPr>
        <w:t>[5]   van  der  Heijden  J. Innovations  in Urban Climate Governance: Voluntary Programs for Low Carbon Buildings and Cities[M]. Cambridge: Cambridge University Press, 2017.</w:t>
      </w:r>
    </w:p>
    <w:p w14:paraId="7F721FD8">
      <w:pPr>
        <w:rPr>
          <w:rFonts w:hint="eastAsia" w:ascii="宋体" w:hAnsi="宋体" w:eastAsia="宋体" w:cs="宋体"/>
          <w:i w:val="0"/>
          <w:iCs/>
          <w:vertAlign w:val="baseline"/>
        </w:rPr>
      </w:pPr>
      <w:r>
        <w:rPr>
          <w:rFonts w:hint="eastAsia" w:ascii="宋体" w:hAnsi="宋体" w:eastAsia="宋体" w:cs="宋体"/>
          <w:i w:val="0"/>
          <w:iCs/>
          <w:vertAlign w:val="baseline"/>
        </w:rPr>
        <w:t>[6]   van der Heijden J. Voluntary Environmental Governance Arrangements[J]. Environmental Politics, 2012, 21 (3): 486-509.</w:t>
      </w:r>
    </w:p>
    <w:p w14:paraId="483E3C44">
      <w:pPr>
        <w:rPr>
          <w:rFonts w:hint="eastAsia" w:ascii="宋体" w:hAnsi="宋体" w:eastAsia="宋体" w:cs="宋体"/>
          <w:i w:val="0"/>
          <w:iCs/>
          <w:vertAlign w:val="baseline"/>
        </w:rPr>
      </w:pPr>
      <w:r>
        <w:rPr>
          <w:rFonts w:hint="eastAsia" w:ascii="宋体" w:hAnsi="宋体" w:eastAsia="宋体" w:cs="宋体"/>
          <w:i w:val="0"/>
          <w:iCs/>
          <w:vertAlign w:val="baseline"/>
        </w:rPr>
        <w:t>[7]   Casado-Asensio J, Steurer R. Integrated Strategies on Sustainable Development, Climate Change Mitigation and Adaptation in Western Europe: Communication rather than Coordination[J]. Journal of Public Policy, 2014, 34 (3): 437-473.</w:t>
      </w:r>
    </w:p>
    <w:p w14:paraId="5D2E2231">
      <w:pPr>
        <w:rPr>
          <w:rFonts w:hint="eastAsia" w:ascii="宋体" w:hAnsi="宋体" w:eastAsia="宋体" w:cs="宋体"/>
          <w:i w:val="0"/>
          <w:iCs/>
          <w:vertAlign w:val="baseline"/>
        </w:rPr>
      </w:pPr>
      <w:r>
        <w:rPr>
          <w:rFonts w:hint="eastAsia" w:ascii="宋体" w:hAnsi="宋体" w:eastAsia="宋体" w:cs="宋体"/>
          <w:i w:val="0"/>
          <w:iCs/>
          <w:vertAlign w:val="baseline"/>
        </w:rPr>
        <w:t>[8]   Rayner S. How to Eat an Elephant: A Bottom-up Approach to Climate Policy[J]. Climate Policy, 2010, 10 (6): 615-621.</w:t>
      </w:r>
    </w:p>
    <w:p w14:paraId="0C160A6C">
      <w:pPr>
        <w:rPr>
          <w:rFonts w:hint="eastAsia" w:ascii="宋体" w:hAnsi="宋体" w:eastAsia="宋体" w:cs="宋体"/>
          <w:i w:val="0"/>
          <w:iCs/>
          <w:vertAlign w:val="baseline"/>
        </w:rPr>
      </w:pPr>
      <w:r>
        <w:rPr>
          <w:rFonts w:hint="eastAsia" w:ascii="宋体" w:hAnsi="宋体" w:eastAsia="宋体" w:cs="宋体"/>
          <w:i w:val="0"/>
          <w:iCs/>
          <w:vertAlign w:val="baseline"/>
        </w:rPr>
        <w:t>[9]   Biermann F, Pattberg P, Van Asselt H,  et al. The Fragmentation of Global Governance Architectures: A Framework for Analysis[J]. Global Environmental Politics, 2009, 9 (4): 14-40.</w:t>
      </w:r>
    </w:p>
    <w:p w14:paraId="01415BAE">
      <w:pPr>
        <w:rPr>
          <w:rFonts w:hint="eastAsia" w:ascii="宋体" w:hAnsi="宋体" w:eastAsia="宋体" w:cs="宋体"/>
          <w:i w:val="0"/>
          <w:iCs/>
          <w:vertAlign w:val="baseline"/>
        </w:rPr>
      </w:pPr>
      <w:r>
        <w:rPr>
          <w:rFonts w:hint="eastAsia" w:ascii="宋体" w:hAnsi="宋体" w:eastAsia="宋体" w:cs="宋体"/>
          <w:i w:val="0"/>
          <w:iCs/>
          <w:vertAlign w:val="baseline"/>
        </w:rPr>
        <w:t>[10] Chandrashekeran S, Morgan B, Coetzee K, et al. Rethinking the Green State beyond the Global North: A South African Climate Change Case Study[J]. Wiley Interdisciplinary Reviews-Climate Change, 2017, 8 (6): e473.</w:t>
      </w:r>
    </w:p>
    <w:p w14:paraId="0D926509">
      <w:pPr>
        <w:rPr>
          <w:rFonts w:hint="eastAsia" w:ascii="宋体" w:hAnsi="宋体" w:eastAsia="宋体" w:cs="宋体"/>
          <w:i w:val="0"/>
          <w:iCs/>
          <w:vertAlign w:val="baseline"/>
        </w:rPr>
      </w:pPr>
      <w:r>
        <w:rPr>
          <w:rFonts w:hint="eastAsia" w:ascii="宋体" w:hAnsi="宋体" w:eastAsia="宋体" w:cs="宋体"/>
          <w:i w:val="0"/>
          <w:iCs/>
          <w:vertAlign w:val="baseline"/>
        </w:rPr>
        <w:t>[11] Giest S. Comparative Analysis of Sweden's Wind Energy Policy: The Evolution of "Coordinated" Networks[J]. Journal of Comparative Policy Analysis, 2015, 17 (4): 393-407.</w:t>
      </w:r>
    </w:p>
    <w:p w14:paraId="7DCA58C0">
      <w:pPr>
        <w:rPr>
          <w:rFonts w:hint="eastAsia" w:ascii="宋体" w:hAnsi="宋体" w:eastAsia="宋体" w:cs="宋体"/>
          <w:i w:val="0"/>
          <w:iCs/>
          <w:vertAlign w:val="baseline"/>
        </w:rPr>
      </w:pPr>
      <w:r>
        <w:rPr>
          <w:rFonts w:hint="eastAsia" w:ascii="宋体" w:hAnsi="宋体" w:eastAsia="宋体" w:cs="宋体"/>
          <w:i w:val="0"/>
          <w:iCs/>
          <w:vertAlign w:val="baseline"/>
        </w:rPr>
        <w:t>[12] Torfing J. Governance Network Theory: Towards a Second Generation[J]. European Political Science, 2005, 4: 305-315.</w:t>
      </w:r>
    </w:p>
    <w:p w14:paraId="6F8CAC20">
      <w:pPr>
        <w:rPr>
          <w:rFonts w:hint="eastAsia" w:ascii="宋体" w:hAnsi="宋体" w:eastAsia="宋体" w:cs="宋体"/>
          <w:i w:val="0"/>
          <w:iCs/>
          <w:vertAlign w:val="baseline"/>
        </w:rPr>
      </w:pPr>
    </w:p>
    <w:p w14:paraId="51070239">
      <w:pPr>
        <w:rPr>
          <w:rFonts w:hint="eastAsia" w:ascii="宋体" w:hAnsi="宋体" w:eastAsia="宋体" w:cs="宋体"/>
          <w:i w:val="0"/>
          <w:iCs/>
          <w:vertAlign w:val="baseline"/>
        </w:rPr>
      </w:pPr>
    </w:p>
    <w:p w14:paraId="10D3A5AD">
      <w:pPr>
        <w:rPr>
          <w:rFonts w:hint="eastAsia" w:ascii="宋体" w:hAnsi="宋体" w:eastAsia="宋体" w:cs="宋体"/>
          <w:i w:val="0"/>
          <w:iCs/>
          <w:vertAlign w:val="baseline"/>
        </w:rPr>
      </w:pPr>
      <w:r>
        <w:rPr>
          <w:rFonts w:hint="eastAsia" w:ascii="宋体" w:hAnsi="宋体" w:eastAsia="宋体" w:cs="宋体"/>
          <w:i w:val="0"/>
          <w:iCs/>
          <w:vertAlign w:val="baseline"/>
        </w:rPr>
        <w:t>展开研究[1,2] 。有研究提出跨国气候治理网络三个最重要的功能是信息共享、能力建设、目标设定[3]，资源的自主性和可用性水平会影响倡议和跨政府网络的参与者以及全球南方地区次国家政府采取独立气候行动的能力。 多利益相关者管理制度的存在促进了 C40 网络中的跨层次学习，建立一个多利益相关方理事机构可以确保公民和利益相关者的参与性，以加强气候变化政策的参与和决策以及政策学习，有助于提升气候变化政策绩效[4] 。同样地，Steffen 等通过以低碳投资为衡量标准的绩效测量策略，研究发现</w:t>
      </w:r>
      <w:r>
        <w:rPr>
          <w:rFonts w:hint="eastAsia" w:ascii="宋体" w:hAnsi="宋体" w:eastAsia="宋体" w:cs="宋体"/>
          <w:i w:val="0"/>
          <w:iCs/>
          <w:vertAlign w:val="baseline"/>
        </w:rPr>
        <w:tab/>
      </w:r>
      <w:r>
        <w:rPr>
          <w:rFonts w:hint="eastAsia" w:ascii="宋体" w:hAnsi="宋体" w:eastAsia="宋体" w:cs="宋体"/>
          <w:i w:val="0"/>
          <w:iCs/>
          <w:vertAlign w:val="baseline"/>
        </w:rPr>
        <w:t xml:space="preserve"> C40 网络的成员资格对公用事业规模的太阳能光伏投资有积极影响，而在其所研究的其他网络或平台中都没有发现类似的证据[5] 。总体上来说，学者们大都认为网络治理模式非常适合解决气候变化等问题，网络提供了塑造社区环境问题的机会，同时将公共和私人行为者联系起来，共同承担政策倡议的责任[6,7] 。但也有研究认为，许多网络合作过于松散，没有能力实现战略目标或动员当地参与者[7] ，如对赫尔辛基市气候合作伙伴网络的研究发现，虽然该网络设法将来自不同领域的公司聚集在一起，但难以吸引其他主体参与和鼓励设置雄心勃勃的气候目标[8]。</w:t>
      </w:r>
    </w:p>
    <w:p w14:paraId="0D7643F3">
      <w:pPr>
        <w:rPr>
          <w:rFonts w:hint="eastAsia" w:ascii="宋体" w:hAnsi="宋体" w:eastAsia="宋体" w:cs="宋体"/>
          <w:i w:val="0"/>
          <w:iCs/>
          <w:vertAlign w:val="baseline"/>
        </w:rPr>
      </w:pPr>
      <w:r>
        <w:rPr>
          <w:rFonts w:hint="eastAsia" w:ascii="宋体" w:hAnsi="宋体" w:eastAsia="宋体" w:cs="宋体"/>
          <w:i w:val="0"/>
          <w:iCs/>
          <w:vertAlign w:val="baseline"/>
        </w:rPr>
        <w:t>由国家、市场和公民社会的行动者为应对气候变化而形成的“治理网络”为“多中心治理”提供了组织基础，因为它们是由许多相互独立的决策中心构成自组织[9] 。 Elinor 和 Vincent Ostrom 提出的多中心治理概念越来越流行，有研究发现与多中心治理相关的一组因素对气候变化适应的高绩效具有最高解释力[10] ，或一些多中心治理模式有利于同时实现气候减缓和适应两个目标，而一些模式实现的目标不一致，还有一些模式可能只能实现其中一种目标[11] 。但也有研究对多中心气候治理方法的有效性提出了质疑，认为治理网络和伙伴关系可能导致国家“空心化”，以及精英多边主义的加</w:t>
      </w:r>
    </w:p>
    <w:p w14:paraId="3E9FCB4F">
      <w:pPr>
        <w:rPr>
          <w:rFonts w:hint="eastAsia" w:ascii="宋体" w:hAnsi="宋体" w:eastAsia="宋体" w:cs="宋体"/>
          <w:i w:val="0"/>
          <w:iCs/>
          <w:vertAlign w:val="baseline"/>
        </w:rPr>
      </w:pPr>
    </w:p>
    <w:p w14:paraId="45D6CC32">
      <w:pPr>
        <w:rPr>
          <w:rFonts w:hint="eastAsia" w:ascii="宋体" w:hAnsi="宋体" w:eastAsia="宋体" w:cs="宋体"/>
          <w:i w:val="0"/>
          <w:iCs/>
          <w:vertAlign w:val="baseline"/>
        </w:rPr>
      </w:pPr>
    </w:p>
    <w:p w14:paraId="2DD1FC33">
      <w:pPr>
        <w:rPr>
          <w:rFonts w:hint="eastAsia" w:ascii="宋体" w:hAnsi="宋体" w:eastAsia="宋体" w:cs="宋体"/>
          <w:i w:val="0"/>
          <w:iCs/>
          <w:vertAlign w:val="baseline"/>
        </w:rPr>
      </w:pPr>
    </w:p>
    <w:p w14:paraId="358EDE30">
      <w:pPr>
        <w:rPr>
          <w:rFonts w:hint="eastAsia" w:ascii="宋体" w:hAnsi="宋体" w:eastAsia="宋体" w:cs="宋体"/>
          <w:i w:val="0"/>
          <w:iCs/>
          <w:vertAlign w:val="baseline"/>
        </w:rPr>
      </w:pPr>
    </w:p>
    <w:p w14:paraId="7EB01FA6">
      <w:pPr>
        <w:rPr>
          <w:rFonts w:hint="eastAsia" w:ascii="宋体" w:hAnsi="宋体" w:eastAsia="宋体" w:cs="宋体"/>
          <w:i w:val="0"/>
          <w:iCs/>
          <w:vertAlign w:val="baseline"/>
        </w:rPr>
      </w:pPr>
      <w:r>
        <w:rPr>
          <w:rFonts w:hint="eastAsia" w:ascii="宋体" w:hAnsi="宋体" w:eastAsia="宋体" w:cs="宋体"/>
          <w:i w:val="0"/>
          <w:iCs/>
          <w:vertAlign w:val="baseline"/>
        </w:rPr>
        <w:t>[1]   庄贵阳,周伟铎.  非国家行为体参与和全球气候治理体系转型——城市与城市网络的角色[J]. 外交评论(外交学院学报), 2016, 33 (3):  133- 156.</w:t>
      </w:r>
    </w:p>
    <w:p w14:paraId="2496E2C6">
      <w:pPr>
        <w:rPr>
          <w:rFonts w:hint="eastAsia" w:ascii="宋体" w:hAnsi="宋体" w:eastAsia="宋体" w:cs="宋体"/>
          <w:i w:val="0"/>
          <w:iCs/>
          <w:vertAlign w:val="baseline"/>
        </w:rPr>
      </w:pPr>
      <w:r>
        <w:rPr>
          <w:rFonts w:hint="eastAsia" w:ascii="宋体" w:hAnsi="宋体" w:eastAsia="宋体" w:cs="宋体"/>
          <w:i w:val="0"/>
          <w:iCs/>
          <w:vertAlign w:val="baseline"/>
        </w:rPr>
        <w:t>[2]   张发林,杨佳伟. 统筹兼治或分而治之——全球治理的体系分析框架[J]. 世界经济与政治, 2021, (3): 126-155.</w:t>
      </w:r>
    </w:p>
    <w:p w14:paraId="462DFA0C">
      <w:pPr>
        <w:rPr>
          <w:rFonts w:hint="eastAsia" w:ascii="宋体" w:hAnsi="宋体" w:eastAsia="宋体" w:cs="宋体"/>
          <w:i w:val="0"/>
          <w:iCs/>
          <w:vertAlign w:val="baseline"/>
        </w:rPr>
      </w:pPr>
      <w:r>
        <w:rPr>
          <w:rFonts w:hint="eastAsia" w:ascii="宋体" w:hAnsi="宋体" w:eastAsia="宋体" w:cs="宋体"/>
          <w:i w:val="0"/>
          <w:iCs/>
          <w:vertAlign w:val="baseline"/>
        </w:rPr>
        <w:t>[3]   Bulkeley H, Andonova L B, Betsill M M, et al. Transnational Climate Change Governance[M]. Cambridge: Cambridge University Press, 2014.</w:t>
      </w:r>
    </w:p>
    <w:p w14:paraId="3E44076C">
      <w:pPr>
        <w:rPr>
          <w:rFonts w:hint="eastAsia" w:ascii="宋体" w:hAnsi="宋体" w:eastAsia="宋体" w:cs="宋体"/>
          <w:i w:val="0"/>
          <w:iCs/>
          <w:vertAlign w:val="baseline"/>
        </w:rPr>
      </w:pPr>
      <w:r>
        <w:rPr>
          <w:rFonts w:hint="eastAsia" w:ascii="宋体" w:hAnsi="宋体" w:eastAsia="宋体" w:cs="宋体"/>
          <w:i w:val="0"/>
          <w:iCs/>
          <w:vertAlign w:val="baseline"/>
        </w:rPr>
        <w:t>[4]   Lee T, Van de Meene S. Who Teaches and Who Learns? Policy Learning through the C40 Cities Climate Network[J]. Policy Sciences , 2012, 45: 199-220.</w:t>
      </w:r>
    </w:p>
    <w:p w14:paraId="7874C980">
      <w:pPr>
        <w:rPr>
          <w:rFonts w:hint="eastAsia" w:ascii="宋体" w:hAnsi="宋体" w:eastAsia="宋体" w:cs="宋体"/>
          <w:i w:val="0"/>
          <w:iCs/>
          <w:vertAlign w:val="baseline"/>
        </w:rPr>
      </w:pPr>
      <w:r>
        <w:rPr>
          <w:rFonts w:hint="eastAsia" w:ascii="宋体" w:hAnsi="宋体" w:eastAsia="宋体" w:cs="宋体"/>
          <w:i w:val="0"/>
          <w:iCs/>
          <w:vertAlign w:val="baseline"/>
        </w:rPr>
        <w:t>[5]   Steffen B, Schmidt T S, Tautorat P. Measuring Whether Municipal Climate Networks Make a Difference: The Case of Utility-Scale Solar PV Investment in Large Global Cities[J]. Climate Policy, 2019, 19 (7): 908-922.</w:t>
      </w:r>
    </w:p>
    <w:p w14:paraId="3F4B59DF">
      <w:pPr>
        <w:rPr>
          <w:rFonts w:hint="eastAsia" w:ascii="宋体" w:hAnsi="宋体" w:eastAsia="宋体" w:cs="宋体"/>
          <w:i w:val="0"/>
          <w:iCs/>
          <w:vertAlign w:val="baseline"/>
        </w:rPr>
      </w:pPr>
      <w:r>
        <w:rPr>
          <w:rFonts w:hint="eastAsia" w:ascii="宋体" w:hAnsi="宋体" w:eastAsia="宋体" w:cs="宋体"/>
          <w:i w:val="0"/>
          <w:iCs/>
          <w:vertAlign w:val="baseline"/>
        </w:rPr>
        <w:t>[6]   陆小成. 城市低碳发展的空间网络化治理路径研究——基于“兰州蓝”的经验考察[J]. 中国行政管理, 2016, (8): 76-80.</w:t>
      </w:r>
    </w:p>
    <w:p w14:paraId="036D9782">
      <w:pPr>
        <w:rPr>
          <w:rFonts w:hint="eastAsia" w:ascii="宋体" w:hAnsi="宋体" w:eastAsia="宋体" w:cs="宋体"/>
          <w:i w:val="0"/>
          <w:iCs/>
          <w:vertAlign w:val="baseline"/>
        </w:rPr>
      </w:pPr>
      <w:r>
        <w:rPr>
          <w:rFonts w:hint="eastAsia" w:ascii="宋体" w:hAnsi="宋体" w:eastAsia="宋体" w:cs="宋体"/>
          <w:i w:val="0"/>
          <w:iCs/>
          <w:vertAlign w:val="baseline"/>
        </w:rPr>
        <w:t>[7]   Giest S. Comparative Analysis of Sweden's Wind Energy Policy: The Evolution of "Coordinated" Networks[J]. Journal of Comparative Policy Analysis, 2015, 17 (4): 393-407.</w:t>
      </w:r>
    </w:p>
    <w:p w14:paraId="7EA14380">
      <w:pPr>
        <w:rPr>
          <w:rFonts w:hint="eastAsia" w:ascii="宋体" w:hAnsi="宋体" w:eastAsia="宋体" w:cs="宋体"/>
          <w:i w:val="0"/>
          <w:iCs/>
          <w:vertAlign w:val="baseline"/>
        </w:rPr>
      </w:pPr>
      <w:r>
        <w:rPr>
          <w:rFonts w:hint="eastAsia" w:ascii="宋体" w:hAnsi="宋体" w:eastAsia="宋体" w:cs="宋体"/>
          <w:i w:val="0"/>
          <w:iCs/>
          <w:vertAlign w:val="baseline"/>
        </w:rPr>
        <w:t>[8]   Heikkinen M, Korhonen O, Ylä-Anttila T, et al. Climate Partners of Helsinki: Participation-Based Structures and Performance in a City-to-Business Network Addressing Climate Change in 2011-2018[J]. Urban Climate, 2022, 45: 101250.</w:t>
      </w:r>
    </w:p>
    <w:p w14:paraId="19C5D719">
      <w:pPr>
        <w:rPr>
          <w:rFonts w:hint="eastAsia" w:ascii="宋体" w:hAnsi="宋体" w:eastAsia="宋体" w:cs="宋体"/>
          <w:i w:val="0"/>
          <w:iCs/>
          <w:vertAlign w:val="baseline"/>
        </w:rPr>
      </w:pPr>
      <w:r>
        <w:rPr>
          <w:rFonts w:hint="eastAsia" w:ascii="宋体" w:hAnsi="宋体" w:eastAsia="宋体" w:cs="宋体"/>
          <w:i w:val="0"/>
          <w:iCs/>
          <w:vertAlign w:val="baseline"/>
        </w:rPr>
        <w:t>[9]   Ostrom E. Polycentric Systems for Coping with Collective Action and Global Environmental Change[J]. Global Environmental Change, 2010, 20 (4): 550-557.</w:t>
      </w:r>
    </w:p>
    <w:p w14:paraId="73F578B5">
      <w:pPr>
        <w:rPr>
          <w:rFonts w:hint="eastAsia" w:ascii="宋体" w:hAnsi="宋体" w:eastAsia="宋体" w:cs="宋体"/>
          <w:i w:val="0"/>
          <w:iCs/>
          <w:vertAlign w:val="baseline"/>
        </w:rPr>
      </w:pPr>
      <w:r>
        <w:rPr>
          <w:rFonts w:hint="eastAsia" w:ascii="宋体" w:hAnsi="宋体" w:eastAsia="宋体" w:cs="宋体"/>
          <w:i w:val="0"/>
          <w:iCs/>
          <w:vertAlign w:val="baseline"/>
        </w:rPr>
        <w:t>[10] Pahl-Wostl C, Knieper C. The Capacity of Water Governance to Deal with the Climate Change Adaptation Challenge: Using Fuzzy Set Qualitative Comparative Analysis to Distinguish Between Polycentric, Fragmented and Centralized Regimes[J]. Global Environmental Change, 2014, 29: 139- 154.</w:t>
      </w:r>
    </w:p>
    <w:p w14:paraId="669E1CF1">
      <w:pPr>
        <w:rPr>
          <w:rFonts w:hint="eastAsia" w:ascii="宋体" w:hAnsi="宋体" w:eastAsia="宋体" w:cs="宋体"/>
          <w:i w:val="0"/>
          <w:iCs/>
          <w:vertAlign w:val="baseline"/>
        </w:rPr>
      </w:pPr>
      <w:r>
        <w:rPr>
          <w:rFonts w:hint="eastAsia" w:ascii="宋体" w:hAnsi="宋体" w:eastAsia="宋体" w:cs="宋体"/>
          <w:i w:val="0"/>
          <w:iCs/>
          <w:vertAlign w:val="baseline"/>
        </w:rPr>
        <w:t>[11] Ba Y, Galik C. Polycentric Systems and Multiscale Climate Change Mitigation and Adaptation in the Built Environment[J]. Review of Policy Research, 2019, 36 (4): 473-496.</w:t>
      </w:r>
    </w:p>
    <w:p w14:paraId="316603D3">
      <w:pPr>
        <w:rPr>
          <w:rFonts w:hint="eastAsia" w:ascii="宋体" w:hAnsi="宋体" w:eastAsia="宋体" w:cs="宋体"/>
          <w:i w:val="0"/>
          <w:iCs/>
          <w:vertAlign w:val="baseline"/>
        </w:rPr>
      </w:pPr>
    </w:p>
    <w:p w14:paraId="09523037">
      <w:pPr>
        <w:rPr>
          <w:rFonts w:hint="eastAsia" w:ascii="宋体" w:hAnsi="宋体" w:eastAsia="宋体" w:cs="宋体"/>
          <w:i w:val="0"/>
          <w:iCs/>
          <w:vertAlign w:val="baseline"/>
        </w:rPr>
      </w:pPr>
    </w:p>
    <w:p w14:paraId="29722DC9">
      <w:pPr>
        <w:rPr>
          <w:rFonts w:hint="eastAsia" w:ascii="宋体" w:hAnsi="宋体" w:eastAsia="宋体" w:cs="宋体"/>
          <w:i w:val="0"/>
          <w:iCs/>
          <w:vertAlign w:val="baseline"/>
        </w:rPr>
      </w:pPr>
      <w:r>
        <w:rPr>
          <w:rFonts w:hint="eastAsia" w:ascii="宋体" w:hAnsi="宋体" w:eastAsia="宋体" w:cs="宋体"/>
          <w:i w:val="0"/>
          <w:iCs/>
          <w:vertAlign w:val="baseline"/>
        </w:rPr>
        <w:t>强和公共产品生产中国家责任的退却[1,2] 。如 Sovacoola 和 Graafc 通过定性分析法研究能源和气候领域治理网络的绩效，发现尽管跨国网络治理政策在网络目的、资金、制度形式、效率和弹性水平的明确性上存在一些差异，但跨国治理网络通常未达到有效机构的标准，即大部分跨国治理网络的绩效水平有限[3] 。在多层治理方面，研究多集中在对欧盟的研究上[4] ，尽管欧盟多层次特征在气候治理中的重要性被多次验证，但相关研究仍然强调要重视成员国利益和立场变化对理解结果的关键作用[5]。</w:t>
      </w:r>
    </w:p>
    <w:p w14:paraId="2D53F013">
      <w:pPr>
        <w:rPr>
          <w:rFonts w:hint="eastAsia" w:ascii="宋体" w:hAnsi="宋体" w:eastAsia="宋体" w:cs="宋体"/>
          <w:i w:val="0"/>
          <w:iCs/>
          <w:vertAlign w:val="baseline"/>
        </w:rPr>
      </w:pPr>
      <w:r>
        <w:rPr>
          <w:rFonts w:hint="eastAsia" w:ascii="宋体" w:hAnsi="宋体" w:eastAsia="宋体" w:cs="宋体"/>
          <w:i w:val="0"/>
          <w:iCs/>
          <w:vertAlign w:val="baseline"/>
        </w:rPr>
        <w:t>第二，组织－行为视角。国内学者多从组织－行为视角展开研究，着重强调组织变量对碳排放治理绩效的影响，通过分析组织成员的价值观、组织控制程度和内部结构等如何影响组织成员的行为选择与行为模式[6] ，进而影响组织治理绩效。这类研究一方面关注单一行为主体或组织内部的特征和行为对治理绩效的影响，如项目责任制、</w:t>
      </w:r>
    </w:p>
    <w:p w14:paraId="4A7682E9">
      <w:pPr>
        <w:rPr>
          <w:rFonts w:hint="eastAsia" w:ascii="宋体" w:hAnsi="宋体" w:eastAsia="宋体" w:cs="宋体"/>
          <w:i w:val="0"/>
          <w:iCs/>
          <w:vertAlign w:val="baseline"/>
        </w:rPr>
      </w:pPr>
      <w:r>
        <w:rPr>
          <w:rFonts w:hint="eastAsia" w:ascii="宋体" w:hAnsi="宋体" w:eastAsia="宋体" w:cs="宋体"/>
          <w:i w:val="0"/>
          <w:iCs/>
          <w:vertAlign w:val="baseline"/>
        </w:rPr>
        <w:t>压力型体制、“晋升锦标赛”、官员特征等，另一方面关注组织间关系在碳排放治理绩效方面的影响，如政府机构之间、政府与企业和公众之间的协同与冲突、集体行动困境等。首先，在组织内部特征方面，中国的环境气候治理通常是中央政府通过行政发包制将环境与气候政策目标“发包”给直接下级或当地政府[7]。作为代理人的下级或当地政府需要同时面对经济发展和环境保护的双重任务，在以 GDP 为中心的人事考核机制的驱使下，地方官员可能会为了自己的利益和晋升[8] ，更加重视经济发展而非环境保护。地方官员不愿因实行过于严格的环境规制而损害经济发展导致出现政策分歧现象，孔繁成认为在“GDP 晋升锦标赛”体制下，地方官员通过粗放式投资推动经济增长，改善辖区环境质量的意愿不足[9] 。在财政分权的约束下，地方政府为了能获得晋升，会热衷于展现自己的忠诚与政绩[10] ，以超越同级竞争者，其中经济发展成为地方政府的首要追逐对象[11] ，但经济快速发展可能会造成环境污染加剧、碳排放量激增[12] ，政治晋升便演变为影响环境污染和碳排放治理绩效的关键因素之一。同时，环境与气候</w:t>
      </w:r>
    </w:p>
    <w:p w14:paraId="7D2DBD89">
      <w:pPr>
        <w:rPr>
          <w:rFonts w:hint="eastAsia" w:ascii="宋体" w:hAnsi="宋体" w:eastAsia="宋体" w:cs="宋体"/>
          <w:i w:val="0"/>
          <w:iCs/>
          <w:vertAlign w:val="baseline"/>
        </w:rPr>
      </w:pPr>
    </w:p>
    <w:p w14:paraId="417104ED">
      <w:pPr>
        <w:rPr>
          <w:rFonts w:hint="eastAsia" w:ascii="宋体" w:hAnsi="宋体" w:eastAsia="宋体" w:cs="宋体"/>
          <w:i w:val="0"/>
          <w:iCs/>
          <w:vertAlign w:val="baseline"/>
        </w:rPr>
      </w:pPr>
      <w:r>
        <w:rPr>
          <w:rFonts w:hint="eastAsia" w:ascii="宋体" w:hAnsi="宋体" w:eastAsia="宋体" w:cs="宋体"/>
          <w:i w:val="0"/>
          <w:iCs/>
          <w:vertAlign w:val="baseline"/>
        </w:rPr>
        <w:t>[1]   Bäckstrand  K. Accountability of Networked  Climate Governance: The Rise of Transnational Climate Partnerships[J]. Global Environmental Politics, 2008, 8 (3): 74-102.</w:t>
      </w:r>
    </w:p>
    <w:p w14:paraId="6D8718CB">
      <w:pPr>
        <w:rPr>
          <w:rFonts w:hint="eastAsia" w:ascii="宋体" w:hAnsi="宋体" w:eastAsia="宋体" w:cs="宋体"/>
          <w:i w:val="0"/>
          <w:iCs/>
          <w:vertAlign w:val="baseline"/>
        </w:rPr>
      </w:pPr>
      <w:r>
        <w:rPr>
          <w:rFonts w:hint="eastAsia" w:ascii="宋体" w:hAnsi="宋体" w:eastAsia="宋体" w:cs="宋体"/>
          <w:i w:val="0"/>
          <w:iCs/>
          <w:vertAlign w:val="baseline"/>
        </w:rPr>
        <w:t>[2]   Jordan A J, Huitema D, Hildén M, et al. Emergence of Polycentric Climate Governance and its Future Prospects[J]. Nature Climate Change, 2015, 5 (11): 977-982.</w:t>
      </w:r>
    </w:p>
    <w:p w14:paraId="2FA6D579">
      <w:pPr>
        <w:rPr>
          <w:rFonts w:hint="eastAsia" w:ascii="宋体" w:hAnsi="宋体" w:eastAsia="宋体" w:cs="宋体"/>
          <w:i w:val="0"/>
          <w:iCs/>
          <w:vertAlign w:val="baseline"/>
        </w:rPr>
      </w:pPr>
      <w:r>
        <w:rPr>
          <w:rFonts w:hint="eastAsia" w:ascii="宋体" w:hAnsi="宋体" w:eastAsia="宋体" w:cs="宋体"/>
          <w:i w:val="0"/>
          <w:iCs/>
          <w:vertAlign w:val="baseline"/>
        </w:rPr>
        <w:t>[3]   Sovacool  B K, Van  de Graaf T. Building or Stumbling Blocks? Assessing the Performance of Polycentric  Energy and Climate Governance Networks[J]. Energy Policy, 2018, 118: 317-324.</w:t>
      </w:r>
    </w:p>
    <w:p w14:paraId="59D7B3BF">
      <w:pPr>
        <w:rPr>
          <w:rFonts w:hint="eastAsia" w:ascii="宋体" w:hAnsi="宋体" w:eastAsia="宋体" w:cs="宋体"/>
          <w:i w:val="0"/>
          <w:iCs/>
          <w:vertAlign w:val="baseline"/>
        </w:rPr>
      </w:pPr>
      <w:r>
        <w:rPr>
          <w:rFonts w:hint="eastAsia" w:ascii="宋体" w:hAnsi="宋体" w:eastAsia="宋体" w:cs="宋体"/>
          <w:i w:val="0"/>
          <w:iCs/>
          <w:vertAlign w:val="baseline"/>
        </w:rPr>
        <w:t>[4]   巩潇泫. 欧盟气候治理中的跨国城市网络[J]. 国际研究参考, 2015, (1): 10-15.</w:t>
      </w:r>
    </w:p>
    <w:p w14:paraId="42862070">
      <w:pPr>
        <w:rPr>
          <w:rFonts w:hint="eastAsia" w:ascii="宋体" w:hAnsi="宋体" w:eastAsia="宋体" w:cs="宋体"/>
          <w:i w:val="0"/>
          <w:iCs/>
          <w:vertAlign w:val="baseline"/>
        </w:rPr>
      </w:pPr>
      <w:r>
        <w:rPr>
          <w:rFonts w:hint="eastAsia" w:ascii="宋体" w:hAnsi="宋体" w:eastAsia="宋体" w:cs="宋体"/>
          <w:i w:val="0"/>
          <w:iCs/>
          <w:vertAlign w:val="baseline"/>
        </w:rPr>
        <w:t>[5]   Wettestad J. European Climate Policy: Toward Centralized Governance?[J]. Review of Policy Research, 2009, 26 (3): 311-328.</w:t>
      </w:r>
    </w:p>
    <w:p w14:paraId="2A6C7C88">
      <w:pPr>
        <w:rPr>
          <w:rFonts w:hint="eastAsia" w:ascii="宋体" w:hAnsi="宋体" w:eastAsia="宋体" w:cs="宋体"/>
          <w:i w:val="0"/>
          <w:iCs/>
          <w:vertAlign w:val="baseline"/>
        </w:rPr>
      </w:pPr>
      <w:r>
        <w:rPr>
          <w:rFonts w:hint="eastAsia" w:ascii="宋体" w:hAnsi="宋体" w:eastAsia="宋体" w:cs="宋体"/>
          <w:i w:val="0"/>
          <w:iCs/>
          <w:vertAlign w:val="baseline"/>
        </w:rPr>
        <w:t>[6]   唐啸. 正式与非正式激励：中国环境政策执行机制研究[M]. 北京: 中国社会科学出版社, 2016.</w:t>
      </w:r>
    </w:p>
    <w:p w14:paraId="30F71A5A">
      <w:pPr>
        <w:rPr>
          <w:rFonts w:hint="eastAsia" w:ascii="宋体" w:hAnsi="宋体" w:eastAsia="宋体" w:cs="宋体"/>
          <w:i w:val="0"/>
          <w:iCs/>
          <w:vertAlign w:val="baseline"/>
        </w:rPr>
      </w:pPr>
      <w:r>
        <w:rPr>
          <w:rFonts w:hint="eastAsia" w:ascii="宋体" w:hAnsi="宋体" w:eastAsia="宋体" w:cs="宋体"/>
          <w:i w:val="0"/>
          <w:iCs/>
          <w:vertAlign w:val="baseline"/>
        </w:rPr>
        <w:t>[7]   周雪光. 中国国家治理的制度逻辑[M]. 北京: 生活·读书·新知三联书店, 2017.</w:t>
      </w:r>
    </w:p>
    <w:p w14:paraId="2C9E7B0F">
      <w:pPr>
        <w:rPr>
          <w:rFonts w:hint="eastAsia" w:ascii="宋体" w:hAnsi="宋体" w:eastAsia="宋体" w:cs="宋体"/>
          <w:i w:val="0"/>
          <w:iCs/>
          <w:vertAlign w:val="baseline"/>
        </w:rPr>
      </w:pPr>
      <w:r>
        <w:rPr>
          <w:rFonts w:hint="eastAsia" w:ascii="宋体" w:hAnsi="宋体" w:eastAsia="宋体" w:cs="宋体"/>
          <w:i w:val="0"/>
          <w:iCs/>
          <w:vertAlign w:val="baseline"/>
        </w:rPr>
        <w:t>[8]   Chen Y, Li H, Zhou L. Relative Performance Evaluation and the Turnover of Provincial Leaders in China[J]. Economics Letters, 2005, 88 (3): 421- 425.</w:t>
      </w:r>
    </w:p>
    <w:p w14:paraId="011DDCBD">
      <w:pPr>
        <w:rPr>
          <w:rFonts w:hint="eastAsia" w:ascii="宋体" w:hAnsi="宋体" w:eastAsia="宋体" w:cs="宋体"/>
          <w:i w:val="0"/>
          <w:iCs/>
          <w:vertAlign w:val="baseline"/>
        </w:rPr>
      </w:pPr>
      <w:r>
        <w:rPr>
          <w:rFonts w:hint="eastAsia" w:ascii="宋体" w:hAnsi="宋体" w:eastAsia="宋体" w:cs="宋体"/>
          <w:i w:val="0"/>
          <w:iCs/>
          <w:vertAlign w:val="baseline"/>
        </w:rPr>
        <w:t>[9]   孔繁成. 晋升激励, 任职预期与环境质量[J]. 南方经济, 2017, 36 (10): 90-110.</w:t>
      </w:r>
    </w:p>
    <w:p w14:paraId="7C66261C">
      <w:pPr>
        <w:rPr>
          <w:rFonts w:hint="eastAsia" w:ascii="宋体" w:hAnsi="宋体" w:eastAsia="宋体" w:cs="宋体"/>
          <w:i w:val="0"/>
          <w:iCs/>
          <w:vertAlign w:val="baseline"/>
        </w:rPr>
      </w:pPr>
      <w:r>
        <w:rPr>
          <w:rFonts w:hint="eastAsia" w:ascii="宋体" w:hAnsi="宋体" w:eastAsia="宋体" w:cs="宋体"/>
          <w:i w:val="0"/>
          <w:iCs/>
          <w:vertAlign w:val="baseline"/>
        </w:rPr>
        <w:t>[10] LüX, Landry P F. Show me the Money: Interjurisdiction Political Competition and Fiscal Extraction in China[J]. American Political Science Review, 2014, 108 (3): 706-722.</w:t>
      </w:r>
    </w:p>
    <w:p w14:paraId="5AB1B441">
      <w:pPr>
        <w:rPr>
          <w:rFonts w:hint="eastAsia" w:ascii="宋体" w:hAnsi="宋体" w:eastAsia="宋体" w:cs="宋体"/>
          <w:i w:val="0"/>
          <w:iCs/>
          <w:vertAlign w:val="baseline"/>
        </w:rPr>
      </w:pPr>
      <w:r>
        <w:rPr>
          <w:rFonts w:hint="eastAsia" w:ascii="宋体" w:hAnsi="宋体" w:eastAsia="宋体" w:cs="宋体"/>
          <w:i w:val="0"/>
          <w:iCs/>
          <w:vertAlign w:val="baseline"/>
        </w:rPr>
        <w:t>[11] Ma  L.  Performance  Feedback,  Government  Goal-Setting  and  Aspiration  Level  Adaptation:  Evidence  from  Chinese  Provinces[J].  Public Administration, 2016, 94 (2): 452-471.</w:t>
      </w:r>
    </w:p>
    <w:p w14:paraId="00B1A003">
      <w:pPr>
        <w:rPr>
          <w:rFonts w:hint="eastAsia" w:ascii="宋体" w:hAnsi="宋体" w:eastAsia="宋体" w:cs="宋体"/>
          <w:i w:val="0"/>
          <w:iCs/>
          <w:vertAlign w:val="baseline"/>
        </w:rPr>
      </w:pPr>
      <w:r>
        <w:rPr>
          <w:rFonts w:hint="eastAsia" w:ascii="宋体" w:hAnsi="宋体" w:eastAsia="宋体" w:cs="宋体"/>
          <w:i w:val="0"/>
          <w:iCs/>
          <w:vertAlign w:val="baseline"/>
        </w:rPr>
        <w:t>[12] 林伯强,孙传旺. 如何在保障中国经济增长前提下完成碳减排目标[J]. 中国社会科学, 2011, (1): 64-76.</w:t>
      </w:r>
    </w:p>
    <w:p w14:paraId="6AE1D4FD">
      <w:pPr>
        <w:rPr>
          <w:rFonts w:hint="eastAsia" w:ascii="宋体" w:hAnsi="宋体" w:eastAsia="宋体" w:cs="宋体"/>
          <w:i w:val="0"/>
          <w:iCs/>
          <w:vertAlign w:val="baseline"/>
        </w:rPr>
      </w:pPr>
    </w:p>
    <w:p w14:paraId="726F28A3">
      <w:pPr>
        <w:rPr>
          <w:rFonts w:hint="eastAsia" w:ascii="宋体" w:hAnsi="宋体" w:eastAsia="宋体" w:cs="宋体"/>
          <w:i w:val="0"/>
          <w:iCs/>
          <w:vertAlign w:val="baseline"/>
        </w:rPr>
      </w:pPr>
    </w:p>
    <w:p w14:paraId="3159D530">
      <w:pPr>
        <w:rPr>
          <w:rFonts w:hint="eastAsia" w:ascii="宋体" w:hAnsi="宋体" w:eastAsia="宋体" w:cs="宋体"/>
          <w:i w:val="0"/>
          <w:iCs/>
          <w:vertAlign w:val="baseline"/>
        </w:rPr>
      </w:pPr>
      <w:r>
        <w:rPr>
          <w:rFonts w:hint="eastAsia" w:ascii="宋体" w:hAnsi="宋体" w:eastAsia="宋体" w:cs="宋体"/>
          <w:i w:val="0"/>
          <w:iCs/>
          <w:vertAlign w:val="baseline"/>
        </w:rPr>
        <w:t>政策的强制性长期以来较为薄弱，环境保护机构势单力薄，缺乏政治支持，以致环境和气候政策的执行效果常不尽如人意[1] 。但已有研究指出，中国政府对环境与气候治理的重视程度日益提升，地方政府的碳排放绩效与环境治理绩效亦会对地方官员晋升产生显著影响[2,3] 。与此同时，适当的绩效压力有利于提高环境治理效率，一方面要给予地方政府适当的绩效压力，以提升其环境治理动力，另一方面又要避免地方政府因压力过大而产生公共价值冲突，影响环境治理效率[4]。</w:t>
      </w:r>
    </w:p>
    <w:p w14:paraId="3153CD87">
      <w:pPr>
        <w:rPr>
          <w:rFonts w:hint="eastAsia" w:ascii="宋体" w:hAnsi="宋体" w:eastAsia="宋体" w:cs="宋体"/>
          <w:i w:val="0"/>
          <w:iCs/>
          <w:vertAlign w:val="baseline"/>
        </w:rPr>
      </w:pPr>
      <w:r>
        <w:rPr>
          <w:rFonts w:hint="eastAsia" w:ascii="宋体" w:hAnsi="宋体" w:eastAsia="宋体" w:cs="宋体"/>
          <w:i w:val="0"/>
          <w:iCs/>
          <w:vertAlign w:val="baseline"/>
        </w:rPr>
        <w:t>在环境与气候治理实践中，政府在面对常规治理失灵时，在压力传导机制的作用下，会通过专项治理或运动式治理的方式来解决出现的问题，但治理绩效会因不同的治理情境而显现出差异[5]。运动式环境治理是在职责同构结构下注意力强化作用的结果[6]，其一方面既有利于克服条块分割、各地自行其是的缺点，又具有高规格政治动员、</w:t>
      </w:r>
    </w:p>
    <w:p w14:paraId="7751C030">
      <w:pPr>
        <w:rPr>
          <w:rFonts w:hint="eastAsia" w:ascii="宋体" w:hAnsi="宋体" w:eastAsia="宋体" w:cs="宋体"/>
          <w:i w:val="0"/>
          <w:iCs/>
          <w:vertAlign w:val="baseline"/>
        </w:rPr>
      </w:pPr>
      <w:r>
        <w:rPr>
          <w:rFonts w:hint="eastAsia" w:ascii="宋体" w:hAnsi="宋体" w:eastAsia="宋体" w:cs="宋体"/>
          <w:i w:val="0"/>
          <w:iCs/>
          <w:vertAlign w:val="baseline"/>
        </w:rPr>
        <w:t>高政策驱动力的特点，另一方面也存在协作困难、治理效果难以持久的缺点[7] 。近年来，运动式治理在我国环保与气候治理领域起到了显著的作用，特别在“双碳”目标提出后，“双碳”目标的落实情况即被纳入了中央环保督察，有研究发现中央环保督察能推动碳价上涨并促进碳市场发展[8] 。组织目标设置与目标执行会对政策绩效产生显著影响[9] ，如目标责任制使得京津冀地区大气治理绩效在不同层面上均有所提升[10] 。运动式治理属于一种短期的目标导向的治理方式，与我国五年规划等政策中的长期目标导向相结合，有利于“双碳”目标的实现。</w:t>
      </w:r>
    </w:p>
    <w:p w14:paraId="499B7283">
      <w:pPr>
        <w:rPr>
          <w:rFonts w:hint="eastAsia" w:ascii="宋体" w:hAnsi="宋体" w:eastAsia="宋体" w:cs="宋体"/>
          <w:i w:val="0"/>
          <w:iCs/>
          <w:vertAlign w:val="baseline"/>
        </w:rPr>
      </w:pPr>
      <w:r>
        <w:rPr>
          <w:rFonts w:hint="eastAsia" w:ascii="宋体" w:hAnsi="宋体" w:eastAsia="宋体" w:cs="宋体"/>
          <w:i w:val="0"/>
          <w:iCs/>
          <w:vertAlign w:val="baseline"/>
        </w:rPr>
        <w:t>其次，在政府与企业和公众间关系层面，如前所述，研究者现多将精力投入网络治理中以缓解层级制的弊端，但是同时网络治理也有其不足，为提高网络治理效率，协同治理受到极高的关注[7,11] 。协同治理是“一种管理安排，其中一个或多个公共机构直接与非国家利益相关者进行正式的、协商一致的、深思熟虑的集体决策过程， 旨在制定或实施公共政策或管理公共项目或资产”[12] 。协同治理可以增强参与者各方之间的相互信任，促进利益相关者相互学习，有利于处理冲突并创建基于共识的决策规则</w:t>
      </w:r>
    </w:p>
    <w:p w14:paraId="1CF2EA70">
      <w:pPr>
        <w:rPr>
          <w:rFonts w:hint="eastAsia" w:ascii="宋体" w:hAnsi="宋体" w:eastAsia="宋体" w:cs="宋体"/>
          <w:i w:val="0"/>
          <w:iCs/>
          <w:vertAlign w:val="baseline"/>
        </w:rPr>
      </w:pPr>
      <w:r>
        <w:rPr>
          <w:rFonts w:hint="eastAsia" w:ascii="宋体" w:hAnsi="宋体" w:eastAsia="宋体" w:cs="宋体"/>
          <w:i w:val="0"/>
          <w:iCs/>
          <w:vertAlign w:val="baseline"/>
        </w:rPr>
        <w:t>[1]   Gustafson T. Technology Assessment, Soviet Style[J]. Science, 1980, 208 (4450): 1343-1348.</w:t>
      </w:r>
    </w:p>
    <w:p w14:paraId="2D283D71">
      <w:pPr>
        <w:rPr>
          <w:rFonts w:hint="eastAsia" w:ascii="宋体" w:hAnsi="宋体" w:eastAsia="宋体" w:cs="宋体"/>
          <w:i w:val="0"/>
          <w:iCs/>
          <w:vertAlign w:val="baseline"/>
        </w:rPr>
      </w:pPr>
      <w:r>
        <w:rPr>
          <w:rFonts w:hint="eastAsia" w:ascii="宋体" w:hAnsi="宋体" w:eastAsia="宋体" w:cs="宋体"/>
          <w:i w:val="0"/>
          <w:iCs/>
          <w:vertAlign w:val="baseline"/>
        </w:rPr>
        <w:t>[2]   盛明科,李代明. 地方生态治理支出规模与官员晋升的关系研究——基于市级面板数据的结论[J]. 中国行政管理, 2018, (4): 128-134.</w:t>
      </w:r>
    </w:p>
    <w:p w14:paraId="628243B2">
      <w:pPr>
        <w:rPr>
          <w:rFonts w:hint="eastAsia" w:ascii="宋体" w:hAnsi="宋体" w:eastAsia="宋体" w:cs="宋体"/>
          <w:i w:val="0"/>
          <w:iCs/>
          <w:vertAlign w:val="baseline"/>
        </w:rPr>
      </w:pPr>
      <w:r>
        <w:rPr>
          <w:rFonts w:hint="eastAsia" w:ascii="宋体" w:hAnsi="宋体" w:eastAsia="宋体" w:cs="宋体"/>
          <w:i w:val="0"/>
          <w:iCs/>
          <w:vertAlign w:val="baseline"/>
        </w:rPr>
        <w:t>[3]   张振波. 从逐底竞争到策略性模仿——绩效考核生态化如何影响地方政府环境治理的竞争策略?[J]. 公共行政评论, 2020, 13 (6): 114-131.</w:t>
      </w:r>
    </w:p>
    <w:p w14:paraId="156A8CF7">
      <w:pPr>
        <w:rPr>
          <w:rFonts w:hint="eastAsia" w:ascii="宋体" w:hAnsi="宋体" w:eastAsia="宋体" w:cs="宋体"/>
          <w:i w:val="0"/>
          <w:iCs/>
          <w:vertAlign w:val="baseline"/>
        </w:rPr>
      </w:pPr>
      <w:r>
        <w:rPr>
          <w:rFonts w:hint="eastAsia" w:ascii="宋体" w:hAnsi="宋体" w:eastAsia="宋体" w:cs="宋体"/>
          <w:i w:val="0"/>
          <w:iCs/>
          <w:vertAlign w:val="baseline"/>
        </w:rPr>
        <w:t>[4]   关斌. 地方政府环境治理中绩效压力是把双刃剑吗？——基于公共价值冲突视角的实证分析[J]. 公共管理学报, 2020, 17 (2): 53-69.</w:t>
      </w:r>
    </w:p>
    <w:p w14:paraId="37D894E6">
      <w:pPr>
        <w:rPr>
          <w:rFonts w:hint="eastAsia" w:ascii="宋体" w:hAnsi="宋体" w:eastAsia="宋体" w:cs="宋体"/>
          <w:i w:val="0"/>
          <w:iCs/>
          <w:vertAlign w:val="baseline"/>
        </w:rPr>
      </w:pPr>
      <w:r>
        <w:rPr>
          <w:rFonts w:hint="eastAsia" w:ascii="宋体" w:hAnsi="宋体" w:eastAsia="宋体" w:cs="宋体"/>
          <w:i w:val="0"/>
          <w:iCs/>
          <w:vertAlign w:val="baseline"/>
        </w:rPr>
        <w:t>[5]   陈涛,李鸿香. 环境治理的系统性分析——基于华东仁村治理实践的经验研究[J]. 东南大学学报(哲学社会科学版), 2020, 22 (2): 102-109.</w:t>
      </w:r>
    </w:p>
    <w:p w14:paraId="7C8BDA43">
      <w:pPr>
        <w:rPr>
          <w:rFonts w:hint="eastAsia" w:ascii="宋体" w:hAnsi="宋体" w:eastAsia="宋体" w:cs="宋体"/>
          <w:i w:val="0"/>
          <w:iCs/>
          <w:vertAlign w:val="baseline"/>
        </w:rPr>
      </w:pPr>
      <w:r>
        <w:rPr>
          <w:rFonts w:hint="eastAsia" w:ascii="宋体" w:hAnsi="宋体" w:eastAsia="宋体" w:cs="宋体"/>
          <w:i w:val="0"/>
          <w:iCs/>
          <w:vertAlign w:val="baseline"/>
        </w:rPr>
        <w:t>[6]   王智睿,赵聚军. 运动式环境治理的类型学研究——基于多案例的比较分析[J]. 公共管理与政策评论, 2021, 10 (2): 62-78.</w:t>
      </w:r>
    </w:p>
    <w:p w14:paraId="64B49D9D">
      <w:pPr>
        <w:rPr>
          <w:rFonts w:hint="eastAsia" w:ascii="宋体" w:hAnsi="宋体" w:eastAsia="宋体" w:cs="宋体"/>
          <w:i w:val="0"/>
          <w:iCs/>
          <w:vertAlign w:val="baseline"/>
        </w:rPr>
      </w:pPr>
      <w:r>
        <w:rPr>
          <w:rFonts w:hint="eastAsia" w:ascii="宋体" w:hAnsi="宋体" w:eastAsia="宋体" w:cs="宋体"/>
          <w:i w:val="0"/>
          <w:iCs/>
          <w:vertAlign w:val="baseline"/>
        </w:rPr>
        <w:t>[7]   胡中华,周振新. 区域环境治理:从运动式协作到常态化协同[J]. 中国人口·资源与环境, 2021, 31 (3): 66-74.</w:t>
      </w:r>
    </w:p>
    <w:p w14:paraId="12BC8404">
      <w:pPr>
        <w:rPr>
          <w:rFonts w:hint="eastAsia" w:ascii="宋体" w:hAnsi="宋体" w:eastAsia="宋体" w:cs="宋体"/>
          <w:i w:val="0"/>
          <w:iCs/>
          <w:vertAlign w:val="baseline"/>
        </w:rPr>
      </w:pPr>
      <w:r>
        <w:rPr>
          <w:rFonts w:hint="eastAsia" w:ascii="宋体" w:hAnsi="宋体" w:eastAsia="宋体" w:cs="宋体"/>
          <w:i w:val="0"/>
          <w:iCs/>
          <w:vertAlign w:val="baseline"/>
        </w:rPr>
        <w:t>[8]   高红贵,许莹莹,朱于珂. 命令控制型环境规制对碳市场价格的影响——来自中央环保督察的准自然实验[J].  中国地质大学学报(社会科学版), 2022, 22 (3): 54-66.</w:t>
      </w:r>
    </w:p>
    <w:p w14:paraId="25065A97">
      <w:pPr>
        <w:rPr>
          <w:rFonts w:hint="eastAsia" w:ascii="宋体" w:hAnsi="宋体" w:eastAsia="宋体" w:cs="宋体"/>
          <w:i w:val="0"/>
          <w:iCs/>
          <w:vertAlign w:val="baseline"/>
        </w:rPr>
      </w:pPr>
      <w:r>
        <w:rPr>
          <w:rFonts w:hint="eastAsia" w:ascii="宋体" w:hAnsi="宋体" w:eastAsia="宋体" w:cs="宋体"/>
          <w:i w:val="0"/>
          <w:iCs/>
          <w:vertAlign w:val="baseline"/>
        </w:rPr>
        <w:t>[9]   Oberthür S, Rabitz F. On the EU's Performance and Leadership in Global Environmental Governance: The Case of the Nagoya Protocol[J]. Journal of European Public Policy, 2014, 21 (1): 39-57.</w:t>
      </w:r>
    </w:p>
    <w:p w14:paraId="1EDEC436">
      <w:pPr>
        <w:rPr>
          <w:rFonts w:hint="eastAsia" w:ascii="宋体" w:hAnsi="宋体" w:eastAsia="宋体" w:cs="宋体"/>
          <w:i w:val="0"/>
          <w:iCs/>
          <w:vertAlign w:val="baseline"/>
        </w:rPr>
      </w:pPr>
      <w:r>
        <w:rPr>
          <w:rFonts w:hint="eastAsia" w:ascii="宋体" w:hAnsi="宋体" w:eastAsia="宋体" w:cs="宋体"/>
          <w:i w:val="0"/>
          <w:iCs/>
          <w:vertAlign w:val="baseline"/>
        </w:rPr>
        <w:t>[10] 李倩. 跨界环境治理目标责任制的运行逻辑与治理绩效——以京津冀大气治理为例[J]. 北京行政学院学报, 2020, (4): 17-27.</w:t>
      </w:r>
    </w:p>
    <w:p w14:paraId="52EEDB2E">
      <w:pPr>
        <w:rPr>
          <w:rFonts w:hint="eastAsia" w:ascii="宋体" w:hAnsi="宋体" w:eastAsia="宋体" w:cs="宋体"/>
          <w:i w:val="0"/>
          <w:iCs/>
          <w:vertAlign w:val="baseline"/>
        </w:rPr>
      </w:pPr>
      <w:r>
        <w:rPr>
          <w:rFonts w:hint="eastAsia" w:ascii="宋体" w:hAnsi="宋体" w:eastAsia="宋体" w:cs="宋体"/>
          <w:i w:val="0"/>
          <w:iCs/>
          <w:vertAlign w:val="baseline"/>
        </w:rPr>
        <w:t>[11] Kerret D, Menahem G. Many Hands Make Light Work: The Role of Collaborative Management in Improving Environmental Information Management by Local Authorities[J]. International Public Management Journal, 2016, 19 (4): 427-452.</w:t>
      </w:r>
    </w:p>
    <w:p w14:paraId="589EC913">
      <w:pPr>
        <w:rPr>
          <w:rFonts w:hint="eastAsia" w:ascii="宋体" w:hAnsi="宋体" w:eastAsia="宋体" w:cs="宋体"/>
          <w:i w:val="0"/>
          <w:iCs/>
          <w:vertAlign w:val="baseline"/>
        </w:rPr>
      </w:pPr>
      <w:r>
        <w:rPr>
          <w:rFonts w:hint="eastAsia" w:ascii="宋体" w:hAnsi="宋体" w:eastAsia="宋体" w:cs="宋体"/>
          <w:i w:val="0"/>
          <w:iCs/>
          <w:vertAlign w:val="baseline"/>
        </w:rPr>
        <w:t>[12] Ansell C, Gash A. Collaborative Governance in Theory and Practice[J]. Journal of Public Administration Research and Theory, 2008, 18 (4): 543- 571.</w:t>
      </w:r>
    </w:p>
    <w:p w14:paraId="57198412">
      <w:pPr>
        <w:rPr>
          <w:rFonts w:hint="eastAsia" w:ascii="宋体" w:hAnsi="宋体" w:eastAsia="宋体" w:cs="宋体"/>
          <w:i w:val="0"/>
          <w:iCs/>
          <w:vertAlign w:val="baseline"/>
        </w:rPr>
      </w:pPr>
    </w:p>
    <w:p w14:paraId="42F76C02">
      <w:pPr>
        <w:rPr>
          <w:rFonts w:hint="eastAsia" w:ascii="宋体" w:hAnsi="宋体" w:eastAsia="宋体" w:cs="宋体"/>
          <w:i w:val="0"/>
          <w:iCs/>
          <w:vertAlign w:val="baseline"/>
        </w:rPr>
      </w:pPr>
    </w:p>
    <w:p w14:paraId="62E17AEB">
      <w:pPr>
        <w:rPr>
          <w:rFonts w:hint="eastAsia" w:ascii="宋体" w:hAnsi="宋体" w:eastAsia="宋体" w:cs="宋体"/>
          <w:i w:val="0"/>
          <w:iCs/>
          <w:vertAlign w:val="baseline"/>
        </w:rPr>
      </w:pPr>
      <w:r>
        <w:rPr>
          <w:rFonts w:hint="eastAsia" w:ascii="宋体" w:hAnsi="宋体" w:eastAsia="宋体" w:cs="宋体"/>
          <w:i w:val="0"/>
          <w:iCs/>
          <w:vertAlign w:val="baseline"/>
        </w:rPr>
        <w:t>[1,2] 。研究发现协同水平与更高的气候政策产出和绩效呈正相关关系[3] ，协同与绩效之间的积极联系是将协同作为管理策略参与的主要催化剂[4] 。协同治理可以通过整合地方利益，创造和扩大地方协同，并利用地方利益取得更好的治理绩效[5] 。动态的协同主体间关系会对协同行动的过程和产出产生较大的影响，这种影响一方面会降低参与主体间协同行动的效率，另一方面还会减少协同网络的整体政策产出[6] 。交易成本的存在也会削弱环境协同治理对治理绩效的促进作用，因此应建立动态的、有约束力的环境协同治理机制[7] 。但 Koontz 和 Thomas 指出，确定协同治理的环境产出与环境绩效之间的联系是具有挑战性的，其原因有二：一是， 由于环境问题涉及很长的潜伏期，因此相关研究也需持续很长时间，而这样一个过程通常是难以建立的。二是，当存在许多相互作用的因素时，很难理清环境协同治理对实际绩效的直接影响[8]。</w:t>
      </w:r>
    </w:p>
    <w:p w14:paraId="555F543F">
      <w:pPr>
        <w:rPr>
          <w:rFonts w:hint="eastAsia" w:ascii="宋体" w:hAnsi="宋体" w:eastAsia="宋体" w:cs="宋体"/>
          <w:i w:val="0"/>
          <w:iCs/>
          <w:vertAlign w:val="baseline"/>
        </w:rPr>
      </w:pPr>
      <w:r>
        <w:rPr>
          <w:rFonts w:hint="eastAsia" w:ascii="宋体" w:hAnsi="宋体" w:eastAsia="宋体" w:cs="宋体"/>
          <w:i w:val="0"/>
          <w:iCs/>
          <w:vertAlign w:val="baseline"/>
        </w:rPr>
        <w:t>同时，政府间的合作与竞争，即府际关系，会显著影响气候与环境治理绩效，但府际关系对环境治理绩效的影响效果仍存在分歧，如有学者认为府际合作无法显著影响经济欠发达城市的环境治理绩效[9] ，也有研究发现在中国三大城市群中，横向府际合作均未对环境治理绩效产生显著影响，纵向的上级政府干预反而是区域环境治理绩效提升的关键[10] 。与之相反的研究发现，府际合作可在横向和纵向两个维度同时促进区域环境治理绩效提升[11] 。为此，有研究提出可通过识别环境协同治理中影响环境绩效的权变因素来分析环境协同治理差异[12] 。有研究从政府间关系视角，提出竞争－协调-合作框架，发现不同类型的政府间关系会对政策结果产生显著影响。宏观经济模拟表明，在国家层面实施州气候变化行动计划中建议的综合缓解政策方案是一个双赢的政策组合，可以显著减少温室气体排放[13] 。地方政府间府际合作是跨域环境治理的必然选择，但合作治理过程中出现的权力不等、利益冲突、监管体系不完整、考评措施</w:t>
      </w:r>
    </w:p>
    <w:p w14:paraId="72805F6F">
      <w:pPr>
        <w:rPr>
          <w:rFonts w:hint="eastAsia" w:ascii="宋体" w:hAnsi="宋体" w:eastAsia="宋体" w:cs="宋体"/>
          <w:i w:val="0"/>
          <w:iCs/>
          <w:vertAlign w:val="baseline"/>
        </w:rPr>
      </w:pPr>
    </w:p>
    <w:p w14:paraId="58DD1C7B">
      <w:pPr>
        <w:rPr>
          <w:rFonts w:hint="eastAsia" w:ascii="宋体" w:hAnsi="宋体" w:eastAsia="宋体" w:cs="宋体"/>
          <w:i w:val="0"/>
          <w:iCs/>
          <w:vertAlign w:val="baseline"/>
        </w:rPr>
      </w:pPr>
    </w:p>
    <w:p w14:paraId="4C863C79">
      <w:pPr>
        <w:rPr>
          <w:rFonts w:hint="eastAsia" w:ascii="宋体" w:hAnsi="宋体" w:eastAsia="宋体" w:cs="宋体"/>
          <w:i w:val="0"/>
          <w:iCs/>
          <w:vertAlign w:val="baseline"/>
        </w:rPr>
      </w:pPr>
      <w:r>
        <w:rPr>
          <w:rFonts w:hint="eastAsia" w:ascii="宋体" w:hAnsi="宋体" w:eastAsia="宋体" w:cs="宋体"/>
          <w:i w:val="0"/>
          <w:iCs/>
          <w:vertAlign w:val="baseline"/>
        </w:rPr>
        <w:t>[1]   Agranoff R. Inside Collaborative Networks: Ten Lessons for Public Managers[J]. Public Administration Review, 2006, 66: 56-65.</w:t>
      </w:r>
    </w:p>
    <w:p w14:paraId="52F88779">
      <w:pPr>
        <w:rPr>
          <w:rFonts w:hint="eastAsia" w:ascii="宋体" w:hAnsi="宋体" w:eastAsia="宋体" w:cs="宋体"/>
          <w:i w:val="0"/>
          <w:iCs/>
          <w:vertAlign w:val="baseline"/>
        </w:rPr>
      </w:pPr>
      <w:r>
        <w:rPr>
          <w:rFonts w:hint="eastAsia" w:ascii="宋体" w:hAnsi="宋体" w:eastAsia="宋体" w:cs="宋体"/>
          <w:i w:val="0"/>
          <w:iCs/>
          <w:vertAlign w:val="baseline"/>
        </w:rPr>
        <w:t>[2]   Ansell C, Gash A. Collaborative Governance in Theory and Practice[J]. Journal of Public Administration Research and Theory, 2008, 18 (4): 543- 571.</w:t>
      </w:r>
    </w:p>
    <w:p w14:paraId="09E0AE3D">
      <w:pPr>
        <w:rPr>
          <w:rFonts w:hint="eastAsia" w:ascii="宋体" w:hAnsi="宋体" w:eastAsia="宋体" w:cs="宋体"/>
          <w:i w:val="0"/>
          <w:iCs/>
          <w:vertAlign w:val="baseline"/>
        </w:rPr>
      </w:pPr>
      <w:r>
        <w:rPr>
          <w:rFonts w:hint="eastAsia" w:ascii="宋体" w:hAnsi="宋体" w:eastAsia="宋体" w:cs="宋体"/>
          <w:i w:val="0"/>
          <w:iCs/>
          <w:vertAlign w:val="baseline"/>
        </w:rPr>
        <w:t>[3]   Kalesnikaite V. Keeping Cities Afloat: Climate Change Adaptation and Collaborative Governance at the Local Level[J]. Public Performance and Management Review, 2019, 42 (4): 864-888.</w:t>
      </w:r>
    </w:p>
    <w:p w14:paraId="43CEA8A0">
      <w:pPr>
        <w:rPr>
          <w:rFonts w:hint="eastAsia" w:ascii="宋体" w:hAnsi="宋体" w:eastAsia="宋体" w:cs="宋体"/>
          <w:i w:val="0"/>
          <w:iCs/>
          <w:vertAlign w:val="baseline"/>
        </w:rPr>
      </w:pPr>
      <w:r>
        <w:rPr>
          <w:rFonts w:hint="eastAsia" w:ascii="宋体" w:hAnsi="宋体" w:eastAsia="宋体" w:cs="宋体"/>
          <w:i w:val="0"/>
          <w:iCs/>
          <w:vertAlign w:val="baseline"/>
        </w:rPr>
        <w:t>[4]   Mitchell G E, O Leary R, Gerard C. Collaboration and Performance: Perspectives from Public Managers and NGO Leaders[J]. Public Performance and Management Review, 2015, 38 (4): 684-716.</w:t>
      </w:r>
    </w:p>
    <w:p w14:paraId="2487A8E7">
      <w:pPr>
        <w:rPr>
          <w:rFonts w:hint="eastAsia" w:ascii="宋体" w:hAnsi="宋体" w:eastAsia="宋体" w:cs="宋体"/>
          <w:i w:val="0"/>
          <w:iCs/>
          <w:vertAlign w:val="baseline"/>
        </w:rPr>
      </w:pPr>
      <w:r>
        <w:rPr>
          <w:rFonts w:hint="eastAsia" w:ascii="宋体" w:hAnsi="宋体" w:eastAsia="宋体" w:cs="宋体"/>
          <w:i w:val="0"/>
          <w:iCs/>
          <w:vertAlign w:val="baseline"/>
        </w:rPr>
        <w:t>[5]   Lee H. Collaborative Governance Platforms and Outcomes: An Analysis of Clean Cities Coalitions[J]. Governance, 2022, 36 (3): 805-825.</w:t>
      </w:r>
    </w:p>
    <w:p w14:paraId="0654C785">
      <w:pPr>
        <w:rPr>
          <w:rFonts w:hint="eastAsia" w:ascii="宋体" w:hAnsi="宋体" w:eastAsia="宋体" w:cs="宋体"/>
          <w:i w:val="0"/>
          <w:iCs/>
          <w:vertAlign w:val="baseline"/>
        </w:rPr>
      </w:pPr>
      <w:r>
        <w:rPr>
          <w:rFonts w:hint="eastAsia" w:ascii="宋体" w:hAnsi="宋体" w:eastAsia="宋体" w:cs="宋体"/>
          <w:i w:val="0"/>
          <w:iCs/>
          <w:vertAlign w:val="baseline"/>
        </w:rPr>
        <w:t>[6]   赵辰霖,徐菁媛. 粤港澳大湾区一体化下的粤港协同治理——基于三种合作形式的案例比较研究[J]. 公共行政评论, 2020, 13 (2): 58-75.</w:t>
      </w:r>
    </w:p>
    <w:p w14:paraId="0F83524D">
      <w:pPr>
        <w:rPr>
          <w:rFonts w:hint="eastAsia" w:ascii="宋体" w:hAnsi="宋体" w:eastAsia="宋体" w:cs="宋体"/>
          <w:i w:val="0"/>
          <w:iCs/>
          <w:vertAlign w:val="baseline"/>
        </w:rPr>
      </w:pPr>
      <w:r>
        <w:rPr>
          <w:rFonts w:hint="eastAsia" w:ascii="宋体" w:hAnsi="宋体" w:eastAsia="宋体" w:cs="宋体"/>
          <w:i w:val="0"/>
          <w:iCs/>
          <w:vertAlign w:val="baseline"/>
        </w:rPr>
        <w:t>[7]   李磊,郑依琳,马韶君. 环境协同治理改善了城市生态福利绩效吗?[J]. 大连理工大学学报(社会科学版),2023: 1-11.</w:t>
      </w:r>
    </w:p>
    <w:p w14:paraId="1718FE2C">
      <w:pPr>
        <w:rPr>
          <w:rFonts w:hint="eastAsia" w:ascii="宋体" w:hAnsi="宋体" w:eastAsia="宋体" w:cs="宋体"/>
          <w:i w:val="0"/>
          <w:iCs/>
          <w:vertAlign w:val="baseline"/>
        </w:rPr>
      </w:pPr>
      <w:r>
        <w:rPr>
          <w:rFonts w:hint="eastAsia" w:ascii="宋体" w:hAnsi="宋体" w:eastAsia="宋体" w:cs="宋体"/>
          <w:i w:val="0"/>
          <w:iCs/>
          <w:vertAlign w:val="baseline"/>
        </w:rPr>
        <w:t>[8]   Koontz T M, Thomas C W. What do We Know and Need to Know about the Environmental Outcomes of Collaborative Management?[J]. Public Administration Review, 2006, 66: 111-121.</w:t>
      </w:r>
    </w:p>
    <w:p w14:paraId="21B81ECF">
      <w:pPr>
        <w:rPr>
          <w:rFonts w:hint="eastAsia" w:ascii="宋体" w:hAnsi="宋体" w:eastAsia="宋体" w:cs="宋体"/>
          <w:i w:val="0"/>
          <w:iCs/>
          <w:vertAlign w:val="baseline"/>
        </w:rPr>
      </w:pPr>
      <w:r>
        <w:rPr>
          <w:rFonts w:hint="eastAsia" w:ascii="宋体" w:hAnsi="宋体" w:eastAsia="宋体" w:cs="宋体"/>
          <w:i w:val="0"/>
          <w:iCs/>
          <w:vertAlign w:val="baseline"/>
        </w:rPr>
        <w:t>[9]   李奕霖,李智超. 府际合作、财政自主性与区域环境治理绩效——基于京津冀和长三角城市群的分析[J]. 城市问题, 2022, (2): 13-22.</w:t>
      </w:r>
    </w:p>
    <w:p w14:paraId="229F8E63">
      <w:pPr>
        <w:rPr>
          <w:rFonts w:hint="eastAsia" w:ascii="宋体" w:hAnsi="宋体" w:eastAsia="宋体" w:cs="宋体"/>
          <w:i w:val="0"/>
          <w:iCs/>
          <w:vertAlign w:val="baseline"/>
        </w:rPr>
      </w:pPr>
      <w:r>
        <w:rPr>
          <w:rFonts w:hint="eastAsia" w:ascii="宋体" w:hAnsi="宋体" w:eastAsia="宋体" w:cs="宋体"/>
          <w:i w:val="0"/>
          <w:iCs/>
          <w:vertAlign w:val="baseline"/>
        </w:rPr>
        <w:t>[10] 李智超,李奕霖. 横向合作与纵向干预：府际合作如何影响环境治理?——基于三城市群的比较研究[J]. 公共管理与政策评论, 2022, 11 (6): 36-48.</w:t>
      </w:r>
    </w:p>
    <w:p w14:paraId="7B377AD1">
      <w:pPr>
        <w:rPr>
          <w:rFonts w:hint="eastAsia" w:ascii="宋体" w:hAnsi="宋体" w:eastAsia="宋体" w:cs="宋体"/>
          <w:i w:val="0"/>
          <w:iCs/>
          <w:vertAlign w:val="baseline"/>
        </w:rPr>
      </w:pPr>
      <w:r>
        <w:rPr>
          <w:rFonts w:hint="eastAsia" w:ascii="宋体" w:hAnsi="宋体" w:eastAsia="宋体" w:cs="宋体"/>
          <w:i w:val="0"/>
          <w:iCs/>
          <w:vertAlign w:val="baseline"/>
        </w:rPr>
        <w:t>[11] 李洄旭,王贤文,刘兰剑. 府际合作有助于提升区域环境治理绩效吗?——基于结构差异视角的分析[J]. 经济体制改革, 2022, (2): 18-25.</w:t>
      </w:r>
    </w:p>
    <w:p w14:paraId="0DF01578">
      <w:pPr>
        <w:rPr>
          <w:rFonts w:hint="eastAsia" w:ascii="宋体" w:hAnsi="宋体" w:eastAsia="宋体" w:cs="宋体"/>
          <w:i w:val="0"/>
          <w:iCs/>
          <w:vertAlign w:val="baseline"/>
        </w:rPr>
      </w:pPr>
      <w:r>
        <w:rPr>
          <w:rFonts w:hint="eastAsia" w:ascii="宋体" w:hAnsi="宋体" w:eastAsia="宋体" w:cs="宋体"/>
          <w:i w:val="0"/>
          <w:iCs/>
          <w:vertAlign w:val="baseline"/>
        </w:rPr>
        <w:t>[12] 林民望. 环境协作治理行动何以改进环境绩效：分析框架与研究议程[J]. 中国人口·资源与环境, 2022, 32 (5): 96-105.</w:t>
      </w:r>
    </w:p>
    <w:p w14:paraId="1F5FF4BA">
      <w:pPr>
        <w:rPr>
          <w:rFonts w:hint="eastAsia" w:ascii="宋体" w:hAnsi="宋体" w:eastAsia="宋体" w:cs="宋体"/>
          <w:i w:val="0"/>
          <w:iCs/>
          <w:vertAlign w:val="baseline"/>
        </w:rPr>
      </w:pPr>
      <w:r>
        <w:rPr>
          <w:rFonts w:hint="eastAsia" w:ascii="宋体" w:hAnsi="宋体" w:eastAsia="宋体" w:cs="宋体"/>
          <w:i w:val="0"/>
          <w:iCs/>
          <w:vertAlign w:val="baseline"/>
        </w:rPr>
        <w:t>[13] Nelson H T, Rose A, Wei D, et al. Intergovernmental Climate Change Mitigation Policies: Theory and Outcomes[J]. Journal of Public Policy, 2015, 35 (1): 97-136.</w:t>
      </w:r>
    </w:p>
    <w:p w14:paraId="06A77A7F">
      <w:pPr>
        <w:rPr>
          <w:rFonts w:hint="eastAsia" w:ascii="宋体" w:hAnsi="宋体" w:eastAsia="宋体" w:cs="宋体"/>
          <w:i w:val="0"/>
          <w:iCs/>
          <w:vertAlign w:val="baseline"/>
        </w:rPr>
      </w:pPr>
    </w:p>
    <w:p w14:paraId="6157D637">
      <w:pPr>
        <w:rPr>
          <w:rFonts w:hint="eastAsia" w:ascii="宋体" w:hAnsi="宋体" w:eastAsia="宋体" w:cs="宋体"/>
          <w:i w:val="0"/>
          <w:iCs/>
          <w:vertAlign w:val="baseline"/>
        </w:rPr>
      </w:pPr>
    </w:p>
    <w:p w14:paraId="0EBBA046">
      <w:pPr>
        <w:rPr>
          <w:rFonts w:hint="eastAsia" w:ascii="宋体" w:hAnsi="宋体" w:eastAsia="宋体" w:cs="宋体"/>
          <w:i w:val="0"/>
          <w:iCs/>
          <w:vertAlign w:val="baseline"/>
        </w:rPr>
      </w:pPr>
      <w:r>
        <w:rPr>
          <w:rFonts w:hint="eastAsia" w:ascii="宋体" w:hAnsi="宋体" w:eastAsia="宋体" w:cs="宋体"/>
          <w:i w:val="0"/>
          <w:iCs/>
          <w:vertAlign w:val="baseline"/>
        </w:rPr>
        <w:t>不完善等问题，会加大合作困难，弱化合作动力，削弱环境合作治理绩效[1]。</w:t>
      </w:r>
    </w:p>
    <w:p w14:paraId="27AF419F">
      <w:pPr>
        <w:rPr>
          <w:rFonts w:hint="eastAsia" w:ascii="宋体" w:hAnsi="宋体" w:eastAsia="宋体" w:cs="宋体"/>
          <w:i w:val="0"/>
          <w:iCs/>
          <w:vertAlign w:val="baseline"/>
        </w:rPr>
      </w:pPr>
      <w:r>
        <w:rPr>
          <w:rFonts w:hint="eastAsia" w:ascii="宋体" w:hAnsi="宋体" w:eastAsia="宋体" w:cs="宋体"/>
          <w:i w:val="0"/>
          <w:iCs/>
          <w:vertAlign w:val="baseline"/>
        </w:rPr>
        <w:t>除了府际关系会影响治理绩效，政府与企业和公众之间的关系也会对碳排放治理绩效产生影响。在企业方面，企业性质会影响企业的气候治理行为[2,3] 。企业僵尸化程度的加深会显著抑制城市碳排放绩效提升，并阻碍地区低碳转型发展[4]。低碳城市建设主要通过企业减排和工业产业结构调整来降低城市空气污染[5]。在公众方面，公众的政策遵从意愿与行为影响着公共政策执行效果[6]，公众对助推型减碳政策有不同的偏好，</w:t>
      </w:r>
    </w:p>
    <w:p w14:paraId="077823AC">
      <w:pPr>
        <w:rPr>
          <w:rFonts w:hint="eastAsia" w:ascii="宋体" w:hAnsi="宋体" w:eastAsia="宋体" w:cs="宋体"/>
          <w:i w:val="0"/>
          <w:iCs/>
          <w:vertAlign w:val="baseline"/>
        </w:rPr>
      </w:pPr>
      <w:r>
        <w:rPr>
          <w:rFonts w:hint="eastAsia" w:ascii="宋体" w:hAnsi="宋体" w:eastAsia="宋体" w:cs="宋体"/>
          <w:i w:val="0"/>
          <w:iCs/>
          <w:vertAlign w:val="baseline"/>
        </w:rPr>
        <w:t>从而会影响政府的政策制定[7] 。另外，社会经济方面的一些要素也是学者们研究的热点，特别是在管理学与经济学领域，如 Long 等在单因素框架下发现，对于碳生产率而言，</w:t>
      </w:r>
    </w:p>
    <w:p w14:paraId="10FC5479">
      <w:pPr>
        <w:rPr>
          <w:rFonts w:hint="eastAsia" w:ascii="宋体" w:hAnsi="宋体" w:eastAsia="宋体" w:cs="宋体"/>
          <w:i w:val="0"/>
          <w:iCs/>
          <w:vertAlign w:val="baseline"/>
        </w:rPr>
      </w:pPr>
      <w:r>
        <w:rPr>
          <w:rFonts w:hint="eastAsia" w:ascii="宋体" w:hAnsi="宋体" w:eastAsia="宋体" w:cs="宋体"/>
          <w:i w:val="0"/>
          <w:iCs/>
          <w:vertAlign w:val="baseline"/>
        </w:rPr>
        <w:t>开放度、技术进步和产业结构是积极因素，而人均 GDP、能源结构和产业所有制结构是消极因素[8]。此外，进口显著提高了中国的碳生产率[9] ，而人均资本存量对降低碳强度的作用较为重要[10] 。从全要素角度来看，碳排放绩效与经济增长[11] 、 自主研发[12]、能源资源[13] 以及外商直接投资[14]等因素呈正相关。</w:t>
      </w:r>
    </w:p>
    <w:p w14:paraId="462881FB">
      <w:pPr>
        <w:rPr>
          <w:rFonts w:hint="eastAsia" w:ascii="宋体" w:hAnsi="宋体" w:eastAsia="宋体" w:cs="宋体"/>
          <w:i w:val="0"/>
          <w:iCs/>
          <w:vertAlign w:val="baseline"/>
        </w:rPr>
      </w:pPr>
      <w:r>
        <w:rPr>
          <w:rFonts w:hint="eastAsia" w:ascii="宋体" w:hAnsi="宋体" w:eastAsia="宋体" w:cs="宋体"/>
          <w:i w:val="0"/>
          <w:iCs/>
          <w:vertAlign w:val="baseline"/>
        </w:rPr>
        <w:t>第三，工具主义视角。政策科学中工具导向的一个关键主题是理解如何在非正统环境中更好地解决当代政策问题。这需要对政府使用的政策工具的范围和决定其绩效的因素有一个复杂的理解。政策工具是实施适应措施所必需的，实施工具可以采取不同的形式，从金融或其他激励措施或自愿协议等软型政策工具，到带有制裁措施或其他执法机制的监管措施等强制性较高的政策工具[15] 。这一视角主要关注不同政策工具及其组合对碳排放治理绩效的影响，从 20 世纪 50 年代以来，历经六十多年三代政策工具的发展与演变，环境/气候政策工具已经具有了初步独立和完善的体系，并产生了丰富的分类方式，常见环境政策工具分类有“二分法”“三分法”“四分法”等。其中</w:t>
      </w:r>
    </w:p>
    <w:p w14:paraId="7728C29C">
      <w:pPr>
        <w:rPr>
          <w:rFonts w:hint="eastAsia" w:ascii="宋体" w:hAnsi="宋体" w:eastAsia="宋体" w:cs="宋体"/>
          <w:i w:val="0"/>
          <w:iCs/>
          <w:vertAlign w:val="baseline"/>
        </w:rPr>
      </w:pPr>
    </w:p>
    <w:p w14:paraId="6CF0A11F">
      <w:pPr>
        <w:rPr>
          <w:rFonts w:hint="eastAsia" w:ascii="宋体" w:hAnsi="宋体" w:eastAsia="宋体" w:cs="宋体"/>
          <w:i w:val="0"/>
          <w:iCs/>
          <w:vertAlign w:val="baseline"/>
        </w:rPr>
      </w:pPr>
      <w:r>
        <w:rPr>
          <w:rFonts w:hint="eastAsia" w:ascii="宋体" w:hAnsi="宋体" w:eastAsia="宋体" w:cs="宋体"/>
          <w:i w:val="0"/>
          <w:iCs/>
          <w:vertAlign w:val="baseline"/>
        </w:rPr>
        <w:t>[1]   周伟. 合作型环境治理:跨域生态环境治理中的地方政府合作[J]. 青海社会科学, 2020, (2): 76-83.</w:t>
      </w:r>
    </w:p>
    <w:p w14:paraId="1BD8AEEB">
      <w:pPr>
        <w:rPr>
          <w:rFonts w:hint="eastAsia" w:ascii="宋体" w:hAnsi="宋体" w:eastAsia="宋体" w:cs="宋体"/>
          <w:i w:val="0"/>
          <w:iCs/>
          <w:vertAlign w:val="baseline"/>
        </w:rPr>
      </w:pPr>
      <w:r>
        <w:rPr>
          <w:rFonts w:hint="eastAsia" w:ascii="宋体" w:hAnsi="宋体" w:eastAsia="宋体" w:cs="宋体"/>
          <w:i w:val="0"/>
          <w:iCs/>
          <w:vertAlign w:val="baseline"/>
        </w:rPr>
        <w:t>[2]   Miroshnychenko I, De Massis A. Sustainability Practices of Family and Nonfamily Firms: A Worldwide Study[J]. Technological Forecasting and Social Change, 2022, 174: 121079.</w:t>
      </w:r>
    </w:p>
    <w:p w14:paraId="04C7042A">
      <w:pPr>
        <w:rPr>
          <w:rFonts w:hint="eastAsia" w:ascii="宋体" w:hAnsi="宋体" w:eastAsia="宋体" w:cs="宋体"/>
          <w:i w:val="0"/>
          <w:iCs/>
          <w:vertAlign w:val="baseline"/>
        </w:rPr>
      </w:pPr>
      <w:r>
        <w:rPr>
          <w:rFonts w:hint="eastAsia" w:ascii="宋体" w:hAnsi="宋体" w:eastAsia="宋体" w:cs="宋体"/>
          <w:i w:val="0"/>
          <w:iCs/>
          <w:vertAlign w:val="baseline"/>
        </w:rPr>
        <w:t>[3]   ClaußT, Kraus S, Jones P. Sustainability in Family Business: Mechanisms, Technologies and Business Models for Achieving Economic Prosperity, Environmental Quality and Social Equity[J]. Technological Forecasting and Social Change, 2022, 176: 121450.</w:t>
      </w:r>
    </w:p>
    <w:p w14:paraId="62AC9100">
      <w:pPr>
        <w:rPr>
          <w:rFonts w:hint="eastAsia" w:ascii="宋体" w:hAnsi="宋体" w:eastAsia="宋体" w:cs="宋体"/>
          <w:i w:val="0"/>
          <w:iCs/>
          <w:vertAlign w:val="baseline"/>
        </w:rPr>
      </w:pPr>
      <w:r>
        <w:rPr>
          <w:rFonts w:hint="eastAsia" w:ascii="宋体" w:hAnsi="宋体" w:eastAsia="宋体" w:cs="宋体"/>
          <w:i w:val="0"/>
          <w:iCs/>
          <w:vertAlign w:val="baseline"/>
        </w:rPr>
        <w:t>[4]   邵帅,尹俊雅,范美婷,等. 僵尸企业与低碳转型发展：基于碳排放绩效的视角[J]. 数量经济技术经济研究, 2022, 39 (10): 89-108.</w:t>
      </w:r>
    </w:p>
    <w:p w14:paraId="3BAF75F0">
      <w:pPr>
        <w:rPr>
          <w:rFonts w:hint="eastAsia" w:ascii="宋体" w:hAnsi="宋体" w:eastAsia="宋体" w:cs="宋体"/>
          <w:i w:val="0"/>
          <w:iCs/>
          <w:vertAlign w:val="baseline"/>
        </w:rPr>
      </w:pPr>
      <w:r>
        <w:rPr>
          <w:rFonts w:hint="eastAsia" w:ascii="宋体" w:hAnsi="宋体" w:eastAsia="宋体" w:cs="宋体"/>
          <w:i w:val="0"/>
          <w:iCs/>
          <w:vertAlign w:val="baseline"/>
        </w:rPr>
        <w:t>[5]   宋弘,孙雅洁,陈登科. 政府空气污染治理效应评估——来自中国“低碳城市”建设的经验研究[J]. 管理世界, 2019, 35 (6): 95-108.</w:t>
      </w:r>
    </w:p>
    <w:p w14:paraId="6B96A790">
      <w:pPr>
        <w:rPr>
          <w:rFonts w:hint="eastAsia" w:ascii="宋体" w:hAnsi="宋体" w:eastAsia="宋体" w:cs="宋体"/>
          <w:i w:val="0"/>
          <w:iCs/>
          <w:vertAlign w:val="baseline"/>
        </w:rPr>
      </w:pPr>
      <w:r>
        <w:rPr>
          <w:rFonts w:hint="eastAsia" w:ascii="宋体" w:hAnsi="宋体" w:eastAsia="宋体" w:cs="宋体"/>
          <w:i w:val="0"/>
          <w:iCs/>
          <w:vertAlign w:val="baseline"/>
        </w:rPr>
        <w:t>[6]   刘志鹏,康静,果佳. 社会组织:民众政策遵从的催化剂——以宁夏云雾山自然保护区为例[J]. 公共管理学报, 2022, 19 (2): 106-116.</w:t>
      </w:r>
    </w:p>
    <w:p w14:paraId="71C96B4F">
      <w:pPr>
        <w:rPr>
          <w:rFonts w:hint="eastAsia" w:ascii="宋体" w:hAnsi="宋体" w:eastAsia="宋体" w:cs="宋体"/>
          <w:i w:val="0"/>
          <w:iCs/>
          <w:vertAlign w:val="baseline"/>
        </w:rPr>
      </w:pPr>
      <w:r>
        <w:rPr>
          <w:rFonts w:hint="eastAsia" w:ascii="宋体" w:hAnsi="宋体" w:eastAsia="宋体" w:cs="宋体"/>
          <w:i w:val="0"/>
          <w:iCs/>
          <w:vertAlign w:val="baseline"/>
        </w:rPr>
        <w:t>[7]   胡赛全,刘展余,雷玉琼,等. 公众对助推型减碳政策的偏好研究：基于联合实验与机器学习方法[J]. 公共行政评论, 2022, 15 (3): 40-61.</w:t>
      </w:r>
    </w:p>
    <w:p w14:paraId="7D425AF1">
      <w:pPr>
        <w:rPr>
          <w:rFonts w:hint="eastAsia" w:ascii="宋体" w:hAnsi="宋体" w:eastAsia="宋体" w:cs="宋体"/>
          <w:i w:val="0"/>
          <w:iCs/>
          <w:vertAlign w:val="baseline"/>
        </w:rPr>
      </w:pPr>
      <w:r>
        <w:rPr>
          <w:rFonts w:hint="eastAsia" w:ascii="宋体" w:hAnsi="宋体" w:eastAsia="宋体" w:cs="宋体"/>
          <w:i w:val="0"/>
          <w:iCs/>
          <w:vertAlign w:val="baseline"/>
        </w:rPr>
        <w:t>[8]   Long R, Shao T, Chen H. Spatial Econometric Analysis of China’s Province-Level Industrial Carbon Productivity and its Influencing Factors[J]. Applied Energy, 2016, 166: 210-219.</w:t>
      </w:r>
    </w:p>
    <w:p w14:paraId="2AD0271B">
      <w:pPr>
        <w:rPr>
          <w:rFonts w:hint="eastAsia" w:ascii="宋体" w:hAnsi="宋体" w:eastAsia="宋体" w:cs="宋体"/>
          <w:i w:val="0"/>
          <w:iCs/>
          <w:vertAlign w:val="baseline"/>
        </w:rPr>
      </w:pPr>
      <w:r>
        <w:rPr>
          <w:rFonts w:hint="eastAsia" w:ascii="宋体" w:hAnsi="宋体" w:eastAsia="宋体" w:cs="宋体"/>
          <w:i w:val="0"/>
          <w:iCs/>
          <w:vertAlign w:val="baseline"/>
        </w:rPr>
        <w:t>[9]   Zhang L, Xiong L, Cheng B, et al. How does Foreign Trade Influence China's Carbon Productivity? Based on Panel Spatial Lag Model Analysis.[J]. Structural Change and Economic Dynamics, 2018, 47: 171-179.</w:t>
      </w:r>
    </w:p>
    <w:p w14:paraId="5588F0B8">
      <w:pPr>
        <w:rPr>
          <w:rFonts w:hint="eastAsia" w:ascii="宋体" w:hAnsi="宋体" w:eastAsia="宋体" w:cs="宋体"/>
          <w:i w:val="0"/>
          <w:iCs/>
          <w:vertAlign w:val="baseline"/>
        </w:rPr>
      </w:pPr>
      <w:r>
        <w:rPr>
          <w:rFonts w:hint="eastAsia" w:ascii="宋体" w:hAnsi="宋体" w:eastAsia="宋体" w:cs="宋体"/>
          <w:i w:val="0"/>
          <w:iCs/>
          <w:vertAlign w:val="baseline"/>
        </w:rPr>
        <w:t>[10] Huang J. Investigating the Driving Forces of China's Carbon Intensity based on a Dynamic Spatial Model[J]. Environmental Science and Pollution Research, 2018, 25 (22): 21833-21843.</w:t>
      </w:r>
    </w:p>
    <w:p w14:paraId="761579EE">
      <w:pPr>
        <w:rPr>
          <w:rFonts w:hint="eastAsia" w:ascii="宋体" w:hAnsi="宋体" w:eastAsia="宋体" w:cs="宋体"/>
          <w:i w:val="0"/>
          <w:iCs/>
          <w:vertAlign w:val="baseline"/>
        </w:rPr>
      </w:pPr>
      <w:r>
        <w:rPr>
          <w:rFonts w:hint="eastAsia" w:ascii="宋体" w:hAnsi="宋体" w:eastAsia="宋体" w:cs="宋体"/>
          <w:i w:val="0"/>
          <w:iCs/>
          <w:vertAlign w:val="baseline"/>
        </w:rPr>
        <w:t>[11] 王惠,王树乔. 中国工业 CO2 排放绩效的动态演化与空间外溢效应[J]. 中国人口·资源与环境, 2015, 25 (9): 29-36.</w:t>
      </w:r>
    </w:p>
    <w:p w14:paraId="5E099F9C">
      <w:pPr>
        <w:rPr>
          <w:rFonts w:hint="eastAsia" w:ascii="宋体" w:hAnsi="宋体" w:eastAsia="宋体" w:cs="宋体"/>
          <w:i w:val="0"/>
          <w:iCs/>
          <w:vertAlign w:val="baseline"/>
        </w:rPr>
      </w:pPr>
      <w:r>
        <w:rPr>
          <w:rFonts w:hint="eastAsia" w:ascii="宋体" w:hAnsi="宋体" w:eastAsia="宋体" w:cs="宋体"/>
          <w:i w:val="0"/>
          <w:iCs/>
          <w:vertAlign w:val="baseline"/>
        </w:rPr>
        <w:t>[12] 周杰琦,韩颖,张莹. 自主研发、产业结构变迁与中国碳排放绩效[J]. 科技进步与对策, 2016, 33 (4): 61-69.</w:t>
      </w:r>
    </w:p>
    <w:p w14:paraId="2E5451C7">
      <w:pPr>
        <w:rPr>
          <w:rFonts w:hint="eastAsia" w:ascii="宋体" w:hAnsi="宋体" w:eastAsia="宋体" w:cs="宋体"/>
          <w:i w:val="0"/>
          <w:iCs/>
          <w:vertAlign w:val="baseline"/>
        </w:rPr>
      </w:pPr>
      <w:r>
        <w:rPr>
          <w:rFonts w:hint="eastAsia" w:ascii="宋体" w:hAnsi="宋体" w:eastAsia="宋体" w:cs="宋体"/>
          <w:i w:val="0"/>
          <w:iCs/>
          <w:vertAlign w:val="baseline"/>
        </w:rPr>
        <w:t>[13] Wang G, Deng X, Wang J, et al. Carbon Emission Efficiency in China: A Spatial Panel Data Analysis[J]. China Economic Review, 2019, 56: 101313.</w:t>
      </w:r>
    </w:p>
    <w:p w14:paraId="1B60B151">
      <w:pPr>
        <w:rPr>
          <w:rFonts w:hint="eastAsia" w:ascii="宋体" w:hAnsi="宋体" w:eastAsia="宋体" w:cs="宋体"/>
          <w:i w:val="0"/>
          <w:iCs/>
          <w:vertAlign w:val="baseline"/>
        </w:rPr>
      </w:pPr>
      <w:r>
        <w:rPr>
          <w:rFonts w:hint="eastAsia" w:ascii="宋体" w:hAnsi="宋体" w:eastAsia="宋体" w:cs="宋体"/>
          <w:i w:val="0"/>
          <w:iCs/>
          <w:vertAlign w:val="baseline"/>
        </w:rPr>
        <w:t>[14] Song W, Mao H, Han X. The Two-Sided Effects of Foreign Direct Investment on Carbon Emissions Performance in China[J]. The Science of The Total Environment, 2021, 791: 148331.</w:t>
      </w:r>
    </w:p>
    <w:p w14:paraId="14C27FE1">
      <w:pPr>
        <w:rPr>
          <w:rFonts w:hint="eastAsia" w:ascii="宋体" w:hAnsi="宋体" w:eastAsia="宋体" w:cs="宋体"/>
          <w:i w:val="0"/>
          <w:iCs/>
          <w:vertAlign w:val="baseline"/>
        </w:rPr>
      </w:pPr>
      <w:r>
        <w:rPr>
          <w:rFonts w:hint="eastAsia" w:ascii="宋体" w:hAnsi="宋体" w:eastAsia="宋体" w:cs="宋体"/>
          <w:i w:val="0"/>
          <w:iCs/>
          <w:vertAlign w:val="baseline"/>
        </w:rPr>
        <w:t>[15] Biesbroek G R, Swart R J, Carter T R, et al. Europe Adapts to Climate Change: Comparing National Adaptation Strategies[J]. Global Environmental Change, 2010, 20 (3): 440-450.</w:t>
      </w:r>
    </w:p>
    <w:p w14:paraId="4A598E0C">
      <w:pPr>
        <w:rPr>
          <w:rFonts w:hint="eastAsia" w:ascii="宋体" w:hAnsi="宋体" w:eastAsia="宋体" w:cs="宋体"/>
          <w:i w:val="0"/>
          <w:iCs/>
          <w:vertAlign w:val="baseline"/>
        </w:rPr>
      </w:pPr>
    </w:p>
    <w:p w14:paraId="0666875A">
      <w:pPr>
        <w:rPr>
          <w:rFonts w:hint="eastAsia" w:ascii="宋体" w:hAnsi="宋体" w:eastAsia="宋体" w:cs="宋体"/>
          <w:i w:val="0"/>
          <w:iCs/>
          <w:vertAlign w:val="baseline"/>
        </w:rPr>
      </w:pPr>
    </w:p>
    <w:p w14:paraId="63B82DB5">
      <w:pPr>
        <w:rPr>
          <w:rFonts w:hint="eastAsia" w:ascii="宋体" w:hAnsi="宋体" w:eastAsia="宋体" w:cs="宋体"/>
          <w:i w:val="0"/>
          <w:iCs/>
          <w:vertAlign w:val="baseline"/>
        </w:rPr>
      </w:pPr>
      <w:r>
        <w:rPr>
          <w:rFonts w:hint="eastAsia" w:ascii="宋体" w:hAnsi="宋体" w:eastAsia="宋体" w:cs="宋体"/>
          <w:i w:val="0"/>
          <w:iCs/>
          <w:vertAlign w:val="baseline"/>
        </w:rPr>
        <w:t>世界银行将政策工具分为四类：利用市场、创造市场、环境规制和公众参与[1]。列出的各种政策工具适用于自然资源管理（水、渔业、土地、森林、农业、生物多样性和矿产）或污染控制（空气、水、固体废物和危险废物）领域。政府间气候变化专门委员会（IPCC）第四次评估报告中提出七种不同类型的温室气体减排政策类型：法规和标准、税收和收费、可交易许可证、补贴和激励措施、通过排放交易系统或碳税、自愿协议以及研发（R&amp;D）、信息工具[2] 。Lachapelle 和 Paterson 提出其中五种重要的政策类型是：法规和标准、碳定价、其他市场机制、自愿协议以及研发，其中信息工具难以反映单个国家对减缓的承诺，也难以揭示各州之间气候政策绩效的差异[3]。</w:t>
      </w:r>
    </w:p>
    <w:p w14:paraId="0EF46A13">
      <w:pPr>
        <w:rPr>
          <w:rFonts w:hint="eastAsia" w:ascii="宋体" w:hAnsi="宋体" w:eastAsia="宋体" w:cs="宋体"/>
          <w:i w:val="0"/>
          <w:iCs/>
          <w:vertAlign w:val="baseline"/>
        </w:rPr>
      </w:pPr>
      <w:r>
        <w:rPr>
          <w:rFonts w:hint="eastAsia" w:ascii="宋体" w:hAnsi="宋体" w:eastAsia="宋体" w:cs="宋体"/>
          <w:i w:val="0"/>
          <w:iCs/>
          <w:vertAlign w:val="baseline"/>
        </w:rPr>
        <w:t>而在中国环境研究中，学者们常将环境政策工具分为命令控制型、市场激励型（市场经济型）和自愿型（公众参与型）政策工具，虽然后两种政策工具在说法上未形成统一，但在工具分类上学者们的观点较为相近。命令控制型政策工具是具有国家强制力的环境法律法规、行业污染排放标准与技术标准等，以及政府部门治理环境污染的支出；市场激励型政策工具则以发挥市场力量来引导企业降低环境污染，如排污费、可交易排污许可证等； 自愿型政策工具包括环境信息公开与宣传教育、公众参与、自愿协议等[4] 。气候政策与环境政策关联性与相似性较大，在工具分类上也较为类似。</w:t>
      </w:r>
    </w:p>
    <w:p w14:paraId="0926884C">
      <w:pPr>
        <w:rPr>
          <w:rFonts w:hint="eastAsia" w:ascii="宋体" w:hAnsi="宋体" w:eastAsia="宋体" w:cs="宋体"/>
          <w:i w:val="0"/>
          <w:iCs/>
          <w:vertAlign w:val="baseline"/>
        </w:rPr>
      </w:pPr>
      <w:r>
        <w:rPr>
          <w:rFonts w:hint="eastAsia" w:ascii="宋体" w:hAnsi="宋体" w:eastAsia="宋体" w:cs="宋体"/>
          <w:i w:val="0"/>
          <w:iCs/>
          <w:vertAlign w:val="baseline"/>
        </w:rPr>
        <w:t>本节将主要回顾单一政策工具对碳排放治理绩效的影响，关于政策工具组合对碳排放治理绩效的影响将在第 2.2.3 小节中进行系统回顾。由于市场机制在经济效率和环境效益方面优于其他应对措施，市场机制已成为国家、地区和全球气候政策纽带的关键要素，特别是排放交易计划，在气候治理的理论和实践中已经取得了无与伦比的地位[5] 。碳排放交易的概念是由美国经济学家戴尔斯（Dales）于 1968  年提出的[6]。碳排放权交易是指建立合法的污染物排放权，以排污许可证的形式表现出来，使环境资源像商品一样买卖[7] 。中国则是在 2011 年开始实施第一批碳排放交易试点，碳排放交易制度一度被认为是解决碳排放配额分配效率低下问题的有效工具[8,9] 。中国目前的碳市</w:t>
      </w:r>
    </w:p>
    <w:p w14:paraId="6078E878">
      <w:pPr>
        <w:rPr>
          <w:rFonts w:hint="eastAsia" w:ascii="宋体" w:hAnsi="宋体" w:eastAsia="宋体" w:cs="宋体"/>
          <w:i w:val="0"/>
          <w:iCs/>
          <w:vertAlign w:val="baseline"/>
        </w:rPr>
      </w:pPr>
    </w:p>
    <w:p w14:paraId="087BF6B4">
      <w:pPr>
        <w:rPr>
          <w:rFonts w:hint="eastAsia" w:ascii="宋体" w:hAnsi="宋体" w:eastAsia="宋体" w:cs="宋体"/>
          <w:i w:val="0"/>
          <w:iCs/>
          <w:vertAlign w:val="baseline"/>
        </w:rPr>
      </w:pPr>
    </w:p>
    <w:p w14:paraId="1535FA48">
      <w:pPr>
        <w:rPr>
          <w:rFonts w:hint="eastAsia" w:ascii="宋体" w:hAnsi="宋体" w:eastAsia="宋体" w:cs="宋体"/>
          <w:i w:val="0"/>
          <w:iCs/>
          <w:vertAlign w:val="baseline"/>
        </w:rPr>
      </w:pPr>
      <w:r>
        <w:rPr>
          <w:rFonts w:hint="eastAsia" w:ascii="宋体" w:hAnsi="宋体" w:eastAsia="宋体" w:cs="宋体"/>
          <w:i w:val="0"/>
          <w:iCs/>
          <w:vertAlign w:val="baseline"/>
        </w:rPr>
        <w:t>[1]   Banco M. Five Years After Rio: Innovations in Environmental Policy[R]. Washington, DC: World Bank, 1997.</w:t>
      </w:r>
    </w:p>
    <w:p w14:paraId="498B8F2F">
      <w:pPr>
        <w:rPr>
          <w:rFonts w:hint="eastAsia" w:ascii="宋体" w:hAnsi="宋体" w:eastAsia="宋体" w:cs="宋体"/>
          <w:i w:val="0"/>
          <w:iCs/>
          <w:vertAlign w:val="baseline"/>
        </w:rPr>
      </w:pPr>
      <w:r>
        <w:rPr>
          <w:rFonts w:hint="eastAsia" w:ascii="宋体" w:hAnsi="宋体" w:eastAsia="宋体" w:cs="宋体"/>
          <w:i w:val="0"/>
          <w:iCs/>
          <w:vertAlign w:val="baseline"/>
        </w:rPr>
        <w:t>[2]   Gupta S, Tirpak D, Boncheva A I, et al. Policies, Instruments and Cooperative Arrangements. In Metz B, Davidson O R, Bosch P R, et al. Climate Change 2007: Mitigation of Climate Change [M]. Cambridge: Cambridge University Press, 2007: 747-807.</w:t>
      </w:r>
    </w:p>
    <w:p w14:paraId="7BB52BF2">
      <w:pPr>
        <w:rPr>
          <w:rFonts w:hint="eastAsia" w:ascii="宋体" w:hAnsi="宋体" w:eastAsia="宋体" w:cs="宋体"/>
          <w:i w:val="0"/>
          <w:iCs/>
          <w:vertAlign w:val="baseline"/>
        </w:rPr>
      </w:pPr>
      <w:r>
        <w:rPr>
          <w:rFonts w:hint="eastAsia" w:ascii="宋体" w:hAnsi="宋体" w:eastAsia="宋体" w:cs="宋体"/>
          <w:i w:val="0"/>
          <w:iCs/>
          <w:vertAlign w:val="baseline"/>
        </w:rPr>
        <w:t>[3]   Lachapelle E, Paterson M. Drivers of National Climate Policy[J]. Climate Policy, 2013, 13 (5): 547-571.</w:t>
      </w:r>
    </w:p>
    <w:p w14:paraId="07662D4E">
      <w:pPr>
        <w:rPr>
          <w:rFonts w:hint="eastAsia" w:ascii="宋体" w:hAnsi="宋体" w:eastAsia="宋体" w:cs="宋体"/>
          <w:i w:val="0"/>
          <w:iCs/>
          <w:vertAlign w:val="baseline"/>
        </w:rPr>
      </w:pPr>
      <w:r>
        <w:rPr>
          <w:rFonts w:hint="eastAsia" w:ascii="宋体" w:hAnsi="宋体" w:eastAsia="宋体" w:cs="宋体"/>
          <w:i w:val="0"/>
          <w:iCs/>
          <w:vertAlign w:val="baseline"/>
        </w:rPr>
        <w:t>[4]   余伟,陈强, 陈华.  不同环境政策工具对技术创新的影响分析——基于 2004-2011  年我国省级面板数据的实证研究[J]. 管理评论, 2016, 28 (1): 53-61.</w:t>
      </w:r>
    </w:p>
    <w:p w14:paraId="0D6FBBEE">
      <w:pPr>
        <w:rPr>
          <w:rFonts w:hint="eastAsia" w:ascii="宋体" w:hAnsi="宋体" w:eastAsia="宋体" w:cs="宋体"/>
          <w:i w:val="0"/>
          <w:iCs/>
          <w:vertAlign w:val="baseline"/>
        </w:rPr>
      </w:pPr>
      <w:r>
        <w:rPr>
          <w:rFonts w:hint="eastAsia" w:ascii="宋体" w:hAnsi="宋体" w:eastAsia="宋体" w:cs="宋体"/>
          <w:i w:val="0"/>
          <w:iCs/>
          <w:vertAlign w:val="baseline"/>
        </w:rPr>
        <w:t>[5]   Page E A. The Hidden Costs of Carbon Commodification: Emissions Trading, Political Legitimacy and Procedural Justice[J]. Democratization, 2012, 19 (5): 932-950.</w:t>
      </w:r>
    </w:p>
    <w:p w14:paraId="0AC2474C">
      <w:pPr>
        <w:rPr>
          <w:rFonts w:hint="eastAsia" w:ascii="宋体" w:hAnsi="宋体" w:eastAsia="宋体" w:cs="宋体"/>
          <w:i w:val="0"/>
          <w:iCs/>
          <w:vertAlign w:val="baseline"/>
        </w:rPr>
      </w:pPr>
      <w:r>
        <w:rPr>
          <w:rFonts w:hint="eastAsia" w:ascii="宋体" w:hAnsi="宋体" w:eastAsia="宋体" w:cs="宋体"/>
          <w:i w:val="0"/>
          <w:iCs/>
          <w:vertAlign w:val="baseline"/>
        </w:rPr>
        <w:t>[6]   Dale J H. Pollution, Property, and Prices: An Essay in Policy-Making and Economics[D]. Toronto: University of Toronto Press, 1968.</w:t>
      </w:r>
    </w:p>
    <w:p w14:paraId="04839B07">
      <w:pPr>
        <w:rPr>
          <w:rFonts w:hint="eastAsia" w:ascii="宋体" w:hAnsi="宋体" w:eastAsia="宋体" w:cs="宋体"/>
          <w:i w:val="0"/>
          <w:iCs/>
          <w:vertAlign w:val="baseline"/>
        </w:rPr>
      </w:pPr>
      <w:r>
        <w:rPr>
          <w:rFonts w:hint="eastAsia" w:ascii="宋体" w:hAnsi="宋体" w:eastAsia="宋体" w:cs="宋体"/>
          <w:i w:val="0"/>
          <w:iCs/>
          <w:vertAlign w:val="baseline"/>
        </w:rPr>
        <w:t>[7]   Xuan D, Ma X, Shang Y. Can China's Policy of Carbon Emission Trading Promote Carbon Emission Reduction?[J]. Journal of Cleaner Production, 2020, 270: 122383.</w:t>
      </w:r>
    </w:p>
    <w:p w14:paraId="0C482A15">
      <w:pPr>
        <w:rPr>
          <w:rFonts w:hint="eastAsia" w:ascii="宋体" w:hAnsi="宋体" w:eastAsia="宋体" w:cs="宋体"/>
          <w:i w:val="0"/>
          <w:iCs/>
          <w:vertAlign w:val="baseline"/>
        </w:rPr>
      </w:pPr>
      <w:r>
        <w:rPr>
          <w:rFonts w:hint="eastAsia" w:ascii="宋体" w:hAnsi="宋体" w:eastAsia="宋体" w:cs="宋体"/>
          <w:i w:val="0"/>
          <w:iCs/>
          <w:vertAlign w:val="baseline"/>
        </w:rPr>
        <w:t>[8]   王文举,陈真玲. 中国省级区域初始碳配额分配方案研究——基于责任与目标、公平与效率的视角[J]. 管理世界, 2019, 35 (3): 81-98.</w:t>
      </w:r>
    </w:p>
    <w:p w14:paraId="63773F2F">
      <w:pPr>
        <w:rPr>
          <w:rFonts w:hint="eastAsia" w:ascii="宋体" w:hAnsi="宋体" w:eastAsia="宋体" w:cs="宋体"/>
          <w:i w:val="0"/>
          <w:iCs/>
          <w:vertAlign w:val="baseline"/>
        </w:rPr>
      </w:pPr>
      <w:r>
        <w:rPr>
          <w:rFonts w:hint="eastAsia" w:ascii="宋体" w:hAnsi="宋体" w:eastAsia="宋体" w:cs="宋体"/>
          <w:i w:val="0"/>
          <w:iCs/>
          <w:vertAlign w:val="baseline"/>
        </w:rPr>
        <w:t>[9]   Zhang Y, Li S, Luo T, et al. The Effect of Emission Trading Policy on Carbon Emission Reduction: Evidence from an Integrated  Study of Pilot Regions in China[J]. Journal of Cleaner Production, 2020, 265: 121843.</w:t>
      </w:r>
    </w:p>
    <w:p w14:paraId="24D75247">
      <w:pPr>
        <w:rPr>
          <w:rFonts w:hint="eastAsia" w:ascii="宋体" w:hAnsi="宋体" w:eastAsia="宋体" w:cs="宋体"/>
          <w:i w:val="0"/>
          <w:iCs/>
          <w:vertAlign w:val="baseline"/>
        </w:rPr>
      </w:pPr>
    </w:p>
    <w:p w14:paraId="5EDCBB94">
      <w:pPr>
        <w:rPr>
          <w:rFonts w:hint="eastAsia" w:ascii="宋体" w:hAnsi="宋体" w:eastAsia="宋体" w:cs="宋体"/>
          <w:i w:val="0"/>
          <w:iCs/>
          <w:vertAlign w:val="baseline"/>
        </w:rPr>
      </w:pPr>
    </w:p>
    <w:p w14:paraId="209556C8">
      <w:pPr>
        <w:rPr>
          <w:rFonts w:hint="eastAsia" w:ascii="宋体" w:hAnsi="宋体" w:eastAsia="宋体" w:cs="宋体"/>
          <w:i w:val="0"/>
          <w:iCs/>
          <w:vertAlign w:val="baseline"/>
        </w:rPr>
      </w:pPr>
      <w:r>
        <w:rPr>
          <w:rFonts w:hint="eastAsia" w:ascii="宋体" w:hAnsi="宋体" w:eastAsia="宋体" w:cs="宋体"/>
          <w:i w:val="0"/>
          <w:iCs/>
          <w:vertAlign w:val="baseline"/>
        </w:rPr>
        <w:t>场是基于强度的碳市场而非基于排放量的碳市场，兼具碳税和补贴两种政策激励效果[1]。通过碳市场可以让更多的非国家行为者参与到气候治理之中，这种转变意味着政治规则的转变，用更间接的计算制度取代了政府的正式和分级技术[2] 。针对碳市场的定量研究中，有一些集中在研究碳交易市场机制是如何影响碳排放量、碳排放绩效和碳排放强度的，所得结果却不尽相同。持积极观点的学者认为中国碳交易市场机制有利于提升碳绩效水平[3] 、绿色发展效率[4]、降低碳排放量[5]和碳排放强度[6] 。而持谨慎观点的学者认为碳市场建立与试点地区的碳排放量之间关联不大[7]，以及由于配额宽松，碳交易市场机制对减排的影响有限[8] 。Laing 等认为排放交易体系上限结构缺乏灵活性，难以适应金融危机面前不断变化的经济状况， 削弱了其提供减排激励的有效性[9]。</w:t>
      </w:r>
    </w:p>
    <w:p w14:paraId="3D4D9188">
      <w:pPr>
        <w:rPr>
          <w:rFonts w:hint="eastAsia" w:ascii="宋体" w:hAnsi="宋体" w:eastAsia="宋体" w:cs="宋体"/>
          <w:i w:val="0"/>
          <w:iCs/>
          <w:vertAlign w:val="baseline"/>
        </w:rPr>
      </w:pPr>
      <w:r>
        <w:rPr>
          <w:rFonts w:hint="eastAsia" w:ascii="宋体" w:hAnsi="宋体" w:eastAsia="宋体" w:cs="宋体"/>
          <w:i w:val="0"/>
          <w:iCs/>
          <w:vertAlign w:val="baseline"/>
        </w:rPr>
        <w:t>Gulbrandsen 和 Stenqvist 研究发现碳排放交易体系并未引发企业层面对创新、低碳解决方案的探索[10] 。此外，也有较为中性的观点认为碳市场能在一定程度上提升碳绩效水平[11] 。在对作用机制的检验上，有研究认为排放交易机制是通过鼓励企业加强清洁生产而不是通过最终治理来实现降低污染排放[12]，而有研究发现碳市场主要通过能源结构、技术创新及产业结构三条路径来推动碳绩效水平提升[3]。</w:t>
      </w:r>
    </w:p>
    <w:p w14:paraId="79FAA178">
      <w:pPr>
        <w:rPr>
          <w:rFonts w:hint="eastAsia" w:ascii="宋体" w:hAnsi="宋体" w:eastAsia="宋体" w:cs="宋体"/>
          <w:i w:val="0"/>
          <w:iCs/>
          <w:vertAlign w:val="baseline"/>
        </w:rPr>
      </w:pPr>
      <w:r>
        <w:rPr>
          <w:rFonts w:hint="eastAsia" w:ascii="宋体" w:hAnsi="宋体" w:eastAsia="宋体" w:cs="宋体"/>
          <w:i w:val="0"/>
          <w:iCs/>
          <w:vertAlign w:val="baseline"/>
        </w:rPr>
        <w:t>同样地，对于自愿型政策工具对碳排放治理绩效的作用，学者们的研究结果大相径庭。回顾相关文献可以发现， 自愿型政策工具的预期结果是难以预料的，有研究针对自愿型低碳项目的实施绩效进行评估，结果发现并非所有的自愿型项目在任何情况下都会产生预期的结果[13] ，一些研究指出自愿项目可以将参与者的行为改变到期望水平[14,15]，而另一些研究则指出相反的绩效结果[16] 。从自愿型项目规划文献回顾来看，</w:t>
      </w:r>
    </w:p>
    <w:p w14:paraId="04AB5668">
      <w:pPr>
        <w:rPr>
          <w:rFonts w:hint="eastAsia" w:ascii="宋体" w:hAnsi="宋体" w:eastAsia="宋体" w:cs="宋体"/>
          <w:i w:val="0"/>
          <w:iCs/>
          <w:vertAlign w:val="baseline"/>
        </w:rPr>
      </w:pPr>
    </w:p>
    <w:p w14:paraId="1F29DF8B">
      <w:pPr>
        <w:rPr>
          <w:rFonts w:hint="eastAsia" w:ascii="宋体" w:hAnsi="宋体" w:eastAsia="宋体" w:cs="宋体"/>
          <w:i w:val="0"/>
          <w:iCs/>
          <w:vertAlign w:val="baseline"/>
        </w:rPr>
      </w:pPr>
      <w:r>
        <w:rPr>
          <w:rFonts w:hint="eastAsia" w:ascii="宋体" w:hAnsi="宋体" w:eastAsia="宋体" w:cs="宋体"/>
          <w:i w:val="0"/>
          <w:iCs/>
          <w:vertAlign w:val="baseline"/>
        </w:rPr>
        <w:t>[1]   张希良,张达,余润心. 中国特色全国碳市场设计理论与实践[J]. 管理世界, 2021, 37 (8): 80-95.</w:t>
      </w:r>
    </w:p>
    <w:p w14:paraId="074BF681">
      <w:pPr>
        <w:rPr>
          <w:rFonts w:hint="eastAsia" w:ascii="宋体" w:hAnsi="宋体" w:eastAsia="宋体" w:cs="宋体"/>
          <w:i w:val="0"/>
          <w:iCs/>
          <w:vertAlign w:val="baseline"/>
        </w:rPr>
      </w:pPr>
      <w:r>
        <w:rPr>
          <w:rFonts w:hint="eastAsia" w:ascii="宋体" w:hAnsi="宋体" w:eastAsia="宋体" w:cs="宋体"/>
          <w:i w:val="0"/>
          <w:iCs/>
          <w:vertAlign w:val="baseline"/>
        </w:rPr>
        <w:t>[2]   Lövbrand  E,  Stripple  J.  Disrupting  the  Public-Private  Distinction:  Excavating  the  Government  of  Carbon  Markets  Post-Copenhagen[J]. Environment and Planning C: Government and Policy, 2012, 30 (4): 658-674.</w:t>
      </w:r>
    </w:p>
    <w:p w14:paraId="56CEAD7D">
      <w:pPr>
        <w:rPr>
          <w:rFonts w:hint="eastAsia" w:ascii="宋体" w:hAnsi="宋体" w:eastAsia="宋体" w:cs="宋体"/>
          <w:i w:val="0"/>
          <w:iCs/>
          <w:vertAlign w:val="baseline"/>
        </w:rPr>
      </w:pPr>
      <w:r>
        <w:rPr>
          <w:rFonts w:hint="eastAsia" w:ascii="宋体" w:hAnsi="宋体" w:eastAsia="宋体" w:cs="宋体"/>
          <w:i w:val="0"/>
          <w:iCs/>
          <w:vertAlign w:val="baseline"/>
        </w:rPr>
        <w:t>[3]   于向宇,陈会英,李跃. 基于合成控制法的碳交易机制对碳绩效的影响[J]. 中国人口·资源与环境, 2021, 31 (4): 51-61.</w:t>
      </w:r>
    </w:p>
    <w:p w14:paraId="03A4C63F">
      <w:pPr>
        <w:rPr>
          <w:rFonts w:hint="eastAsia" w:ascii="宋体" w:hAnsi="宋体" w:eastAsia="宋体" w:cs="宋体"/>
          <w:i w:val="0"/>
          <w:iCs/>
          <w:vertAlign w:val="baseline"/>
        </w:rPr>
      </w:pPr>
      <w:r>
        <w:rPr>
          <w:rFonts w:hint="eastAsia" w:ascii="宋体" w:hAnsi="宋体" w:eastAsia="宋体" w:cs="宋体"/>
          <w:i w:val="0"/>
          <w:iCs/>
          <w:vertAlign w:val="baseline"/>
        </w:rPr>
        <w:t>[4]   廖文龙,董新凯,翁鸣,等. 市场型环境规制的经济效应:碳排放交易、绿色创新与绿色经济增长[J]. 中国软科学, 2020, (6): 159-173.</w:t>
      </w:r>
    </w:p>
    <w:p w14:paraId="30C3BD8A">
      <w:pPr>
        <w:rPr>
          <w:rFonts w:hint="eastAsia" w:ascii="宋体" w:hAnsi="宋体" w:eastAsia="宋体" w:cs="宋体"/>
          <w:i w:val="0"/>
          <w:iCs/>
          <w:vertAlign w:val="baseline"/>
        </w:rPr>
      </w:pPr>
      <w:r>
        <w:rPr>
          <w:rFonts w:hint="eastAsia" w:ascii="宋体" w:hAnsi="宋体" w:eastAsia="宋体" w:cs="宋体"/>
          <w:i w:val="0"/>
          <w:iCs/>
          <w:vertAlign w:val="baseline"/>
        </w:rPr>
        <w:t>[5]   李兴,刘自敏,杨丹,等.  电力市场效率评估与碳市场价格设计——基于电碳市场关联视角下的传导率估计[J]. 中国工业经济, 2022, (1): 132- 150.</w:t>
      </w:r>
    </w:p>
    <w:p w14:paraId="5D2689AF">
      <w:pPr>
        <w:rPr>
          <w:rFonts w:hint="eastAsia" w:ascii="宋体" w:hAnsi="宋体" w:eastAsia="宋体" w:cs="宋体"/>
          <w:i w:val="0"/>
          <w:iCs/>
          <w:vertAlign w:val="baseline"/>
        </w:rPr>
      </w:pPr>
      <w:r>
        <w:rPr>
          <w:rFonts w:hint="eastAsia" w:ascii="宋体" w:hAnsi="宋体" w:eastAsia="宋体" w:cs="宋体"/>
          <w:i w:val="0"/>
          <w:iCs/>
          <w:vertAlign w:val="baseline"/>
        </w:rPr>
        <w:t>[6]   周迪,刘奕淳. 中国碳交易试点政策对城市碳排放绩效的影响及机制[J]. 中国环境科学, 2020, 40 (1): 453-464.</w:t>
      </w:r>
    </w:p>
    <w:p w14:paraId="2EE63C6D">
      <w:pPr>
        <w:rPr>
          <w:rFonts w:hint="eastAsia" w:ascii="宋体" w:hAnsi="宋体" w:eastAsia="宋体" w:cs="宋体"/>
          <w:i w:val="0"/>
          <w:iCs/>
          <w:vertAlign w:val="baseline"/>
        </w:rPr>
      </w:pPr>
      <w:r>
        <w:rPr>
          <w:rFonts w:hint="eastAsia" w:ascii="宋体" w:hAnsi="宋体" w:eastAsia="宋体" w:cs="宋体"/>
          <w:i w:val="0"/>
          <w:iCs/>
          <w:vertAlign w:val="baseline"/>
        </w:rPr>
        <w:t>[7]   朱凡,李天琦. 中国碳交易市场减排绩效的实证研究[J]. 税务与经济, 2021, (3): 54-62.</w:t>
      </w:r>
    </w:p>
    <w:p w14:paraId="658594BF">
      <w:pPr>
        <w:rPr>
          <w:rFonts w:hint="eastAsia" w:ascii="宋体" w:hAnsi="宋体" w:eastAsia="宋体" w:cs="宋体"/>
          <w:i w:val="0"/>
          <w:iCs/>
          <w:vertAlign w:val="baseline"/>
        </w:rPr>
      </w:pPr>
      <w:r>
        <w:rPr>
          <w:rFonts w:hint="eastAsia" w:ascii="宋体" w:hAnsi="宋体" w:eastAsia="宋体" w:cs="宋体"/>
          <w:i w:val="0"/>
          <w:iCs/>
          <w:vertAlign w:val="baseline"/>
        </w:rPr>
        <w:t>[8]   ClòS, Ferraris M, Florio M. Ownership and Environmental Regulation: Evidence from the European Electricity Industry[J]. Energy Economics, 2017, 61: 298-312.</w:t>
      </w:r>
    </w:p>
    <w:p w14:paraId="3306D6B5">
      <w:pPr>
        <w:rPr>
          <w:rFonts w:hint="eastAsia" w:ascii="宋体" w:hAnsi="宋体" w:eastAsia="宋体" w:cs="宋体"/>
          <w:i w:val="0"/>
          <w:iCs/>
          <w:vertAlign w:val="baseline"/>
        </w:rPr>
      </w:pPr>
      <w:r>
        <w:rPr>
          <w:rFonts w:hint="eastAsia" w:ascii="宋体" w:hAnsi="宋体" w:eastAsia="宋体" w:cs="宋体"/>
          <w:i w:val="0"/>
          <w:iCs/>
          <w:vertAlign w:val="baseline"/>
        </w:rPr>
        <w:t>[9]   Laing T, Sato M, Grubb M, et al. Assessing the Effectiveness of the EU Emissions Trading System[R]. Grantham Research Institute on Climate Change and the Environment, 2013: 106.</w:t>
      </w:r>
    </w:p>
    <w:p w14:paraId="2BA1E079">
      <w:pPr>
        <w:rPr>
          <w:rFonts w:hint="eastAsia" w:ascii="宋体" w:hAnsi="宋体" w:eastAsia="宋体" w:cs="宋体"/>
          <w:i w:val="0"/>
          <w:iCs/>
          <w:vertAlign w:val="baseline"/>
        </w:rPr>
      </w:pPr>
      <w:r>
        <w:rPr>
          <w:rFonts w:hint="eastAsia" w:ascii="宋体" w:hAnsi="宋体" w:eastAsia="宋体" w:cs="宋体"/>
          <w:i w:val="0"/>
          <w:iCs/>
          <w:vertAlign w:val="baseline"/>
        </w:rPr>
        <w:t>[10] Gulbrandsen L H, Stenqvist C. The Limited Effect of EU Emissions Trading on Corporate Climate Strategies: Comparison of a Swedish and a Norwegian Pulp and Paper Company[J]. Energy Policy, 2013, 56: 516-525.</w:t>
      </w:r>
    </w:p>
    <w:p w14:paraId="2BF7C2C3">
      <w:pPr>
        <w:rPr>
          <w:rFonts w:hint="eastAsia" w:ascii="宋体" w:hAnsi="宋体" w:eastAsia="宋体" w:cs="宋体"/>
          <w:i w:val="0"/>
          <w:iCs/>
          <w:vertAlign w:val="baseline"/>
        </w:rPr>
      </w:pPr>
      <w:r>
        <w:rPr>
          <w:rFonts w:hint="eastAsia" w:ascii="宋体" w:hAnsi="宋体" w:eastAsia="宋体" w:cs="宋体"/>
          <w:i w:val="0"/>
          <w:iCs/>
          <w:vertAlign w:val="baseline"/>
        </w:rPr>
        <w:t>[11] 王勇,赵晗. 中国碳交易市场启动对地区碳排放效率的影响[J]. 中国人口·资源与环境, 2019, 29 (1): 50-58.</w:t>
      </w:r>
    </w:p>
    <w:p w14:paraId="0AEAF820">
      <w:pPr>
        <w:rPr>
          <w:rFonts w:hint="eastAsia" w:ascii="宋体" w:hAnsi="宋体" w:eastAsia="宋体" w:cs="宋体"/>
          <w:i w:val="0"/>
          <w:iCs/>
          <w:vertAlign w:val="baseline"/>
        </w:rPr>
      </w:pPr>
      <w:r>
        <w:rPr>
          <w:rFonts w:hint="eastAsia" w:ascii="宋体" w:hAnsi="宋体" w:eastAsia="宋体" w:cs="宋体"/>
          <w:i w:val="0"/>
          <w:iCs/>
          <w:vertAlign w:val="baseline"/>
        </w:rPr>
        <w:t>[12] Du Z, Xu C, Lin B. Does the Emission Trading Scheme Achieve the Dual Dividend of Reducing Pollution and Improving Energy Efficiency? Micro Evidence from China[J]. Journal of Environmental Management, 2022, 323: 116202.</w:t>
      </w:r>
    </w:p>
    <w:p w14:paraId="41035C8E">
      <w:pPr>
        <w:rPr>
          <w:rFonts w:hint="eastAsia" w:ascii="宋体" w:hAnsi="宋体" w:eastAsia="宋体" w:cs="宋体"/>
          <w:i w:val="0"/>
          <w:iCs/>
          <w:vertAlign w:val="baseline"/>
        </w:rPr>
      </w:pPr>
      <w:r>
        <w:rPr>
          <w:rFonts w:hint="eastAsia" w:ascii="宋体" w:hAnsi="宋体" w:eastAsia="宋体" w:cs="宋体"/>
          <w:i w:val="0"/>
          <w:iCs/>
          <w:vertAlign w:val="baseline"/>
        </w:rPr>
        <w:t>[13] van der Heijden J. Understanding Voluntary Program Performance: Introducing the Diffusion Network Perspective[J]. Regulation and Governance, 2020, 14 (1): 44-62.</w:t>
      </w:r>
    </w:p>
    <w:p w14:paraId="7BD4BE9B">
      <w:pPr>
        <w:rPr>
          <w:rFonts w:hint="eastAsia" w:ascii="宋体" w:hAnsi="宋体" w:eastAsia="宋体" w:cs="宋体"/>
          <w:i w:val="0"/>
          <w:iCs/>
          <w:vertAlign w:val="baseline"/>
        </w:rPr>
      </w:pPr>
      <w:r>
        <w:rPr>
          <w:rFonts w:hint="eastAsia" w:ascii="宋体" w:hAnsi="宋体" w:eastAsia="宋体" w:cs="宋体"/>
          <w:i w:val="0"/>
          <w:iCs/>
          <w:vertAlign w:val="baseline"/>
        </w:rPr>
        <w:t>[14] Khanna M, Damon L A. EPA's Voluntary  33/50 Program: Impact on Toxic Releases  and Economic Performance of Firms[J]. Journal of Environmental Economics and Management, 1999, 1 (37): 1-25.</w:t>
      </w:r>
    </w:p>
    <w:p w14:paraId="23C8603A">
      <w:pPr>
        <w:rPr>
          <w:rFonts w:hint="eastAsia" w:ascii="宋体" w:hAnsi="宋体" w:eastAsia="宋体" w:cs="宋体"/>
          <w:i w:val="0"/>
          <w:iCs/>
          <w:vertAlign w:val="baseline"/>
        </w:rPr>
      </w:pPr>
      <w:r>
        <w:rPr>
          <w:rFonts w:hint="eastAsia" w:ascii="宋体" w:hAnsi="宋体" w:eastAsia="宋体" w:cs="宋体"/>
          <w:i w:val="0"/>
          <w:iCs/>
          <w:vertAlign w:val="baseline"/>
        </w:rPr>
        <w:t>[15] Potoski M, Prakash A. Green Clubs and Voluntary Governance: ISO 14001 and Firms' Regulatory Compliance[J]. American Journal of Political Science, 2005, 49 (2): 235-248.</w:t>
      </w:r>
    </w:p>
    <w:p w14:paraId="5BD0831D">
      <w:pPr>
        <w:rPr>
          <w:rFonts w:hint="eastAsia" w:ascii="宋体" w:hAnsi="宋体" w:eastAsia="宋体" w:cs="宋体"/>
          <w:i w:val="0"/>
          <w:iCs/>
          <w:vertAlign w:val="baseline"/>
        </w:rPr>
      </w:pPr>
      <w:r>
        <w:rPr>
          <w:rFonts w:hint="eastAsia" w:ascii="宋体" w:hAnsi="宋体" w:eastAsia="宋体" w:cs="宋体"/>
          <w:i w:val="0"/>
          <w:iCs/>
          <w:vertAlign w:val="baseline"/>
        </w:rPr>
        <w:t>[16] Brouhle K, Harrington D R. The Role of Environmental Management Systems in the Canadian Voluntary Climate and Challenge Registry[J]. Journal of Environmental Planning and Management, 2014, 57 (8): 1145-1168.</w:t>
      </w:r>
    </w:p>
    <w:p w14:paraId="02989B47">
      <w:pPr>
        <w:rPr>
          <w:rFonts w:hint="eastAsia" w:ascii="宋体" w:hAnsi="宋体" w:eastAsia="宋体" w:cs="宋体"/>
          <w:i w:val="0"/>
          <w:iCs/>
          <w:vertAlign w:val="baseline"/>
        </w:rPr>
      </w:pPr>
    </w:p>
    <w:p w14:paraId="4264B90B">
      <w:pPr>
        <w:rPr>
          <w:rFonts w:hint="eastAsia" w:ascii="宋体" w:hAnsi="宋体" w:eastAsia="宋体" w:cs="宋体"/>
          <w:i w:val="0"/>
          <w:iCs/>
          <w:vertAlign w:val="baseline"/>
        </w:rPr>
      </w:pPr>
    </w:p>
    <w:p w14:paraId="611CD364">
      <w:pPr>
        <w:rPr>
          <w:rFonts w:hint="eastAsia" w:ascii="宋体" w:hAnsi="宋体" w:eastAsia="宋体" w:cs="宋体"/>
          <w:i w:val="0"/>
          <w:iCs/>
          <w:vertAlign w:val="baseline"/>
        </w:rPr>
      </w:pPr>
      <w:r>
        <w:rPr>
          <w:rFonts w:hint="eastAsia" w:ascii="宋体" w:hAnsi="宋体" w:eastAsia="宋体" w:cs="宋体"/>
          <w:i w:val="0"/>
          <w:iCs/>
          <w:vertAlign w:val="baseline"/>
        </w:rPr>
        <w:t>有四组条件会影响自愿型项目规划的绩效：①规划设计（规则、执行和不同类型的奖励）；②项目开发人员和管理人员（公共、私营或第三部门）；③项目背景（现有规则和立法、经济环境和社会压力）；④扩散网络的密度[1] 。在对公众参与型政策工具的研究中，研究发现公众环保意识的增强能够促进二氧化碳排放效率的提高[2]，并且碳排放权交易制度更能促进拥有较高公众环保意识的地区和企业开展绿色治理[3] 。有研究提出中国所有制结构的调整这所以未对碳排放绩效产生促进作用，是由市场失灵和命令型政策工具设计上存在的缺陷而致[4] 。在命令控制型政策工具的应用方面，Tan 等发现中国在“十二五”期间实施的碳减排政策法规不仅有助于实现降低碳强度的目标，而且有助于有效改善全要素碳排放效率，同时建议应同时引入命令控制型和市场型政策工具[5]。</w:t>
      </w:r>
    </w:p>
    <w:p w14:paraId="2A22E469">
      <w:pPr>
        <w:rPr>
          <w:rFonts w:hint="eastAsia" w:ascii="宋体" w:hAnsi="宋体" w:eastAsia="宋体" w:cs="宋体"/>
          <w:i w:val="0"/>
          <w:iCs/>
          <w:vertAlign w:val="baseline"/>
        </w:rPr>
      </w:pPr>
      <w:r>
        <w:rPr>
          <w:rFonts w:hint="eastAsia" w:ascii="宋体" w:hAnsi="宋体" w:eastAsia="宋体" w:cs="宋体"/>
          <w:i w:val="0"/>
          <w:iCs/>
          <w:vertAlign w:val="baseline"/>
        </w:rPr>
        <w:t>另外，尽管一些政策，例如环境政策、能源政策，最初是为了解决环境或能源问题而制定的，但是在控制温室气体方面也发挥了共同的促进作用[6,7] 。由于碳排放与污染排放复杂关联，具有同根、同源和同过程的特点，因此有相当一部分文献探讨了环境规制对碳排放绩效的影响，这部分文献主要集中在管理学和经济学领域。有学者发现环境规制强度与碳排放效率/绩效间呈现“U”型[8]、倒“U”型[9]变化趋势。有的发现环境规则强度与全行业全要素碳排放绩效呈正相关，验证了“波特假说” 的存在，但这种促进作用并非是线性的，还存在明显的行业异质性和门限效应[10] 。如Wang 等发现，有关减排的法规可以改善长期碳排放绩效[11] 。蓝虹和王柳元的研究证明环境规制对碳排放绩效的影响存在双门槛效应，且当前中国环境规制对碳排放绩效的影响还处于“绿色悖论”阶段，还未产生波特假说所预期的创新补偿效应[12]。</w:t>
      </w:r>
    </w:p>
    <w:p w14:paraId="6FF63F65">
      <w:pPr>
        <w:rPr>
          <w:rFonts w:hint="eastAsia" w:ascii="宋体" w:hAnsi="宋体" w:eastAsia="宋体" w:cs="宋体"/>
          <w:i w:val="0"/>
          <w:iCs/>
          <w:vertAlign w:val="baseline"/>
        </w:rPr>
      </w:pPr>
    </w:p>
    <w:p w14:paraId="4580108C">
      <w:pPr>
        <w:rPr>
          <w:rFonts w:hint="eastAsia" w:ascii="宋体" w:hAnsi="宋体" w:eastAsia="宋体" w:cs="宋体"/>
          <w:i w:val="0"/>
          <w:iCs/>
          <w:vertAlign w:val="baseline"/>
        </w:rPr>
      </w:pPr>
    </w:p>
    <w:p w14:paraId="310B8120">
      <w:pPr>
        <w:rPr>
          <w:rFonts w:hint="eastAsia" w:ascii="宋体" w:hAnsi="宋体" w:eastAsia="宋体" w:cs="宋体"/>
          <w:i w:val="0"/>
          <w:iCs/>
          <w:vertAlign w:val="baseline"/>
        </w:rPr>
      </w:pPr>
      <w:r>
        <w:rPr>
          <w:rFonts w:hint="eastAsia" w:ascii="宋体" w:hAnsi="宋体" w:eastAsia="宋体" w:cs="宋体"/>
          <w:i w:val="0"/>
          <w:iCs/>
          <w:vertAlign w:val="baseline"/>
        </w:rPr>
        <w:t>第三，影响因素剖析。杨立华、张柳（2016）基于 11 国 14 个大气污染协同治理典型案例的聚类比较，归纳出行动者参与、协同规模、协同网络、协同主体关系及合作性质等关键影响因素[1]。参照 Henry H、Anthopolos R 等（2013）[2]，Ambrey C L、FlemingC M 等（2014）[3]，Schikowski T、Vossoughi M 等（2015）[4]的研究成果，李茜、姚慧琴（2018）采用超效率 DEA 面板模型检验得出，产业结构、技术创新、区域经济发展水平、土地扩张等，是京津冀大气污染治理效率变动的显著影响因素[5]。孙静、马海涛等（2019）运用 Super-SBM 与 Tobit 模型检验出，京津冀及周边地区的财政分权，对大气污染治理效率具有显著的负向影响，政策协同的正向影响不显著，经济水平、环境规制及受教育水平的影响均显著[6]。景熠、敬爽等（2019）基于生命周期理论的结构方程模型检验强调，大气污染治理能力、上级政府与社会公众支持，对协同治理的“形成”有显著影响，而治理主体的相互信任程度、预期收益、公众支持等，则对其“维系”有显著影响[7]。孙久文、罗标强（2016）以修正引力模型探讨出，从中心职能强度 Kei 与联系强度而言，京津冀各地区的空间经济联系均存在显著的差异性，从而影响到区域协同治理的整体和谐程度[8]。张伟、张杰等（2017）根据京津冀大气污染的空间集聚特征分析得出，要有效发挥区域排污权交易、绿色金融、产业结构等发展因素的效能，全面治理钢铁冶炼、电力热力、非金属制品以及基础化工行业的核心污染物排放[9]。余璐、戴祥玉（2018）基于经济协调发展与区域合作共治维度的双重考察发现，地方政府协同治理的阻滞因素，主要源自于治理资源的非均衡性短缺、配套制度建设滞后、治理流程不畅、组织结构失衡和权责分散等[10]。第四，可行性策略探究。Andreas K（2012）通过规范分析，提炼出多元主体有序参发与市场,2019,35(1):57-61.[1] 杨立华,张柳.大气污染多元协同治理的比较研究:典型国家的跨案例分析[J].行政论坛,2016,23(5):24-30.[2] Henry H, Anthopolos R, Maxson P. Traffic-related air pollution and pediatric asthma in Durham County, NorthCarolina[J]. International journal on disability and human development,2013,12(4):467-471.[3] Ambrey C L, Fleming C M, Chan A Y C. Estimating the cost of air pollution in south east queensland: an applicationof the life satisfaction non-market valuation approach [J]. Ecological economics,2014,97:172-181.[4] Schikowski T, Vossoughi M, Vierkötter A, et al. Association of air pollution with cognitive functions and its modificationby APOE gene variants in elderly women[J]. Environmental research,2015,142:10-16.[5] 李茜,姚慧琴.京津冀城市群大气污染治理效率及影响因素研究[J].生态经济,2018,34(8):188-192.[6] 孙静,马海涛,王红梅.财政分权、政策协同与大气污染治理效率——基于京津冀及周边地区城市群面板数据分析[J].中国软科学,2019(8):154-165.[7] 景熠,敬爽,代应.基于结构方程模型的区域大气污染协同治理影响因素分析[J].生态经济,2019,35(8):200-205.[8] 孙久文,罗标强.基于修正引力模型的京津冀城市经济联系研究[J].经济问题探索,2016(8):71-75.[9] 张伟,张杰,汪峰,蒋洪强,王金南,姜玲.京津冀工业源大气污染排放空间集聚特征分析[J].城市发展研究,2017,24(9):81-87.[10] 余璐,戴祥玉.经济协调发展、区域合作共治与地方政府协同治理[J].湖北社会科学,2018(7):38-45.25与、公共协商等实践途径[1]。王洛忠、丁颖（2016）融合“构建者-协调者-监督者”角色定位与“信任-信息-技术”资源层次，探讨出强化区域合作共识与规则的策略[2]。唐湘博、陈晓红（2017）基于区域上层管理部门和下层所辖地区的双层博弈模型分析，提出区域大气污染协同治理补偿费的制定标准和构思设立协同减排基金的行动路径[3]。何磊（2015[4]），李燕云、王立华等（2017[5]，2018[6]）通过梳理京津冀大气重污染联防联控模式的演化历程及成功案例，提出创新区域总体规划、加强多污染物协同管控、强化政府间的垂直管理与和向联动、建立落实政府环境绩效考核、建立区域生态环保专项资金等措施。王喆、周凌一（2015）根据府际合作模式、市场调节模式与协同治理模式的比较提出，以严格区域生态红线控制制度、健全多维生态补偿机制、完善政绩考核评价与责任追究制度等，有效推动多元主体协同与府际协同[7]。王丽、宫宝利（2018）基于价值逻辑分析指出，通过优化公共权力顶层设计的系统功能、完善利益互惠型市场机制、健全多元化参与衔接机制等，促进京津冀的生态空间协同治理[8]。邢华（2014）[9]，汪伟全（2014[10]；2016[11]），藏秀清（2015）[12]等通过地区利益博弈与协调问题研究，提出以建立健全纵向嵌入式协同机制体系弥补横向属地之间的合作治理困境，且探寻出不同利益协调模式的内容、特征及工具体系。吴芸、赵新峰（2018）基于整体治理思维，强调以引入市场、社会等多元主体力量，切实提升管制型、市场型及自愿型政策工具应用的协同度，破解“碎片化”治理困境[13]。郭施宏、齐晔（2016）根据伙伴型府际治理模式分析表明，京津冀大气污染协同治理的关键，是构建良好的伙伴关系、协调横向府际[1] Andreas K. Democratizing regional environmental governance：public deliberation and participation in transboundaryecoregions[J]. Global environmental politics,2012,12(3):79-99．[2] 王洛忠,丁颖.京津冀雾霾合作治理困境及其解决途径[J].中共中央党校学报,2016,20(3):74-79.[3] 唐湘博,陈晓红.区域大气污染协同减排补偿机制研究[J].中国人口·资源与环境,2017,27(9):76-82.[4] 何磊.京津冀跨区域治理的模式选择与机制设计[J].中共天津市委党校学报,2015(6):86-91.[5] 李云燕,王立华,马靖宇,葛畅,殷晨曦.京津冀地区大气污染联防联控协同机制研究[J].环境保护,2017,45(17):45-50.[6] 李云燕,王立华,殷晨曦.大气重污染预警区域联防联控协作体系构建—以京津冀地区为例[J].中国环境管理,2018,10(2):38-44.[7] 王喆,周凌一.京津冀生态环境协同治理研究——基于体制机制视角探讨[J].经济与管理研究,2015,36(7):68-75.[8] 王丽,宫宝利.京津冀区域生态空间协同治理研究[J].天津行政学院学报,2018,20(5):38-44.[9] 邢华.我国区域合作治理困境与纵向嵌入式治理机制选择[J].政治学研究,2014(5):37-50.[10] 汪伟全.空气污染的跨域合作治理研究——以北京地区为例[J].公共管理学报,2014,11(1):55-64+140.[11] 汪伟全.空气污染跨域治理中的利益协调研究[J].南京社会科学,2016(4):79-84+112.[12] 臧秀清.京津冀协同发展中的利益分配问题研究[J].河北学刊,2015,35(1):192-196.[13] 吴芸,赵新峰.京津冀区域大气污染治理政策工具变迁研究——基于 2004-2017 年政策文本数据[J].中国行政管理,2018(10):78-85.26间利益、制定权威性法律法规、共享实时性治理信息[1]。汪泽波、王鸿雁（2016）[2]；王欣（2017）[3]等基于多中心、多层次协同治理视角提出，根据不同地区、主体的角色定位，以“五位一体”理念破除“本位主义”、以市场机制主导强化经济协同、围绕行政机制创新强化公共服务协同、以政府功能转化引导多元共享型社会参与。吕天宇、李晚莲等（2017）针对一体化合作困境提出，要打造“三个一体”型服务模式、建立“共商、共建、共治、共享”格局、行政部门“连坐”责任制度、经济环境补偿政策、G2G 电子政府信息共享平台[4]。叶堂林、毛若冲（2019）根据“联系度-均衡度-融合度”分析提出，要通过高标准的非首都功能区谋划、“四个中心”建设、公共服务均等化发展等，促进高质量的均衡发展[5]。苏黎馨、冯长春（2019）基于京津冀地区与德国柏林-勃兰登堡地区、日本东京首都圈、法国巴黎等地区的协同治理模式比较强调，要全面厘清主体权责关系、优先增强立法建设、加快健全多边协商机制[6]。张晓涛、易云峰（</w:t>
      </w:r>
      <w:r>
        <w:rPr>
          <w:rFonts w:hint="eastAsia" w:ascii="宋体" w:hAnsi="宋体" w:eastAsia="宋体" w:cs="宋体"/>
          <w:i w:val="0"/>
          <w:iCs/>
          <w:vertAlign w:val="baseline"/>
        </w:rPr>
        <w:t>2019）基于价值链视角的职能分工探讨得出，针对目前京津冀明显的梯度性职能专业化水平，各地区要有选择、有重点地承接与自身资源禀赋、比较优势、发展远景等相匹配的产业和价值链环节，以增强区域内部发展的互补性与向心力[7]。</w:t>
      </w:r>
    </w:p>
    <w:p w14:paraId="34137C3C">
      <w:pPr>
        <w:rPr>
          <w:rFonts w:hint="eastAsia" w:ascii="宋体" w:hAnsi="宋体" w:eastAsia="宋体" w:cs="宋体"/>
          <w:i w:val="0"/>
          <w:iCs/>
          <w:vertAlign w:val="baseline"/>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418BF">
    <w:pPr>
      <w:spacing w:line="222" w:lineRule="auto"/>
      <w:ind w:left="542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7E190">
    <w:pPr>
      <w:spacing w:before="56" w:line="220" w:lineRule="auto"/>
      <w:ind w:left="4278"/>
      <w:rPr>
        <w:rFonts w:ascii="宋体" w:hAnsi="宋体" w:eastAsia="宋体" w:cs="宋体"/>
        <w:sz w:val="21"/>
        <w:szCs w:val="21"/>
      </w:rPr>
    </w:pPr>
    <w:r>
      <w:drawing>
        <wp:anchor distT="0" distB="0" distL="114300" distR="114300" simplePos="0" relativeHeight="251660288" behindDoc="1" locked="0" layoutInCell="0" allowOverlap="1">
          <wp:simplePos x="0" y="0"/>
          <wp:positionH relativeFrom="page">
            <wp:posOffset>269240</wp:posOffset>
          </wp:positionH>
          <wp:positionV relativeFrom="page">
            <wp:posOffset>10308590</wp:posOffset>
          </wp:positionV>
          <wp:extent cx="2145665" cy="158750"/>
          <wp:effectExtent l="0" t="0" r="6985" b="12700"/>
          <wp:wrapNone/>
          <wp:docPr id="1" name="WordPictureWatermark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92"/>
                  <pic:cNvPicPr>
                    <a:picLocks noChangeAspect="1"/>
                  </pic:cNvPicPr>
                </pic:nvPicPr>
                <pic:blipFill>
                  <a:blip r:embed="rId1"/>
                  <a:stretch>
                    <a:fillRect/>
                  </a:stretch>
                </pic:blipFill>
                <pic:spPr>
                  <a:xfrm>
                    <a:off x="0" y="0"/>
                    <a:ext cx="2145665" cy="158750"/>
                  </a:xfrm>
                  <a:prstGeom prst="rect">
                    <a:avLst/>
                  </a:prstGeom>
                  <a:noFill/>
                  <a:ln>
                    <a:noFill/>
                  </a:ln>
                </pic:spPr>
              </pic:pic>
            </a:graphicData>
          </a:graphic>
        </wp:anchor>
      </w:drawing>
    </w:r>
    <w:r>
      <w:rPr>
        <w:rFonts w:ascii="宋体" w:hAnsi="宋体" w:eastAsia="宋体" w:cs="宋体"/>
        <w:spacing w:val="-1"/>
        <w:sz w:val="21"/>
        <w:szCs w:val="21"/>
      </w:rPr>
      <w:t>华南理工大学博士学位论文</w:t>
    </w:r>
  </w:p>
  <w:p w14:paraId="3023BBD9">
    <w:pPr>
      <w:spacing w:before="10" w:line="20" w:lineRule="exact"/>
      <w:ind w:firstLine="964"/>
    </w:pPr>
    <w:r>
      <w:rPr>
        <w:position w:val="-1"/>
      </w:rPr>
      <mc:AlternateContent>
        <mc:Choice Requires="wps">
          <w:drawing>
            <wp:inline distT="0" distB="0" distL="114300" distR="114300">
              <wp:extent cx="5798185" cy="19050"/>
              <wp:effectExtent l="0" t="0" r="12065" b="0"/>
              <wp:docPr id="4" name="任意多边形 4"/>
              <wp:cNvGraphicFramePr/>
              <a:graphic xmlns:a="http://schemas.openxmlformats.org/drawingml/2006/main">
                <a:graphicData uri="http://schemas.microsoft.com/office/word/2010/wordprocessingShape">
                  <wps:wsp>
                    <wps:cNvSpPr/>
                    <wps:spPr>
                      <a:xfrm>
                        <a:off x="0" y="0"/>
                        <a:ext cx="5798185" cy="19050"/>
                      </a:xfrm>
                      <a:custGeom>
                        <a:avLst/>
                        <a:gdLst/>
                        <a:ahLst/>
                        <a:cxnLst/>
                        <a:pathLst>
                          <a:path w="9130" h="30">
                            <a:moveTo>
                              <a:pt x="0" y="30"/>
                            </a:moveTo>
                            <a:lnTo>
                              <a:pt x="9130" y="30"/>
                            </a:lnTo>
                            <a:lnTo>
                              <a:pt x="9130" y="0"/>
                            </a:lnTo>
                            <a:lnTo>
                              <a:pt x="0" y="0"/>
                            </a:lnTo>
                            <a:lnTo>
                              <a:pt x="0" y="30"/>
                            </a:lnTo>
                            <a:close/>
                          </a:path>
                        </a:pathLst>
                      </a:custGeom>
                      <a:solidFill>
                        <a:srgbClr val="000000"/>
                      </a:solidFill>
                      <a:ln>
                        <a:noFill/>
                      </a:ln>
                    </wps:spPr>
                    <wps:bodyPr upright="1"/>
                  </wps:wsp>
                </a:graphicData>
              </a:graphic>
            </wp:inline>
          </w:drawing>
        </mc:Choice>
        <mc:Fallback>
          <w:pict>
            <v:shape id="_x0000_s1026" o:spid="_x0000_s1026" o:spt="100" style="height:1.5pt;width:456.55pt;" fillcolor="#000000" filled="t" stroked="f" coordsize="9130,30" o:gfxdata="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re8HN1AAAAAMBAAAPAAAAAAAA&#10;AAEAIAAAACIAAABkcnMvZG93bnJldi54bWxQSwECFAAUAAAACACHTuJAJr1anhYCAAB9BAAADgAA&#10;AAAAAAABACAAAAAjAQAAZHJzL2Uyb0RvYy54bWxQSwUGAAAAAAYABgBZAQAAqwUAAAAA&#10;" path="m0,30l9130,30,9130,0,0,0,0,30xe">
              <v:fill on="t" focussize="0,0"/>
              <v:stroke on="f"/>
              <v:imagedata o:title=""/>
              <o:lock v:ext="edit" aspectratio="f"/>
              <w10:wrap type="none"/>
              <w10:anchorlock/>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C12DA2"/>
    <w:rsid w:val="005940DC"/>
    <w:rsid w:val="03304933"/>
    <w:rsid w:val="03786D3C"/>
    <w:rsid w:val="03BD1A8B"/>
    <w:rsid w:val="05290B83"/>
    <w:rsid w:val="0710194F"/>
    <w:rsid w:val="07B53DB1"/>
    <w:rsid w:val="07CE3ADB"/>
    <w:rsid w:val="0A085D81"/>
    <w:rsid w:val="0A0E5583"/>
    <w:rsid w:val="0A891CCB"/>
    <w:rsid w:val="0B533ACA"/>
    <w:rsid w:val="0C255B69"/>
    <w:rsid w:val="0C900D5B"/>
    <w:rsid w:val="0D8F7860"/>
    <w:rsid w:val="0E5377AA"/>
    <w:rsid w:val="108B3838"/>
    <w:rsid w:val="11C25008"/>
    <w:rsid w:val="125D60E2"/>
    <w:rsid w:val="12BD7227"/>
    <w:rsid w:val="1471644E"/>
    <w:rsid w:val="15E0098E"/>
    <w:rsid w:val="15E17ACF"/>
    <w:rsid w:val="16217E32"/>
    <w:rsid w:val="163713DD"/>
    <w:rsid w:val="16626FFB"/>
    <w:rsid w:val="186B5A72"/>
    <w:rsid w:val="186E51F9"/>
    <w:rsid w:val="188729C7"/>
    <w:rsid w:val="18A04BE4"/>
    <w:rsid w:val="18C47A28"/>
    <w:rsid w:val="1CDE52E8"/>
    <w:rsid w:val="1FFD3937"/>
    <w:rsid w:val="20922EC5"/>
    <w:rsid w:val="21156B08"/>
    <w:rsid w:val="21D50B26"/>
    <w:rsid w:val="21ED1206"/>
    <w:rsid w:val="22C252A7"/>
    <w:rsid w:val="22E70030"/>
    <w:rsid w:val="23F93B71"/>
    <w:rsid w:val="266D5D7A"/>
    <w:rsid w:val="26966930"/>
    <w:rsid w:val="26A9723C"/>
    <w:rsid w:val="2810198F"/>
    <w:rsid w:val="28EA66CC"/>
    <w:rsid w:val="29AF36CB"/>
    <w:rsid w:val="2B065713"/>
    <w:rsid w:val="2B377267"/>
    <w:rsid w:val="2B7413B0"/>
    <w:rsid w:val="2B7D54D1"/>
    <w:rsid w:val="2E7035CF"/>
    <w:rsid w:val="2F4F6123"/>
    <w:rsid w:val="2FBD5687"/>
    <w:rsid w:val="304D5781"/>
    <w:rsid w:val="3087036B"/>
    <w:rsid w:val="31CB12FC"/>
    <w:rsid w:val="34A4577A"/>
    <w:rsid w:val="36D232A8"/>
    <w:rsid w:val="38504434"/>
    <w:rsid w:val="3925443F"/>
    <w:rsid w:val="3B30003E"/>
    <w:rsid w:val="3B7C7996"/>
    <w:rsid w:val="3BA872F3"/>
    <w:rsid w:val="3C3C533A"/>
    <w:rsid w:val="3DAD1572"/>
    <w:rsid w:val="3EDD39EE"/>
    <w:rsid w:val="3EEA19D4"/>
    <w:rsid w:val="3F1B6AD3"/>
    <w:rsid w:val="3F8B7D9D"/>
    <w:rsid w:val="414723E8"/>
    <w:rsid w:val="422F7524"/>
    <w:rsid w:val="43DA70F0"/>
    <w:rsid w:val="43E12924"/>
    <w:rsid w:val="451D1C81"/>
    <w:rsid w:val="45231F55"/>
    <w:rsid w:val="45877D53"/>
    <w:rsid w:val="49453524"/>
    <w:rsid w:val="49B4707D"/>
    <w:rsid w:val="4AA07507"/>
    <w:rsid w:val="4BE4107A"/>
    <w:rsid w:val="4C6166A5"/>
    <w:rsid w:val="4D615298"/>
    <w:rsid w:val="4DCC692D"/>
    <w:rsid w:val="4E120C03"/>
    <w:rsid w:val="4ED23248"/>
    <w:rsid w:val="505508C7"/>
    <w:rsid w:val="548060EE"/>
    <w:rsid w:val="558F68C7"/>
    <w:rsid w:val="55C12DA2"/>
    <w:rsid w:val="565841FF"/>
    <w:rsid w:val="585671B8"/>
    <w:rsid w:val="5890612E"/>
    <w:rsid w:val="590E27DE"/>
    <w:rsid w:val="593D735A"/>
    <w:rsid w:val="5971430E"/>
    <w:rsid w:val="5A001F3F"/>
    <w:rsid w:val="5BFA5BAB"/>
    <w:rsid w:val="5C1B30EF"/>
    <w:rsid w:val="5C3F6E75"/>
    <w:rsid w:val="5CE87D54"/>
    <w:rsid w:val="5D4851BD"/>
    <w:rsid w:val="5D563730"/>
    <w:rsid w:val="5E9B3357"/>
    <w:rsid w:val="5F812499"/>
    <w:rsid w:val="60257C1D"/>
    <w:rsid w:val="695123D0"/>
    <w:rsid w:val="69624F19"/>
    <w:rsid w:val="69CE04C4"/>
    <w:rsid w:val="6AB11B40"/>
    <w:rsid w:val="6B957E34"/>
    <w:rsid w:val="6BB943CF"/>
    <w:rsid w:val="6BF31356"/>
    <w:rsid w:val="6EDA6267"/>
    <w:rsid w:val="70BC5C25"/>
    <w:rsid w:val="70FD0B40"/>
    <w:rsid w:val="71047B41"/>
    <w:rsid w:val="71B6698E"/>
    <w:rsid w:val="72691DDC"/>
    <w:rsid w:val="72892DFD"/>
    <w:rsid w:val="73547E0C"/>
    <w:rsid w:val="739F35DC"/>
    <w:rsid w:val="74840ECE"/>
    <w:rsid w:val="7533596F"/>
    <w:rsid w:val="75521FED"/>
    <w:rsid w:val="76415ABE"/>
    <w:rsid w:val="765661D4"/>
    <w:rsid w:val="766255B2"/>
    <w:rsid w:val="7789684F"/>
    <w:rsid w:val="77EC2986"/>
    <w:rsid w:val="78783E72"/>
    <w:rsid w:val="78D00F33"/>
    <w:rsid w:val="79694470"/>
    <w:rsid w:val="79C842E0"/>
    <w:rsid w:val="7A4642E6"/>
    <w:rsid w:val="7A812FE5"/>
    <w:rsid w:val="7AA215B9"/>
    <w:rsid w:val="7BF20E3D"/>
    <w:rsid w:val="7CBE2646"/>
    <w:rsid w:val="7D085E28"/>
    <w:rsid w:val="7D82306E"/>
    <w:rsid w:val="7DF241B6"/>
  </w:rsids>
  <m:mathPr>
    <m:mathFont m:val="Times New Roman"/>
    <m:brkBin m:val="before"/>
    <m:brkBinSub m:val="--"/>
    <m:smallFrac m:val="1"/>
    <m:dispDef/>
    <m:lMargin m:val="0"/>
    <m:rMargin m:val="0"/>
    <m:defJc m:val="center"/>
    <m:wrapRight m:val="1"/>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Theme="minorEastAsia" w:cstheme="minorBidi"/>
      <w:i/>
      <w:kern w:val="0"/>
      <w:sz w:val="24"/>
      <w:szCs w:val="21"/>
      <w:vertAlign w:val="subscript"/>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16328</Words>
  <Characters>28677</Characters>
  <Lines>0</Lines>
  <Paragraphs>0</Paragraphs>
  <TotalTime>5</TotalTime>
  <ScaleCrop>false</ScaleCrop>
  <LinksUpToDate>false</LinksUpToDate>
  <CharactersWithSpaces>31895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2026-01-21T13:34:00Z</dcterms:created>
  <dc:creator>lzj</dc:creator>
  <cp:lastModifiedBy>lzj</cp:lastModifiedBy>
  <dcterms:modified xsi:type="dcterms:W3CDTF">2026-01-21T13:54:30Z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99932B1B9643448584A89060DEED0DC4_13</vt:lpwstr>
  </property>
  <property fmtid="{D5CDD505-2E9C-101B-9397-08002B2CF9AE}" pid="4" name="KSOTemplateDocerSaveRecord">
    <vt:lpwstr>eyJoZGlkIjoiYTBkN2RkMzk2M2EzM2FiYTZkZjNlNjBjZDJjODE0ZDQiLCJ1c2VySWQiOiI2Nzk1NjkwMDUifQ==</vt:lpwstr>
  </property>
</Properties>
</file>