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77. 范仲淹巧劝滕子京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滕子京负大才，为众所嫉。自谪巴陵，愤郁颇见辞色。范仲淹与之同年友善，爱其才，恐后贻祸。然滕豪迈自负，罕受人言，正患无隙以规之，子京忽以书抵仲淹，求《岳阳楼记》。故记中云“不以物喜，不以己悲”、“先天下之忧而忧，后天下之乐而乐”，其意盖在谏故人耳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滕子京有才气，被同僚们嫉妒。自从贬谪到巴陵做知州后，神态言语中常显露愤恨不平。范仲淹跟他是同年进士，甚为友好，爱他的才华，担心这样下去会惹祸。可是滕子京性格豪放，自负才华，很难接受别人的规劝。正当范仲淹没机会向他进言的时候，滕子京突然来信请他写《岳阳楼记》，所以范仲淹在《岳阳楼记》中写了这样几句：“不以物喜，不以己悲”、“先天下之忧而忧，后天下之乐而乐”，他大概是借此规劝老朋友要心胸宽阔，以事业为重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谪：贬官；  颇见：常显露；  同年：同一年获得进士身份；  贻：留下；  罕：很少；  患：忧虑；  规：规劝；  抵：到达；  云：说；  盖：大概；  谏：规劝；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