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79. 孔子因材施教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子路问：“闻斯行诸？”子曰：“有父兄在，如之何闻斯行之？”冉有问：“闻斯行诸？”子曰：“闻斯行之。”公西华问：“由也问，闻斯行诸？子曰‘有父兄在’；求也问，闻斯行诸？子曰‘闻斯行之’。赤也惑，敢问。”子曰：“求也退，故进之；由也兼人，故退之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子路问孔子：“听到了鼓励的话就干起来吗？”孔子说：“不行。先要听听父兄的意见，怎么可以干起来呢？”冉有问孔子：“听到了鼓励的话就干起来吗？”孔子说：“行。听到了鼓励的话就应马上干起来。”公西华感到疑惑，便问孔子：“子路问老师，听到了鼓励的话就干起来吗？老师说，要先听听父兄的意见。冉有问同样的问题，您却说要马上干起来。我感到疑惑，冒昧地问，这有什么区别？”孔子说：“冉有这个人做事缩手缩脚，所以我激励他勇往直前；而子路这个人好勇过人，所以我要设法让他抑制一点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斯：那，指鼓励的话；  诸：之乎；  如之何：怎么可以；  由：子路，名由；  子：指孔子；  求：冉有，名求；  赤：我，公西华名赤；  敢问：冒昧的问；  求：冉有；  退：做事缩手缩脚；  进之：让他勇往直前；  由：子路；  兼人：好勇过人；  退之：让他抑制一点；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