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  <w:jc w:val="center"/>
      </w:pPr>
      <w:r>
        <w:rPr>
          <w:rFonts w:ascii="黑体" w:hAnsi="黑体" w:eastAsia="黑体"/>
          <w:b w:val="0"/>
          <w:sz w:val="32"/>
        </w:rPr>
        <w:t>第一章 合成样本标题（字号错误）</w:t>
      </w:r>
    </w:p>
    <w:p>
      <w:pPr>
        <w:spacing w:lineRule="auto" w:line="360"/>
      </w:pPr>
      <w:r>
        <w:rPr>
          <w:rFonts w:ascii="Times New Roman" w:hAnsi="Times New Roman" w:eastAsia="宋体"/>
          <w:sz w:val="21"/>
        </w:rPr>
        <w:t>本段为合成测试文本，仅用于格式检查工具的开发与回归验证，不包含任何真实论文内容。样本中的所有文字均为占位性质，可直接替换或删除。</w:t>
      </w:r>
    </w:p>
    <w:p>
      <w:pPr>
        <w:spacing w:lineRule="auto" w:line="360"/>
      </w:pPr>
      <w:r>
        <w:rPr>
          <w:rFonts w:ascii="Times New Roman" w:hAnsi="Times New Roman" w:eastAsia="宋体"/>
          <w:sz w:val="21"/>
        </w:rPr>
        <w:t>合成文本第二段：格式检查器应当能够识别字体、字号、行距与页边距等版式属性，并在属性偏离基线约定时给出可定位的提示。本段与上一段使用相同段落样式。</w:t>
      </w:r>
    </w:p>
    <w:p>
      <w:pPr>
        <w:spacing w:lineRule="auto" w:line="360"/>
      </w:pPr>
      <w:r>
        <w:rPr>
          <w:rFonts w:ascii="Times New Roman" w:hAnsi="Times New Roman" w:eastAsia="宋体"/>
          <w:sz w:val="21"/>
        </w:rPr>
        <w:t>合成文本第三段：The quick brown fox jumps over the lazy dog. 0123456789. 本句用于覆盖西文字符与数字的字体渲染场景。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