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ind w:firstLine="0"/>
        <w:jc w:val="center"/>
      </w:pPr>
      <w:r>
        <w:rPr>
          <w:rFonts w:ascii="Times New Roman" w:hAnsi="Times New Roman" w:eastAsia="黑体"/>
          <w:b/>
          <w:sz w:val="36"/>
        </w:rPr>
        <w:t>海岚大学研究生学位论文（合成测试样稿）</w:t>
      </w:r>
    </w:p>
    <w:p>
      <w:pPr>
        <w:spacing w:before="1560"/>
        <w:ind w:firstLine="0"/>
        <w:jc w:val="center"/>
      </w:pPr>
      <w:r>
        <w:rPr>
          <w:rFonts w:ascii="Times New Roman" w:hAnsi="Times New Roman" w:eastAsia="黑体"/>
          <w:b/>
          <w:sz w:val="44"/>
        </w:rPr>
        <w:t>高校图书馆学习空间需求的分时观察与管理方法研究</w:t>
      </w:r>
    </w:p>
    <w:p>
      <w:pPr>
        <w:spacing w:before="280"/>
        <w:ind w:firstLine="0"/>
        <w:jc w:val="center"/>
      </w:pPr>
      <w:r>
        <w:rPr>
          <w:rFonts w:ascii="Times New Roman" w:hAnsi="Times New Roman" w:eastAsia="宋体"/>
          <w:sz w:val="28"/>
        </w:rPr>
        <w:t>A Synthetic Study of Time-Segmented Observation and Management for Learning Spaces in University Libraries</w:t>
      </w:r>
    </w:p>
    <w:p>
      <w:pPr>
        <w:spacing w:before="240"/>
        <w:ind w:firstLine="0"/>
        <w:jc w:val="center"/>
      </w:pPr>
      <w:r>
        <w:rPr>
          <w:rFonts w:ascii="Times New Roman" w:hAnsi="Times New Roman" w:eastAsia="宋体"/>
          <w:sz w:val="24"/>
        </w:rPr>
        <w:t>学科门类：管理学（虚构）</w:t>
      </w:r>
    </w:p>
    <w:p>
      <w:pPr>
        <w:spacing w:before="240"/>
        <w:ind w:firstLine="0"/>
        <w:jc w:val="center"/>
      </w:pPr>
      <w:r>
        <w:rPr>
          <w:rFonts w:ascii="Times New Roman" w:hAnsi="Times New Roman" w:eastAsia="宋体"/>
          <w:sz w:val="24"/>
        </w:rPr>
        <w:t>研究方向：公共服务与信息管理</w:t>
      </w:r>
    </w:p>
    <w:p>
      <w:pPr>
        <w:spacing w:before="240"/>
        <w:ind w:firstLine="0"/>
        <w:jc w:val="center"/>
      </w:pPr>
      <w:r>
        <w:rPr>
          <w:rFonts w:ascii="Times New Roman" w:hAnsi="Times New Roman" w:eastAsia="宋体"/>
          <w:sz w:val="24"/>
        </w:rPr>
        <w:t>研究生：合成测试数据</w:t>
      </w:r>
    </w:p>
    <w:p>
      <w:pPr>
        <w:spacing w:before="240"/>
        <w:ind w:firstLine="0"/>
        <w:jc w:val="center"/>
      </w:pPr>
      <w:r>
        <w:rPr>
          <w:rFonts w:ascii="Times New Roman" w:hAnsi="Times New Roman" w:eastAsia="宋体"/>
          <w:sz w:val="24"/>
        </w:rPr>
        <w:t>指导教师：合成测试数据</w:t>
      </w:r>
    </w:p>
    <w:p>
      <w:pPr>
        <w:spacing w:before="240"/>
        <w:ind w:firstLine="0"/>
        <w:jc w:val="center"/>
      </w:pPr>
      <w:r>
        <w:rPr>
          <w:rFonts w:ascii="Times New Roman" w:hAnsi="Times New Roman" w:eastAsia="宋体"/>
          <w:sz w:val="24"/>
        </w:rPr>
        <w:t>完成日期：2026年10月</w:t>
      </w:r>
    </w:p>
    <w:p>
      <w:pPr>
        <w:spacing w:before="760"/>
        <w:ind w:firstLine="0"/>
        <w:jc w:val="center"/>
      </w:pPr>
      <w:r>
        <w:rPr>
          <w:rFonts w:ascii="Times New Roman" w:hAnsi="Times New Roman" w:eastAsia="宋体"/>
          <w:b/>
          <w:sz w:val="21"/>
        </w:rPr>
        <w:t>本文件为软件测试用虚构论文，不含真实学生研究或真实调查数据。</w:t>
      </w:r>
    </w:p>
    <w:p>
      <w:r>
        <w:br w:type="page"/>
      </w:r>
    </w:p>
    <w:p>
      <w:pPr>
        <w:pStyle w:val="Heading1"/>
        <w:keepNext/>
        <w:spacing w:before="280" w:after="120"/>
        <w:ind w:firstLine="0"/>
      </w:pPr>
      <w:r>
        <w:rPr>
          <w:rFonts w:ascii="Times New Roman" w:hAnsi="Times New Roman" w:eastAsia="黑体"/>
          <w:b/>
          <w:sz w:val="32"/>
        </w:rPr>
        <w:t>摘  要</w:t>
      </w:r>
    </w:p>
    <w:p>
      <w:pPr>
        <w:widowControl/>
        <w:spacing w:before="0" w:after="0" w:line="360" w:lineRule="auto"/>
        <w:ind w:firstLine="420"/>
        <w:jc w:val="both"/>
      </w:pPr>
      <w:r>
        <w:rPr>
          <w:rFonts w:ascii="Times New Roman" w:hAnsi="Times New Roman" w:eastAsia="宋体"/>
          <w:sz w:val="24"/>
        </w:rPr>
        <w:t>高校公共学习空间的管理需要理解不同区域、时段和活动类型之间的需求差异。本文构造一套不使用个人身份信息的分时观察框架，围绕区域占用、协作活动和设备可用情况建立记录字段，并通过合成数据演示质量检查、分层汇总和结果复核流程。研究将“场景—时段—区域”作为组织结构，分别呈现安静学习区、讨论区和数字资源区的模拟使用情况。结果显示，该结构有助于追溯指标定义和缺失处理，但平均占用率不能单独代表服务质量，管理建议仍需结合课程周期、设施条件和使用者反馈。本文所有学校名称、观察记录、统计结果与参考条目均为虚构，仅用于软件格式诊断和修复验收；不构成任何真实机构的研究结论。</w:t>
      </w:r>
    </w:p>
    <w:p>
      <w:pPr>
        <w:ind w:firstLine="0"/>
      </w:pPr>
      <w:r>
        <w:rPr>
          <w:rFonts w:ascii="Times New Roman" w:hAnsi="Times New Roman" w:eastAsia="宋体"/>
          <w:b/>
          <w:sz w:val="24"/>
        </w:rPr>
        <w:t>关键词：学习空间；分时观察；公共服务；数据最小化；合成测试</w:t>
      </w:r>
    </w:p>
    <w:p>
      <w:r>
        <w:br w:type="page"/>
      </w:r>
    </w:p>
    <w:p>
      <w:pPr>
        <w:pStyle w:val="Heading1"/>
        <w:keepNext/>
        <w:spacing w:before="280" w:after="120"/>
        <w:ind w:firstLine="0"/>
      </w:pPr>
      <w:r>
        <w:rPr>
          <w:rFonts w:ascii="Times New Roman" w:hAnsi="Times New Roman" w:eastAsia="黑体"/>
          <w:b/>
          <w:sz w:val="32"/>
        </w:rPr>
        <w:t>ABSTRACT</w:t>
      </w:r>
    </w:p>
    <w:p>
      <w:pPr>
        <w:widowControl/>
        <w:spacing w:before="0" w:after="0" w:line="360" w:lineRule="auto"/>
        <w:ind w:firstLine="0"/>
        <w:jc w:val="both"/>
      </w:pPr>
      <w:r>
        <w:rPr>
          <w:rFonts w:ascii="Times New Roman" w:hAnsi="Times New Roman" w:eastAsia="宋体"/>
          <w:sz w:val="24"/>
        </w:rPr>
        <w:t>University libraries provide quiet study areas, collaborative rooms, and digital-resource spaces. This synthetic thesis develops a time-segmented observation framework that records area-level occupancy, activity categories, and equipment availability without collecting personal identifiers. A fictional six-week dataset is used to demonstrate validation, stratified summaries, and review of management suggestions. The results illustrate how a scene-time-area structure makes indicator definitions and missing-data decisions traceable. They do not establish the quality of any real library service. All institutions, observations, measurements, and references in this document are fictional and are included solely for software testing and document-format acceptance.</w:t>
      </w:r>
    </w:p>
    <w:p>
      <w:pPr>
        <w:ind w:firstLine="0"/>
      </w:pPr>
      <w:r>
        <w:rPr>
          <w:rFonts w:ascii="Times New Roman" w:hAnsi="Times New Roman" w:eastAsia="宋体"/>
          <w:b/>
          <w:sz w:val="24"/>
        </w:rPr>
        <w:t>Key words: learning spaces; time-segmented observation; public services; data minimization; synthetic test</w:t>
      </w:r>
    </w:p>
    <w:p>
      <w:r>
        <w:br w:type="page"/>
      </w:r>
    </w:p>
    <w:p>
      <w:pPr>
        <w:pStyle w:val="Heading1"/>
        <w:keepNext/>
        <w:spacing w:before="280" w:after="120"/>
        <w:ind w:firstLine="0"/>
      </w:pPr>
      <w:r>
        <w:rPr>
          <w:rFonts w:ascii="Times New Roman" w:hAnsi="Times New Roman" w:eastAsia="黑体"/>
          <w:b/>
          <w:sz w:val="32"/>
        </w:rPr>
        <w:t>目  录</w:t>
      </w:r>
    </w:p>
    <w:p>
      <w:pPr>
        <w:spacing w:after="160"/>
        <w:ind w:firstLine="0"/>
      </w:pPr>
      <w:r>
        <w:rPr>
          <w:rFonts w:ascii="Times New Roman" w:hAnsi="Times New Roman" w:eastAsia="宋体"/>
          <w:sz w:val="24"/>
        </w:rPr>
        <w:t>第1章 绪论</w:t>
      </w:r>
    </w:p>
    <w:p>
      <w:pPr>
        <w:spacing w:after="160"/>
        <w:ind w:firstLine="0"/>
      </w:pPr>
      <w:r>
        <w:rPr>
          <w:rFonts w:ascii="Times New Roman" w:hAnsi="Times New Roman" w:eastAsia="宋体"/>
          <w:sz w:val="24"/>
        </w:rPr>
        <w:t>第2章 相关研究与概念框架</w:t>
      </w:r>
    </w:p>
    <w:p>
      <w:pPr>
        <w:spacing w:after="160"/>
        <w:ind w:firstLine="0"/>
      </w:pPr>
      <w:r>
        <w:rPr>
          <w:rFonts w:ascii="Times New Roman" w:hAnsi="Times New Roman" w:eastAsia="宋体"/>
          <w:sz w:val="24"/>
        </w:rPr>
        <w:t>第3章 研究设计与方法</w:t>
      </w:r>
    </w:p>
    <w:p>
      <w:pPr>
        <w:spacing w:after="160"/>
        <w:ind w:firstLine="0"/>
      </w:pPr>
      <w:r>
        <w:rPr>
          <w:rFonts w:ascii="Times New Roman" w:hAnsi="Times New Roman" w:eastAsia="宋体"/>
          <w:sz w:val="24"/>
        </w:rPr>
        <w:t>第4章 合成数据结果与流程验证</w:t>
      </w:r>
    </w:p>
    <w:p>
      <w:pPr>
        <w:spacing w:after="160"/>
        <w:ind w:firstLine="0"/>
      </w:pPr>
      <w:r>
        <w:rPr>
          <w:rFonts w:ascii="Times New Roman" w:hAnsi="Times New Roman" w:eastAsia="宋体"/>
          <w:sz w:val="24"/>
        </w:rPr>
        <w:t>第5章 讨论</w:t>
      </w:r>
    </w:p>
    <w:p>
      <w:pPr>
        <w:spacing w:after="160"/>
        <w:ind w:firstLine="0"/>
      </w:pPr>
      <w:r>
        <w:rPr>
          <w:rFonts w:ascii="Times New Roman" w:hAnsi="Times New Roman" w:eastAsia="宋体"/>
          <w:sz w:val="24"/>
        </w:rPr>
        <w:t>第6章 结论与展望</w:t>
      </w:r>
    </w:p>
    <w:p>
      <w:pPr>
        <w:spacing w:after="160"/>
        <w:ind w:firstLine="0"/>
      </w:pPr>
      <w:r>
        <w:rPr>
          <w:rFonts w:ascii="Times New Roman" w:hAnsi="Times New Roman" w:eastAsia="宋体"/>
          <w:sz w:val="24"/>
        </w:rPr>
        <w:t>参考文献</w:t>
      </w:r>
    </w:p>
    <w:p>
      <w:pPr>
        <w:spacing w:after="160"/>
        <w:ind w:firstLine="0"/>
      </w:pPr>
      <w:r>
        <w:rPr>
          <w:rFonts w:ascii="Times New Roman" w:hAnsi="Times New Roman" w:eastAsia="宋体"/>
          <w:sz w:val="24"/>
        </w:rPr>
        <w:t>附录A 观察记录字段</w:t>
      </w:r>
    </w:p>
    <w:p>
      <w:pPr>
        <w:spacing w:after="160"/>
        <w:ind w:firstLine="0"/>
      </w:pPr>
      <w:r>
        <w:rPr>
          <w:rFonts w:ascii="Times New Roman" w:hAnsi="Times New Roman" w:eastAsia="宋体"/>
          <w:sz w:val="24"/>
        </w:rPr>
        <w:t>附录B 合成样本说明</w:t>
      </w:r>
    </w:p>
    <w:p>
      <w:pPr>
        <w:spacing w:after="160"/>
        <w:ind w:firstLine="0"/>
      </w:pPr>
      <w:r>
        <w:rPr>
          <w:rFonts w:ascii="Times New Roman" w:hAnsi="Times New Roman" w:eastAsia="宋体"/>
          <w:sz w:val="24"/>
        </w:rPr>
        <w:t>致谢</w:t>
      </w:r>
    </w:p>
    <w:p>
      <w:r>
        <w:br w:type="page"/>
      </w:r>
    </w:p>
    <w:p>
      <w:pPr>
        <w:pStyle w:val="Heading1"/>
        <w:keepNext/>
        <w:spacing w:before="280" w:after="120"/>
        <w:ind w:firstLine="0"/>
      </w:pPr>
      <w:r>
        <w:rPr>
          <w:rFonts w:ascii="Times New Roman" w:hAnsi="Times New Roman" w:eastAsia="黑体"/>
          <w:b/>
          <w:sz w:val="32"/>
        </w:rPr>
        <w:t>第1章 绪论</w:t>
      </w:r>
    </w:p>
    <w:p>
      <w:pPr>
        <w:pStyle w:val="Heading2"/>
        <w:keepNext/>
        <w:spacing w:before="180" w:after="120"/>
        <w:ind w:firstLine="0"/>
      </w:pPr>
      <w:r>
        <w:rPr>
          <w:rFonts w:ascii="Times New Roman" w:hAnsi="Times New Roman" w:eastAsia="黑体"/>
          <w:b/>
          <w:sz w:val="26"/>
        </w:rPr>
        <w:t>1.1 研究背景</w:t>
      </w:r>
    </w:p>
    <w:p>
      <w:pPr>
        <w:widowControl/>
        <w:spacing w:before="0" w:after="0" w:line="360" w:lineRule="auto"/>
        <w:ind w:firstLine="420"/>
        <w:jc w:val="both"/>
      </w:pPr>
      <w:r>
        <w:rPr>
          <w:rFonts w:ascii="Times New Roman" w:hAnsi="Times New Roman" w:eastAsia="宋体"/>
          <w:sz w:val="24"/>
        </w:rPr>
        <w:t>高校图书馆在学期中承担课程学习、资料检索、协作讨论和短时休息等多种功能。随着移动设备普及，学生可以在教学楼、宿舍和图书馆之间灵活安排学习活动，但空间选择仍受座位供给、课程时间、设备条件和同行协作需求影响。管理者通常根据年度统计或人工巡查调整开放区域，难以及时发现一天之内不同区域的需求变化。本段含有</w:t>
      </w:r>
      <w:r>
        <w:rPr>
          <w:rFonts w:ascii="Times New Roman" w:hAnsi="Times New Roman" w:eastAsia="黑体"/>
          <w:sz w:val="24"/>
        </w:rPr>
        <w:t>【中文格式测试点】</w:t>
      </w:r>
      <w:r>
        <w:rPr>
          <w:rFonts w:ascii="Times New Roman" w:hAnsi="Times New Roman" w:eastAsia="宋体"/>
          <w:sz w:val="24"/>
        </w:rPr>
        <w:t>，供单项修复和悬停联动验收。</w:t>
      </w:r>
    </w:p>
    <w:p>
      <w:pPr>
        <w:widowControl/>
        <w:spacing w:before="0" w:after="0" w:line="360" w:lineRule="auto"/>
        <w:ind w:firstLine="420"/>
        <w:jc w:val="both"/>
      </w:pPr>
      <w:r>
        <w:rPr>
          <w:rFonts w:ascii="Times New Roman" w:hAnsi="Times New Roman" w:eastAsia="宋体"/>
          <w:sz w:val="24"/>
        </w:rPr>
        <w:t>本研究关注一个范围有限但具有实践意义的问题：在不收集个人身份信息的条件下，能否通过短周期、低成本的观察记录，形成可解释的空间需求判断。论文中的“北岚大学”及其全部调查记录均为虚构数据，仅用于检验论文格式分析、定位和修复流程，不描述任何真实学校或真实学生。</w:t>
      </w:r>
    </w:p>
    <w:p>
      <w:pPr>
        <w:pStyle w:val="Heading2"/>
        <w:keepNext/>
        <w:spacing w:before="180" w:after="120"/>
        <w:ind w:firstLine="0"/>
      </w:pPr>
      <w:r>
        <w:rPr>
          <w:rFonts w:ascii="Times New Roman" w:hAnsi="Times New Roman" w:eastAsia="黑体"/>
          <w:b/>
          <w:sz w:val="26"/>
        </w:rPr>
        <w:t>1.2 研究问题与目标</w:t>
      </w:r>
    </w:p>
    <w:p>
      <w:pPr>
        <w:widowControl/>
        <w:spacing w:before="0" w:after="0" w:line="360" w:lineRule="auto"/>
        <w:ind w:firstLine="420"/>
        <w:jc w:val="both"/>
      </w:pPr>
      <w:r>
        <w:rPr>
          <w:rFonts w:ascii="Times New Roman" w:hAnsi="Times New Roman" w:eastAsia="宋体"/>
          <w:sz w:val="24"/>
        </w:rPr>
        <w:t>研究围绕三个问题展开。第一，座位使用的时间变化是否足以支持对开放区域进行分时管理；第二，区域类型、课程周期和设备条件如何共同影响学生的空间选择；第三，如何把观察所得转化为便于管理人员检查的规则，而不是不可解释的单一评分。研究目标是构造一套可复现的记录方案，并用合成样本验证分析流程。此处设置</w:t>
      </w:r>
      <w:r>
        <w:rPr>
          <w:rFonts w:ascii="Times New Roman" w:hAnsi="Times New Roman" w:eastAsia="宋体"/>
          <w:sz w:val="21"/>
        </w:rPr>
        <w:t>【字号格式测试点】</w:t>
      </w:r>
      <w:r>
        <w:rPr>
          <w:rFonts w:ascii="Times New Roman" w:hAnsi="Times New Roman" w:eastAsia="宋体"/>
          <w:sz w:val="24"/>
        </w:rPr>
        <w:t>，用于验证修改和再次分析。</w:t>
      </w:r>
    </w:p>
    <w:p>
      <w:pPr>
        <w:widowControl/>
        <w:spacing w:before="0" w:after="0" w:line="360" w:lineRule="auto"/>
        <w:ind w:firstLine="420"/>
        <w:jc w:val="both"/>
      </w:pPr>
      <w:r>
        <w:rPr>
          <w:rFonts w:ascii="Times New Roman" w:hAnsi="Times New Roman" w:eastAsia="宋体"/>
          <w:sz w:val="24"/>
        </w:rPr>
        <w:t>在软件测试层面，本章还设置了明确的格式对照样本：一处汉字文本采用不同于目标值的东亚字体，一处英文句子采用不同的西文字体，一处正文片段采用不同字号。读者可在 Word 中分别查看分析卡片、原文高亮、单项修复预览以及重新分析后的剩余问题。</w:t>
      </w:r>
    </w:p>
    <w:p>
      <w:pPr>
        <w:pStyle w:val="Heading2"/>
        <w:keepNext/>
        <w:spacing w:before="180" w:after="120"/>
        <w:ind w:firstLine="0"/>
      </w:pPr>
      <w:r>
        <w:rPr>
          <w:rFonts w:ascii="Times New Roman" w:hAnsi="Times New Roman" w:eastAsia="黑体"/>
          <w:b/>
          <w:sz w:val="26"/>
        </w:rPr>
        <w:t>1.3 研究范围与论文结构</w:t>
      </w:r>
    </w:p>
    <w:p>
      <w:pPr>
        <w:widowControl/>
        <w:spacing w:before="0" w:after="0" w:line="360" w:lineRule="auto"/>
        <w:ind w:firstLine="420"/>
        <w:jc w:val="both"/>
      </w:pPr>
      <w:r>
        <w:rPr>
          <w:rFonts w:ascii="Times New Roman" w:hAnsi="Times New Roman" w:eastAsia="宋体"/>
          <w:sz w:val="24"/>
        </w:rPr>
        <w:t>研究范围限定为图书馆公共学习空间的合成使用记录，不采集姓名、学号、设备标识和精确轨迹。分析单位为区域与时间段，结果只用于说明方法能否复现。论文不尝试从少量观察推断个体偏好，也不将空间占用率解释为学习质量或学业表现。</w:t>
      </w:r>
    </w:p>
    <w:p>
      <w:pPr>
        <w:widowControl/>
        <w:spacing w:before="0" w:after="0" w:line="360" w:lineRule="auto"/>
        <w:ind w:firstLine="420"/>
        <w:jc w:val="both"/>
      </w:pPr>
      <w:r>
        <w:rPr>
          <w:rFonts w:ascii="Times New Roman" w:hAnsi="Times New Roman" w:eastAsia="宋体"/>
          <w:sz w:val="24"/>
        </w:rPr>
        <w:t>全文共六章。第一章说明问题背景、研究目标和范围；第二章回顾空间管理与需求测量的相关思路；第三章给出变量、流程和计算方法；第四章报告合成数据上的流程验证；第五章讨论误差、隐私和适用边界；第六章总结结论并提出后续工作。</w:t>
      </w:r>
    </w:p>
    <w:p>
      <w:pPr>
        <w:pStyle w:val="Heading1"/>
        <w:keepNext/>
        <w:spacing w:before="280" w:after="120"/>
        <w:ind w:firstLine="0"/>
      </w:pPr>
      <w:r>
        <w:rPr>
          <w:rFonts w:ascii="Times New Roman" w:hAnsi="Times New Roman" w:eastAsia="黑体"/>
          <w:b/>
          <w:sz w:val="32"/>
        </w:rPr>
        <w:t>第2章 相关研究与概念框架</w:t>
      </w:r>
    </w:p>
    <w:p>
      <w:pPr>
        <w:pStyle w:val="Heading2"/>
        <w:keepNext/>
        <w:spacing w:before="180" w:after="120"/>
        <w:ind w:firstLine="0"/>
      </w:pPr>
      <w:r>
        <w:rPr>
          <w:rFonts w:ascii="Times New Roman" w:hAnsi="Times New Roman" w:eastAsia="黑体"/>
          <w:b/>
          <w:sz w:val="26"/>
        </w:rPr>
        <w:t>2.1 学习空间需求的观察方法</w:t>
      </w:r>
    </w:p>
    <w:p>
      <w:pPr>
        <w:widowControl/>
        <w:spacing w:before="0" w:after="0" w:line="360" w:lineRule="auto"/>
        <w:ind w:firstLine="420"/>
        <w:jc w:val="both"/>
      </w:pPr>
      <w:r>
        <w:rPr>
          <w:rFonts w:ascii="Times New Roman" w:hAnsi="Times New Roman" w:eastAsia="宋体"/>
          <w:sz w:val="24"/>
        </w:rPr>
        <w:t>公共空间需求常通过预约记录、人工计数、短问卷或设施使用日志进行描述。不同方法观察到的对象并不相同：预约反映计划使用，现场计数反映某一时点的占用，问卷反映自我报告的偏好，设施日志则可能只记录设备状态。将这些信息合并时，必须保留时间窗口和采集边界，否则同一指标可能代表完全不同的含义。</w:t>
      </w:r>
    </w:p>
    <w:p>
      <w:pPr>
        <w:widowControl/>
        <w:spacing w:before="0" w:after="0" w:line="360" w:lineRule="auto"/>
        <w:ind w:firstLine="420"/>
        <w:jc w:val="both"/>
      </w:pPr>
      <w:r>
        <w:rPr>
          <w:rFonts w:ascii="Times New Roman" w:hAnsi="Times New Roman" w:eastAsia="宋体"/>
          <w:sz w:val="24"/>
        </w:rPr>
        <w:t>已有管理实践常把容量利用率作为空间配置的起点，但单一总量无法解释座位之间的差异。例如，安静阅读区和小组讨论区即使具有相同占用率，仍可能对应不同的拥挤感和噪声容忍度。因此本研究将空间类型作为分层变量，并同时报告人数、可用座位和活动类型。</w:t>
      </w:r>
    </w:p>
    <w:p>
      <w:pPr>
        <w:pStyle w:val="Heading2"/>
        <w:keepNext/>
        <w:spacing w:before="180" w:after="120"/>
        <w:ind w:firstLine="0"/>
      </w:pPr>
      <w:r>
        <w:rPr>
          <w:rFonts w:ascii="Times New Roman" w:hAnsi="Times New Roman" w:eastAsia="黑体"/>
          <w:b/>
          <w:sz w:val="26"/>
        </w:rPr>
        <w:t>2.2 需求分层与服务设计</w:t>
      </w:r>
    </w:p>
    <w:p>
      <w:pPr>
        <w:widowControl/>
        <w:spacing w:before="0" w:after="0" w:line="360" w:lineRule="auto"/>
        <w:ind w:firstLine="420"/>
        <w:jc w:val="both"/>
      </w:pPr>
      <w:r>
        <w:rPr>
          <w:rFonts w:ascii="Times New Roman" w:hAnsi="Times New Roman" w:eastAsia="宋体"/>
          <w:sz w:val="24"/>
        </w:rPr>
        <w:t>服务设计强调将使用场景、服务对象和资源限制联系起来。对图书馆而言，管理者面对的不是抽象的“更多座位”，而是特定时段、特定区域、特定设备组合下的服务需求。需求分层可以帮助组织观察，也可避免将所有活动压缩为一个难以解释的综合分数。</w:t>
      </w:r>
    </w:p>
    <w:p>
      <w:pPr>
        <w:widowControl/>
        <w:spacing w:before="0" w:after="0" w:line="360" w:lineRule="auto"/>
        <w:ind w:firstLine="420"/>
        <w:jc w:val="both"/>
      </w:pPr>
      <w:r>
        <w:rPr>
          <w:rFonts w:ascii="Times New Roman" w:hAnsi="Times New Roman" w:eastAsia="宋体"/>
          <w:sz w:val="24"/>
        </w:rPr>
        <w:t>本研究采用“场景—时段—区域”三层框架。场景区分个人学习与协作活动，时段按课程前后和晚间划分，区域区分安静区、讨论区和数字资源区。框架的目的不是给学生贴标签，而是使管理建议可以追溯到观测条件，并明确哪些推断仍需人工核实。</w:t>
      </w:r>
    </w:p>
    <w:p>
      <w:pPr>
        <w:pStyle w:val="Heading2"/>
        <w:keepNext/>
        <w:spacing w:before="180" w:after="120"/>
        <w:ind w:firstLine="0"/>
      </w:pPr>
      <w:r>
        <w:rPr>
          <w:rFonts w:ascii="Times New Roman" w:hAnsi="Times New Roman" w:eastAsia="黑体"/>
          <w:b/>
          <w:sz w:val="26"/>
        </w:rPr>
        <w:t>2.3 隐私保护与数据最小化</w:t>
      </w:r>
    </w:p>
    <w:p>
      <w:pPr>
        <w:widowControl/>
        <w:spacing w:before="0" w:after="0" w:line="360" w:lineRule="auto"/>
        <w:ind w:firstLine="420"/>
        <w:jc w:val="both"/>
      </w:pPr>
      <w:r>
        <w:rPr>
          <w:rFonts w:ascii="Times New Roman" w:hAnsi="Times New Roman" w:eastAsia="宋体"/>
          <w:sz w:val="24"/>
        </w:rPr>
        <w:t>空间研究可能涉及敏感行为数据。若管理目的只是估计区域使用强度，通常不需要记录个体身份或连续移动路径。数据最小化原则要求只收集回答研究问题所需的信息，并在设计阶段规定保留期限、汇总粒度和访问范围。即使数据经过汇总，也应检查小样本时段是否可能使个体被间接识别。</w:t>
      </w:r>
    </w:p>
    <w:p>
      <w:pPr>
        <w:widowControl/>
        <w:spacing w:before="0" w:after="0" w:line="360" w:lineRule="auto"/>
        <w:ind w:firstLine="420"/>
        <w:jc w:val="both"/>
      </w:pPr>
      <w:r>
        <w:rPr>
          <w:rFonts w:ascii="Times New Roman" w:hAnsi="Times New Roman" w:eastAsia="宋体"/>
          <w:sz w:val="24"/>
        </w:rPr>
        <w:t>本文采用虚构的汇总数据，目的是让测试样本具有论文结构而不包含真实调查内容。实际部署时还需由学校伦理和数据管理流程审查采集方式；本论文的演示材料不能替代伦理审批、告知或真实场地授权。</w:t>
      </w:r>
    </w:p>
    <w:p>
      <w:pPr>
        <w:pStyle w:val="Heading2"/>
        <w:keepNext/>
        <w:spacing w:before="180" w:after="120"/>
        <w:ind w:firstLine="0"/>
      </w:pPr>
      <w:r>
        <w:rPr>
          <w:rFonts w:ascii="Times New Roman" w:hAnsi="Times New Roman" w:eastAsia="黑体"/>
          <w:b/>
          <w:sz w:val="26"/>
        </w:rPr>
        <w:t>2.4 概念框架与研究假设</w:t>
      </w:r>
    </w:p>
    <w:p>
      <w:pPr>
        <w:widowControl/>
        <w:spacing w:before="0" w:after="0" w:line="360" w:lineRule="auto"/>
        <w:ind w:firstLine="420"/>
        <w:jc w:val="both"/>
      </w:pPr>
      <w:r>
        <w:rPr>
          <w:rFonts w:ascii="Times New Roman" w:hAnsi="Times New Roman" w:eastAsia="宋体"/>
          <w:sz w:val="24"/>
        </w:rPr>
        <w:t>综合前述研究，本研究把区域需求表示为时段内的平均占用、达到高占用阈值的次数、活动类型比例和设备可用率。课程周期、区域类型和服务条件作为解释变量。研究假设不预设某一种区域必然更受欢迎，而是检验这些变量是否为观察到的差异提供了可复核解释。</w:t>
      </w:r>
    </w:p>
    <w:p>
      <w:pPr>
        <w:widowControl/>
        <w:spacing w:before="0" w:after="0" w:line="360" w:lineRule="auto"/>
        <w:ind w:firstLine="420"/>
        <w:jc w:val="both"/>
      </w:pPr>
      <w:r>
        <w:rPr>
          <w:rFonts w:ascii="Times New Roman" w:hAnsi="Times New Roman" w:eastAsia="宋体"/>
          <w:sz w:val="24"/>
        </w:rPr>
        <w:t>分析框架包含两个层次：描述层回答“何时、何地、出现何种活动”；解释层比较不同场景下的需求模式。管理建议只在描述结果稳定且解释边界清楚时提出，并与数据来源和不确定性一起报告。</w:t>
      </w:r>
    </w:p>
    <w:p>
      <w:pPr>
        <w:pStyle w:val="Heading1"/>
        <w:keepNext/>
        <w:spacing w:before="280" w:after="120"/>
        <w:ind w:firstLine="0"/>
      </w:pPr>
      <w:r>
        <w:rPr>
          <w:rFonts w:ascii="Times New Roman" w:hAnsi="Times New Roman" w:eastAsia="黑体"/>
          <w:b/>
          <w:sz w:val="32"/>
        </w:rPr>
        <w:t>第3章 研究设计与方法</w:t>
      </w:r>
    </w:p>
    <w:p>
      <w:pPr>
        <w:pStyle w:val="Heading2"/>
        <w:keepNext/>
        <w:spacing w:before="180" w:after="120"/>
        <w:ind w:firstLine="0"/>
      </w:pPr>
      <w:r>
        <w:rPr>
          <w:rFonts w:ascii="Times New Roman" w:hAnsi="Times New Roman" w:eastAsia="黑体"/>
          <w:b/>
          <w:sz w:val="26"/>
        </w:rPr>
        <w:t>3.1 研究流程</w:t>
      </w:r>
    </w:p>
    <w:p>
      <w:pPr>
        <w:widowControl/>
        <w:spacing w:before="0" w:after="0" w:line="360" w:lineRule="auto"/>
        <w:ind w:firstLine="420"/>
        <w:jc w:val="both"/>
      </w:pPr>
      <w:r>
        <w:rPr>
          <w:rFonts w:ascii="Times New Roman" w:hAnsi="Times New Roman" w:eastAsia="宋体"/>
          <w:sz w:val="24"/>
        </w:rPr>
        <w:t>研究流程分为问题界定、字段设计、观察记录、数据校验、分层汇总和建议复核六步。每一步都保留输入和输出说明，使另一名分析者能够按照相同口径重算指标。记录表在正式使用前先用虚构数据进行试填，检查字段定义是否存在相互矛盾或难以判断的情况。</w:t>
      </w:r>
    </w:p>
    <w:p>
      <w:pPr>
        <w:widowControl/>
        <w:spacing w:before="0" w:after="0" w:line="360" w:lineRule="auto"/>
        <w:ind w:firstLine="420"/>
        <w:jc w:val="both"/>
      </w:pPr>
      <w:r>
        <w:rPr>
          <w:rFonts w:ascii="Times New Roman" w:hAnsi="Times New Roman" w:eastAsia="宋体"/>
          <w:sz w:val="24"/>
        </w:rPr>
        <w:t>观察员仅记录预先定义的区域级数量和活动类别，不追踪个人。每个时间段采用相同长度的观察窗口，遇到临时闭馆、设备维护或特殊活动时，将该时段标记为不可比较，而不以零占用代替缺失值。</w:t>
      </w:r>
    </w:p>
    <w:p>
      <w:pPr>
        <w:pStyle w:val="Heading2"/>
        <w:keepNext/>
        <w:spacing w:before="180" w:after="120"/>
        <w:ind w:firstLine="0"/>
      </w:pPr>
      <w:r>
        <w:rPr>
          <w:rFonts w:ascii="Times New Roman" w:hAnsi="Times New Roman" w:eastAsia="黑体"/>
          <w:b/>
          <w:sz w:val="26"/>
        </w:rPr>
        <w:t>3.2 变量操作化</w:t>
      </w:r>
    </w:p>
    <w:p>
      <w:pPr>
        <w:widowControl/>
        <w:spacing w:before="0" w:after="0" w:line="360" w:lineRule="auto"/>
        <w:ind w:firstLine="420"/>
        <w:jc w:val="both"/>
      </w:pPr>
      <w:r>
        <w:rPr>
          <w:rFonts w:ascii="Times New Roman" w:hAnsi="Times New Roman" w:eastAsia="宋体"/>
          <w:sz w:val="24"/>
        </w:rPr>
        <w:t>区域占用率定义为观察时点在用座位数与可使用座位数之比。设备可用率定义为可正常使用设备数与计划开放设备数之比。协作活动比例则用记录为讨论或共同操作的座位数除以可分类活动总数。三项指标的分母和缺失处理规则在计算前固定，避免结果出来后调整口径。</w:t>
      </w:r>
    </w:p>
    <w:p>
      <w:pPr>
        <w:widowControl/>
        <w:spacing w:before="0" w:after="0" w:line="360" w:lineRule="auto"/>
        <w:ind w:firstLine="420"/>
        <w:jc w:val="both"/>
      </w:pPr>
      <w:r>
        <w:rPr>
          <w:rFonts w:ascii="Times New Roman" w:hAnsi="Times New Roman" w:eastAsia="宋体"/>
          <w:sz w:val="24"/>
        </w:rPr>
        <w:t>所有指标均按区域类型和时段分别汇总。若某一时段的有效观察次数不足，则只报告原始计数与缺失说明，不进行趋势外推。课程周与非课程周分开呈现，避免把日历结构变化误判为长期需求变化。</w:t>
      </w:r>
    </w:p>
    <w:p>
      <w:pPr>
        <w:pStyle w:val="Heading2"/>
        <w:keepNext/>
        <w:spacing w:before="180" w:after="120"/>
        <w:ind w:firstLine="0"/>
      </w:pPr>
      <w:r>
        <w:rPr>
          <w:rFonts w:ascii="Times New Roman" w:hAnsi="Times New Roman" w:eastAsia="黑体"/>
          <w:b/>
          <w:sz w:val="26"/>
        </w:rPr>
        <w:t>3.3 数据质量控制</w:t>
      </w:r>
    </w:p>
    <w:p>
      <w:pPr>
        <w:widowControl/>
        <w:spacing w:before="0" w:after="0" w:line="360" w:lineRule="auto"/>
        <w:ind w:firstLine="420"/>
        <w:jc w:val="both"/>
      </w:pPr>
      <w:r>
        <w:rPr>
          <w:rFonts w:ascii="Times New Roman" w:hAnsi="Times New Roman" w:eastAsia="宋体"/>
          <w:sz w:val="24"/>
        </w:rPr>
        <w:t>数据校验包括范围检查、字段完整性检查和重复记录检查。占用数不得超过可用座位数；开放时间之外的记录需要备注；区域代码必须来自固定字典。两名观察员对抽取的记录进行独立分类，分歧先依据操作手册复核，无法一致时保留“不确定”类别。</w:t>
      </w:r>
    </w:p>
    <w:p>
      <w:pPr>
        <w:widowControl/>
        <w:spacing w:before="0" w:after="0" w:line="360" w:lineRule="auto"/>
        <w:ind w:firstLine="420"/>
        <w:jc w:val="both"/>
      </w:pPr>
      <w:r>
        <w:rPr>
          <w:rFonts w:ascii="Times New Roman" w:hAnsi="Times New Roman" w:eastAsia="宋体"/>
          <w:sz w:val="24"/>
        </w:rPr>
        <w:t>记录完成后由脚本生成不可变的原始导出文件和清洗日志。清洗步骤只进行格式统一、重复项核验和缺失标记，不对个别记录进行推测性补全。论文中的流程测试进一步把正文、题注和表格单元格分开，防止将正文规则误用在对象范围不同的段落上。</w:t>
      </w:r>
    </w:p>
    <w:p>
      <w:pPr>
        <w:pStyle w:val="Heading2"/>
        <w:keepNext/>
        <w:spacing w:before="180" w:after="120"/>
        <w:ind w:firstLine="0"/>
      </w:pPr>
      <w:r>
        <w:rPr>
          <w:rFonts w:ascii="Times New Roman" w:hAnsi="Times New Roman" w:eastAsia="黑体"/>
          <w:b/>
          <w:sz w:val="26"/>
        </w:rPr>
        <w:t>3.4 指标计算与比较</w:t>
      </w:r>
    </w:p>
    <w:p>
      <w:pPr>
        <w:widowControl/>
        <w:spacing w:before="0" w:after="0" w:line="360" w:lineRule="auto"/>
        <w:ind w:firstLine="420"/>
        <w:jc w:val="both"/>
      </w:pPr>
      <w:r>
        <w:rPr>
          <w:rFonts w:ascii="Times New Roman" w:hAnsi="Times New Roman" w:eastAsia="宋体"/>
          <w:sz w:val="24"/>
        </w:rPr>
        <w:t>对区域 r 在时段 t 的占用率计算式如下。该式仅用于合成数据的演示，不对真实图书馆提供容量规划结论。</w:t>
      </w:r>
    </w:p>
    <w:p>
      <w:pPr>
        <w:ind w:firstLine="0"/>
        <w:jc w:val="center"/>
      </w:pPr>
      <w:r>
        <w:rPr>
          <w:rFonts w:ascii="Times New Roman" w:hAnsi="Times New Roman" w:eastAsia="宋体"/>
          <w:i/>
          <w:sz w:val="24"/>
        </w:rPr>
        <w:t>U(r,t) = N(r,t) / C(r,t)</w:t>
      </w:r>
    </w:p>
    <w:p>
      <w:pPr>
        <w:widowControl/>
        <w:spacing w:before="0" w:after="0" w:line="360" w:lineRule="auto"/>
        <w:ind w:firstLine="420"/>
        <w:jc w:val="both"/>
      </w:pPr>
      <w:r>
        <w:rPr>
          <w:rFonts w:ascii="Times New Roman" w:hAnsi="Times New Roman" w:eastAsia="宋体"/>
          <w:sz w:val="24"/>
        </w:rPr>
        <w:t>其中，U(r,t)表示区域r在时段t的座位占用率，N(r,t)表示该时段观察到的使用座位数，C(r,t)表示同时段可使用座位数。分母为零或区域未开放时，该记录标记为不适用，不赋值为零。</w:t>
      </w:r>
    </w:p>
    <w:p>
      <w:pPr>
        <w:spacing w:before="120" w:after="120" w:line="240" w:lineRule="auto"/>
        <w:ind w:firstLine="0"/>
        <w:jc w:val="center"/>
      </w:pPr>
      <w:r>
        <w:rPr>
          <w:rFonts w:ascii="Times New Roman" w:hAnsi="Times New Roman" w:eastAsia="宋体"/>
          <w:sz w:val="21"/>
        </w:rPr>
        <w:t>表3.1　观察变量与计算口径</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变量</w:t>
            </w:r>
          </w:p>
        </w:tc>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定义</w:t>
            </w:r>
          </w:p>
        </w:tc>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汇总单位</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区域占用率</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使用座位数/开放座位数</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区域×时段</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设备可用率</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正常设备数/计划开放设备数</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区域×观察日</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协作活动比例</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协作活动数/可分类活动总数</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区域×时段</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记录完整度</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有效字段数/应填字段数</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单条观察记录</w:t>
            </w:r>
          </w:p>
        </w:tc>
      </w:tr>
    </w:tbl>
    <w:p>
      <w:pPr>
        <w:pStyle w:val="Heading1"/>
        <w:keepNext/>
        <w:spacing w:before="280" w:after="120"/>
        <w:ind w:firstLine="0"/>
      </w:pPr>
      <w:r>
        <w:rPr>
          <w:rFonts w:ascii="Times New Roman" w:hAnsi="Times New Roman" w:eastAsia="黑体"/>
          <w:b/>
          <w:sz w:val="32"/>
        </w:rPr>
        <w:t>第4章 合成数据结果与流程验证</w:t>
      </w:r>
    </w:p>
    <w:p>
      <w:pPr>
        <w:pStyle w:val="Heading2"/>
        <w:keepNext/>
        <w:spacing w:before="180" w:after="120"/>
        <w:ind w:firstLine="0"/>
      </w:pPr>
      <w:r>
        <w:rPr>
          <w:rFonts w:ascii="Times New Roman" w:hAnsi="Times New Roman" w:eastAsia="黑体"/>
          <w:b/>
          <w:sz w:val="26"/>
        </w:rPr>
        <w:t>4.1 样本结构</w:t>
      </w:r>
    </w:p>
    <w:p>
      <w:pPr>
        <w:widowControl/>
        <w:spacing w:before="0" w:after="0" w:line="360" w:lineRule="auto"/>
        <w:ind w:firstLine="420"/>
        <w:jc w:val="both"/>
      </w:pPr>
      <w:r>
        <w:rPr>
          <w:rFonts w:ascii="Times New Roman" w:hAnsi="Times New Roman" w:eastAsia="宋体"/>
          <w:sz w:val="24"/>
        </w:rPr>
        <w:t>为验证统计流程，构造了六周的合成观察记录，覆盖三个虚构区域和四种时段。每周安排相同数量的工作日观察点，另设置部分设备维护和临时关闭记录，用于测试缺失标记是否被错误解释为低需求。所有数值均由脚本生成，未从真实场地采集。</w:t>
      </w:r>
    </w:p>
    <w:p>
      <w:pPr>
        <w:widowControl/>
        <w:spacing w:before="0" w:after="0" w:line="360" w:lineRule="auto"/>
        <w:ind w:firstLine="420"/>
        <w:jc w:val="both"/>
      </w:pPr>
      <w:r>
        <w:rPr>
          <w:rFonts w:ascii="Times New Roman" w:hAnsi="Times New Roman" w:eastAsia="宋体"/>
          <w:sz w:val="24"/>
        </w:rPr>
        <w:t>样本中安静区的可用座位较多，讨论区的协作活动比例较高，数字资源区的设备可用率具有周际变化。该结构仅用于让表格和图示具有不同数据形态，不代表任何真实学校的服务现状。</w:t>
      </w:r>
    </w:p>
    <w:p>
      <w:pPr>
        <w:pStyle w:val="Heading2"/>
        <w:keepNext/>
        <w:spacing w:before="180" w:after="120"/>
        <w:ind w:firstLine="0"/>
      </w:pPr>
      <w:r>
        <w:rPr>
          <w:rFonts w:ascii="Times New Roman" w:hAnsi="Times New Roman" w:eastAsia="黑体"/>
          <w:b/>
          <w:sz w:val="26"/>
        </w:rPr>
        <w:t>4.2 区域使用概况</w:t>
      </w:r>
    </w:p>
    <w:p>
      <w:pPr>
        <w:widowControl/>
        <w:spacing w:before="0" w:after="0" w:line="360" w:lineRule="auto"/>
        <w:ind w:firstLine="420"/>
        <w:jc w:val="both"/>
      </w:pPr>
      <w:r>
        <w:rPr>
          <w:rFonts w:ascii="Times New Roman" w:hAnsi="Times New Roman" w:eastAsia="宋体"/>
          <w:sz w:val="24"/>
        </w:rPr>
        <w:t>表4-1展示样本期各类区域的汇总指标。安静区的合成平均占用率为0.72，讨论区为0.66，数字资源区为0.59。高占用时段次数与平均占用率并不完全一致，说明只观察平均值会遮蔽短时拥挤情况。</w:t>
      </w:r>
    </w:p>
    <w:p>
      <w:pPr>
        <w:widowControl/>
        <w:spacing w:before="0" w:after="0" w:line="360" w:lineRule="auto"/>
        <w:ind w:firstLine="420"/>
        <w:jc w:val="both"/>
      </w:pPr>
      <w:r>
        <w:rPr>
          <w:rFonts w:ascii="Times New Roman" w:hAnsi="Times New Roman" w:eastAsia="宋体"/>
          <w:sz w:val="24"/>
        </w:rPr>
        <w:t>表中可用率按计划开放设备计算。若设备维护导致某一时段不可用，该时段不应计入“无人使用”的观察。不同指标在样本规模较小时容易受到观察安排影响，因此结果仅作流程核对，不进行显著性或因果解释。</w:t>
      </w:r>
    </w:p>
    <w:p>
      <w:pPr>
        <w:pStyle w:val="Heading2"/>
        <w:keepNext/>
        <w:spacing w:before="180" w:after="120"/>
        <w:ind w:firstLine="0"/>
      </w:pPr>
      <w:r>
        <w:rPr>
          <w:rFonts w:ascii="Times New Roman" w:hAnsi="Times New Roman" w:eastAsia="黑体"/>
          <w:b/>
          <w:sz w:val="26"/>
        </w:rPr>
        <w:t>4.3 时段变化</w:t>
      </w:r>
    </w:p>
    <w:p>
      <w:pPr>
        <w:widowControl/>
        <w:spacing w:before="0" w:after="0" w:line="360" w:lineRule="auto"/>
        <w:ind w:firstLine="420"/>
        <w:jc w:val="both"/>
      </w:pPr>
      <w:r>
        <w:rPr>
          <w:rFonts w:ascii="Times New Roman" w:hAnsi="Times New Roman" w:eastAsia="宋体"/>
          <w:sz w:val="24"/>
        </w:rPr>
        <w:t>图4-1显示四个时段的合成平均占用水平。下午时段较高，午间和晚间次之，上午相对较低。趋势的作用是测试图像插入、题注识别和文字引用是否可以共同保存在 Word 文件中；不应用于调整真实开放时间。</w:t>
      </w:r>
    </w:p>
    <w:p>
      <w:pPr>
        <w:widowControl/>
        <w:spacing w:before="0" w:after="0" w:line="360" w:lineRule="auto"/>
        <w:ind w:firstLine="420"/>
        <w:jc w:val="both"/>
      </w:pPr>
      <w:r>
        <w:rPr>
          <w:rFonts w:ascii="Times New Roman" w:hAnsi="Times New Roman" w:eastAsia="宋体"/>
          <w:sz w:val="24"/>
        </w:rPr>
        <w:t>在实际研究中，还需要结合课程表、天气、考试周和开放区域变化判断趋势。若只选择观察方便的日期，估计值可能系统性偏高或偏低；因此后续实施应预先登记观察窗口，并保存因故缺测的说明。</w:t>
      </w:r>
    </w:p>
    <w:p>
      <w:pPr>
        <w:pStyle w:val="Heading2"/>
        <w:keepNext/>
        <w:spacing w:before="180" w:after="120"/>
        <w:ind w:firstLine="0"/>
      </w:pPr>
      <w:r>
        <w:rPr>
          <w:rFonts w:ascii="Times New Roman" w:hAnsi="Times New Roman" w:eastAsia="黑体"/>
          <w:b/>
          <w:sz w:val="26"/>
        </w:rPr>
        <w:t>4.4 流程检验</w:t>
      </w:r>
    </w:p>
    <w:p>
      <w:pPr>
        <w:widowControl/>
        <w:spacing w:before="0" w:after="0" w:line="360" w:lineRule="auto"/>
        <w:ind w:firstLine="420"/>
        <w:jc w:val="both"/>
      </w:pPr>
      <w:r>
        <w:rPr>
          <w:rFonts w:ascii="Times New Roman" w:hAnsi="Times New Roman" w:eastAsia="宋体"/>
          <w:sz w:val="24"/>
        </w:rPr>
        <w:t>合成测试覆盖了正文中文字体、英文西文字体和字号三个已实现的诊断入口，并在文档中加入多段正文、图、表、公式、参考文献和附录。</w:t>
      </w:r>
      <w:r>
        <w:rPr>
          <w:rFonts w:ascii="Arial" w:hAnsi="Arial" w:eastAsia="宋体"/>
          <w:sz w:val="24"/>
        </w:rPr>
        <w:t>SYNTHETIC ENGLISH FORMAT CHECK</w:t>
      </w:r>
      <w:r>
        <w:rPr>
          <w:rFonts w:ascii="Times New Roman" w:hAnsi="Times New Roman" w:eastAsia="宋体"/>
          <w:sz w:val="24"/>
        </w:rPr>
        <w:t xml:space="preserve"> is an intentionally malformed English run for verifying Latin-font detection. 表格单元格与图表题注被排除在正文规则之外，主要用于检查段落索引和修复定位不会因复杂结构而静默偏移。</w:t>
      </w:r>
    </w:p>
    <w:p>
      <w:pPr>
        <w:widowControl/>
        <w:spacing w:before="0" w:after="0" w:line="360" w:lineRule="auto"/>
        <w:ind w:firstLine="420"/>
        <w:jc w:val="both"/>
      </w:pPr>
      <w:r>
        <w:rPr>
          <w:rFonts w:ascii="Times New Roman" w:hAnsi="Times New Roman" w:eastAsia="宋体"/>
          <w:sz w:val="24"/>
        </w:rPr>
        <w:t>本轮演示的验收重点是：所选段落位置与 Word 中的实际文字相同；问题卡片给出期望值和实际值；单项与批量修复预览列出将修改的段落；修复写入当前文档后重新分析，已修复位置不再出现同一诊断。对规则未覆盖的图像清晰度或表格样式，系统应显示未覆盖，而不是生成自动修复。</w:t>
      </w:r>
    </w:p>
    <w:p>
      <w:pPr>
        <w:spacing w:before="120" w:after="120" w:line="240" w:lineRule="auto"/>
        <w:ind w:firstLine="0"/>
        <w:jc w:val="center"/>
      </w:pPr>
      <w:r>
        <w:rPr>
          <w:rFonts w:ascii="Times New Roman" w:hAnsi="Times New Roman" w:eastAsia="宋体"/>
          <w:sz w:val="21"/>
        </w:rPr>
        <w:t>表4.1　合成样本的区域汇总指标</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虚构区域</w:t>
            </w:r>
          </w:p>
        </w:tc>
        <w:tc>
          <w:tcPr>
            <w:tcW w:type="dxa" w:w="2280"/>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平均占用率</w:t>
            </w:r>
          </w:p>
        </w:tc>
        <w:tc>
          <w:tcPr>
            <w:tcW w:type="dxa" w:w="2280"/>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高占用时段数</w:t>
            </w:r>
          </w:p>
        </w:tc>
        <w:tc>
          <w:tcPr>
            <w:tcW w:type="dxa" w:w="2280"/>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设备可用率</w:t>
            </w:r>
          </w:p>
        </w:tc>
      </w:tr>
      <w:tr>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安静学习区</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0.72</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18</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0.98</w:t>
            </w:r>
          </w:p>
        </w:tc>
      </w:tr>
      <w:tr>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协作讨论区</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0.66</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14</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0.96</w:t>
            </w:r>
          </w:p>
        </w:tc>
      </w:tr>
      <w:tr>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数字资源区</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0.59</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9</w:t>
            </w:r>
          </w:p>
        </w:tc>
        <w:tc>
          <w:tcPr>
            <w:tcW w:type="dxa" w:w="2280"/>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0.91</w:t>
            </w:r>
          </w:p>
        </w:tc>
      </w:tr>
    </w:tbl>
    <w:p>
      <w:pPr>
        <w:jc w:val="center"/>
      </w:pPr>
      <w:r>
        <w:drawing>
          <wp:inline xmlns:a="http://schemas.openxmlformats.org/drawingml/2006/main" xmlns:pic="http://schemas.openxmlformats.org/drawingml/2006/picture">
            <wp:extent cx="4937760" cy="255117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2551176"/>
                    </a:xfrm>
                    <a:prstGeom prst="rect"/>
                  </pic:spPr>
                </pic:pic>
              </a:graphicData>
            </a:graphic>
          </wp:inline>
        </w:drawing>
      </w:r>
    </w:p>
    <w:p>
      <w:pPr>
        <w:spacing w:before="0" w:after="0" w:line="360" w:lineRule="auto"/>
        <w:ind w:firstLine="0"/>
        <w:jc w:val="left"/>
      </w:pPr>
      <w:r>
        <w:rPr>
          <w:rFonts w:ascii="Times New Roman" w:hAnsi="Times New Roman" w:eastAsia="黑体"/>
          <w:sz w:val="24"/>
        </w:rPr>
        <w:t>图4.1　不同时段的合成平均占用水平</w:t>
      </w:r>
    </w:p>
    <w:p>
      <w:pPr>
        <w:spacing w:before="120" w:after="120" w:line="240" w:lineRule="auto"/>
        <w:ind w:firstLine="0"/>
        <w:jc w:val="center"/>
      </w:pPr>
      <w:r>
        <w:rPr>
          <w:rFonts w:ascii="Times New Roman" w:hAnsi="Times New Roman" w:eastAsia="宋体"/>
          <w:sz w:val="21"/>
        </w:rPr>
        <w:t>表4.2　数据质量检查结果（合成样本）</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检查项</w:t>
            </w:r>
          </w:p>
        </w:tc>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记录数</w:t>
            </w:r>
          </w:p>
        </w:tc>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处理方式</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字段完整</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486</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进入汇总</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设备维护</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12</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标记后单独说明</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临时关闭</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6</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排除占用率分母</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重复记录</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0</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无须删除</w:t>
            </w:r>
          </w:p>
        </w:tc>
      </w:tr>
    </w:tbl>
    <w:p>
      <w:pPr>
        <w:jc w:val="center"/>
      </w:pPr>
      <w:r>
        <w:drawing>
          <wp:inline xmlns:a="http://schemas.openxmlformats.org/drawingml/2006/main" xmlns:pic="http://schemas.openxmlformats.org/drawingml/2006/picture">
            <wp:extent cx="4937760" cy="255117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551176"/>
                    </a:xfrm>
                    <a:prstGeom prst="rect"/>
                  </pic:spPr>
                </pic:pic>
              </a:graphicData>
            </a:graphic>
          </wp:inline>
        </w:drawing>
      </w:r>
    </w:p>
    <w:p>
      <w:pPr>
        <w:spacing w:before="120" w:after="240" w:line="240" w:lineRule="auto"/>
        <w:ind w:firstLine="0"/>
        <w:jc w:val="center"/>
      </w:pPr>
      <w:r>
        <w:rPr>
          <w:rFonts w:ascii="Times New Roman" w:hAnsi="Times New Roman" w:eastAsia="宋体"/>
          <w:sz w:val="21"/>
        </w:rPr>
        <w:t>图4.2　合成数据处理与复核流程</w:t>
      </w:r>
    </w:p>
    <w:p>
      <w:pPr>
        <w:pStyle w:val="Heading1"/>
        <w:keepNext/>
        <w:spacing w:before="280" w:after="120"/>
        <w:ind w:firstLine="0"/>
      </w:pPr>
      <w:r>
        <w:rPr>
          <w:rFonts w:ascii="Times New Roman" w:hAnsi="Times New Roman" w:eastAsia="黑体"/>
          <w:b/>
          <w:sz w:val="32"/>
        </w:rPr>
        <w:t>第5章 讨论</w:t>
      </w:r>
    </w:p>
    <w:p>
      <w:pPr>
        <w:pStyle w:val="Heading2"/>
        <w:keepNext/>
        <w:spacing w:before="180" w:after="120"/>
        <w:ind w:firstLine="0"/>
      </w:pPr>
      <w:r>
        <w:rPr>
          <w:rFonts w:ascii="Times New Roman" w:hAnsi="Times New Roman" w:eastAsia="黑体"/>
          <w:b/>
          <w:sz w:val="26"/>
        </w:rPr>
        <w:t>5.1 结果解释</w:t>
      </w:r>
    </w:p>
    <w:p>
      <w:pPr>
        <w:widowControl/>
        <w:spacing w:before="0" w:after="0" w:line="360" w:lineRule="auto"/>
        <w:ind w:firstLine="420"/>
        <w:jc w:val="both"/>
      </w:pPr>
      <w:r>
        <w:rPr>
          <w:rFonts w:ascii="Times New Roman" w:hAnsi="Times New Roman" w:eastAsia="宋体"/>
          <w:sz w:val="24"/>
        </w:rPr>
        <w:t>合成样本展示了分层记录和简单汇总的可操作性，但并未证明这些指标足以代表空间服务质量。占用率高可能意味着需求旺盛，也可能意味着替代空间不足；占用率低可能与时间安排、设备条件或区域定位有关。解释时需要把使用数据与服务目标同时纳入讨论。</w:t>
      </w:r>
    </w:p>
    <w:p>
      <w:pPr>
        <w:widowControl/>
        <w:spacing w:before="0" w:after="0" w:line="360" w:lineRule="auto"/>
        <w:ind w:firstLine="420"/>
        <w:jc w:val="both"/>
      </w:pPr>
      <w:r>
        <w:rPr>
          <w:rFonts w:ascii="Times New Roman" w:hAnsi="Times New Roman" w:eastAsia="宋体"/>
          <w:sz w:val="24"/>
        </w:rPr>
        <w:t>研究流程的价值主要在于建立透明的数据口径。管理者可以从原始观察追溯到汇总指标，也可检查维护记录或缺测情况是否影响结论。若缺少这样的过程信息，单个数字即使计算正确，也可能被赋予超出数据能力的意义。</w:t>
      </w:r>
    </w:p>
    <w:p>
      <w:pPr>
        <w:pStyle w:val="Heading2"/>
        <w:keepNext/>
        <w:spacing w:before="180" w:after="120"/>
        <w:ind w:firstLine="0"/>
      </w:pPr>
      <w:r>
        <w:rPr>
          <w:rFonts w:ascii="Times New Roman" w:hAnsi="Times New Roman" w:eastAsia="黑体"/>
          <w:b/>
          <w:sz w:val="26"/>
        </w:rPr>
        <w:t>5.2 方法局限</w:t>
      </w:r>
    </w:p>
    <w:p>
      <w:pPr>
        <w:widowControl/>
        <w:spacing w:before="0" w:after="0" w:line="360" w:lineRule="auto"/>
        <w:ind w:firstLine="420"/>
        <w:jc w:val="both"/>
      </w:pPr>
      <w:r>
        <w:rPr>
          <w:rFonts w:ascii="Times New Roman" w:hAnsi="Times New Roman" w:eastAsia="宋体"/>
          <w:sz w:val="24"/>
        </w:rPr>
        <w:t>第一，固定观察窗口不能捕捉连续变化，可能错过高峰的开始和结束。第二，活动分类仍需要观察员判断，不同人员对“讨论”和“个人协作”的边界可能理解不同。第三，样本只为格式和流程验收而合成，不可据此评估任何真实场地。</w:t>
      </w:r>
    </w:p>
    <w:p>
      <w:pPr>
        <w:widowControl/>
        <w:spacing w:before="0" w:after="0" w:line="360" w:lineRule="auto"/>
        <w:ind w:firstLine="420"/>
        <w:jc w:val="both"/>
      </w:pPr>
      <w:r>
        <w:rPr>
          <w:rFonts w:ascii="Times New Roman" w:hAnsi="Times New Roman" w:eastAsia="宋体"/>
          <w:sz w:val="24"/>
        </w:rPr>
        <w:t>此外，数据表格中的分类和值需要专业人员复核；自动统计不理解具体学科、课程安排和无障碍需求。更完整的研究应进行观察员一致性培训，开展小规模预测试，并将方案提交给相应的伦理与数据管理审查。</w:t>
      </w:r>
    </w:p>
    <w:p>
      <w:pPr>
        <w:pStyle w:val="Heading2"/>
        <w:keepNext/>
        <w:spacing w:before="180" w:after="120"/>
        <w:ind w:firstLine="0"/>
      </w:pPr>
      <w:r>
        <w:rPr>
          <w:rFonts w:ascii="Times New Roman" w:hAnsi="Times New Roman" w:eastAsia="黑体"/>
          <w:b/>
          <w:sz w:val="26"/>
        </w:rPr>
        <w:t>5.3 隐私与治理</w:t>
      </w:r>
    </w:p>
    <w:p>
      <w:pPr>
        <w:widowControl/>
        <w:spacing w:before="0" w:after="0" w:line="360" w:lineRule="auto"/>
        <w:ind w:firstLine="420"/>
        <w:jc w:val="both"/>
      </w:pPr>
      <w:r>
        <w:rPr>
          <w:rFonts w:ascii="Times New Roman" w:hAnsi="Times New Roman" w:eastAsia="宋体"/>
          <w:sz w:val="24"/>
        </w:rPr>
        <w:t>即使研究不记录姓名，摄像、无线网络日志或门禁记录仍可能形成可识别轨迹，因此本研究不建议把此类数据作为默认输入。若管理任务确需使用已有系统数据，应先论证必要性，缩短保留时间，限制访问人员，并优先输出不可逆的区域级汇总。</w:t>
      </w:r>
    </w:p>
    <w:p>
      <w:pPr>
        <w:widowControl/>
        <w:spacing w:before="0" w:after="0" w:line="360" w:lineRule="auto"/>
        <w:ind w:firstLine="420"/>
        <w:jc w:val="both"/>
      </w:pPr>
      <w:r>
        <w:rPr>
          <w:rFonts w:ascii="Times New Roman" w:hAnsi="Times New Roman" w:eastAsia="宋体"/>
          <w:sz w:val="24"/>
        </w:rPr>
        <w:t>数据治理还包括对模型建议的约束。管理者不应仅根据某个区域的平均值减少服务供给，也不应把统计标签用于评价个人。论文呈现了数据的生成和汇总方法，但实际部署仍应由场地负责部门判断影响并向使用者说明。</w:t>
      </w:r>
    </w:p>
    <w:p>
      <w:pPr>
        <w:pStyle w:val="Heading2"/>
        <w:keepNext/>
        <w:spacing w:before="180" w:after="120"/>
        <w:ind w:firstLine="0"/>
      </w:pPr>
      <w:r>
        <w:rPr>
          <w:rFonts w:ascii="Times New Roman" w:hAnsi="Times New Roman" w:eastAsia="黑体"/>
          <w:b/>
          <w:sz w:val="26"/>
        </w:rPr>
        <w:t>5.4 实施建议</w:t>
      </w:r>
    </w:p>
    <w:p>
      <w:pPr>
        <w:widowControl/>
        <w:spacing w:before="0" w:after="0" w:line="360" w:lineRule="auto"/>
        <w:ind w:firstLine="420"/>
        <w:jc w:val="both"/>
      </w:pPr>
      <w:r>
        <w:rPr>
          <w:rFonts w:ascii="Times New Roman" w:hAnsi="Times New Roman" w:eastAsia="宋体"/>
          <w:sz w:val="24"/>
        </w:rPr>
        <w:t>建议按小步试点推进：先由管理人员共同定义区域和时段，再使用不含个人标识的观察表开展短周期测试；核对字段是否容易理解后，才扩大到更多日期。每轮结果都记录数据质量、服务调整和后续观察，避免一次性统计长期固化为不适用的规则。</w:t>
      </w:r>
    </w:p>
    <w:p>
      <w:pPr>
        <w:widowControl/>
        <w:spacing w:before="0" w:after="0" w:line="360" w:lineRule="auto"/>
        <w:ind w:firstLine="420"/>
        <w:jc w:val="both"/>
      </w:pPr>
      <w:r>
        <w:rPr>
          <w:rFonts w:ascii="Times New Roman" w:hAnsi="Times New Roman" w:eastAsia="宋体"/>
          <w:sz w:val="24"/>
        </w:rPr>
        <w:t>涉及区域用途改变、设备采购或开放时间调整时，应让空间使用者和一线工作人员参与讨论。对样本不足、来源冲突或无法比较的时段，应保留不确定性说明，而不是给出看似精确的结论。</w:t>
      </w:r>
    </w:p>
    <w:p>
      <w:pPr>
        <w:pStyle w:val="Heading1"/>
        <w:keepNext/>
        <w:spacing w:before="280" w:after="120"/>
        <w:ind w:firstLine="0"/>
      </w:pPr>
      <w:r>
        <w:rPr>
          <w:rFonts w:ascii="Times New Roman" w:hAnsi="Times New Roman" w:eastAsia="黑体"/>
          <w:b/>
          <w:sz w:val="32"/>
        </w:rPr>
        <w:t>第6章 结论与展望</w:t>
      </w:r>
    </w:p>
    <w:p>
      <w:pPr>
        <w:pStyle w:val="Heading2"/>
        <w:keepNext/>
        <w:spacing w:before="180" w:after="120"/>
        <w:ind w:firstLine="0"/>
      </w:pPr>
      <w:r>
        <w:rPr>
          <w:rFonts w:ascii="Times New Roman" w:hAnsi="Times New Roman" w:eastAsia="黑体"/>
          <w:b/>
          <w:sz w:val="26"/>
        </w:rPr>
        <w:t>6.1 主要结论</w:t>
      </w:r>
    </w:p>
    <w:p>
      <w:pPr>
        <w:widowControl/>
        <w:spacing w:before="0" w:after="0" w:line="360" w:lineRule="auto"/>
        <w:ind w:firstLine="420"/>
        <w:jc w:val="both"/>
      </w:pPr>
      <w:r>
        <w:rPr>
          <w:rFonts w:ascii="Times New Roman" w:hAnsi="Times New Roman" w:eastAsia="宋体"/>
          <w:sz w:val="24"/>
        </w:rPr>
        <w:t>本研究构造了一套面向公共学习空间的场景—时段—区域记录框架，并说明了占用、活动和设备指标的计算边界。合成数据表明，按区域和时段组织记录有助于检查流程的一致性；多个指标并列呈现也比单一综合分数更容易解释。</w:t>
      </w:r>
    </w:p>
    <w:p>
      <w:pPr>
        <w:widowControl/>
        <w:spacing w:before="0" w:after="0" w:line="360" w:lineRule="auto"/>
        <w:ind w:firstLine="420"/>
        <w:jc w:val="both"/>
      </w:pPr>
      <w:r>
        <w:rPr>
          <w:rFonts w:ascii="Times New Roman" w:hAnsi="Times New Roman" w:eastAsia="宋体"/>
          <w:sz w:val="24"/>
        </w:rPr>
        <w:t>研究没有使用真实学生或真实学校数据，不能被引用为任何机构的现状评估。论文样例中的格式错误是有意设置的测试点，修复结果只能说明插件针对当前草案规则执行了对应格式变更，不代表论文其他部分符合学校规范。</w:t>
      </w:r>
    </w:p>
    <w:p>
      <w:pPr>
        <w:pStyle w:val="Heading2"/>
        <w:keepNext/>
        <w:spacing w:before="180" w:after="120"/>
        <w:ind w:firstLine="0"/>
      </w:pPr>
      <w:r>
        <w:rPr>
          <w:rFonts w:ascii="Times New Roman" w:hAnsi="Times New Roman" w:eastAsia="黑体"/>
          <w:b/>
          <w:sz w:val="26"/>
        </w:rPr>
        <w:t>6.2 后续工作</w:t>
      </w:r>
    </w:p>
    <w:p>
      <w:pPr>
        <w:widowControl/>
        <w:spacing w:before="0" w:after="0" w:line="360" w:lineRule="auto"/>
        <w:ind w:firstLine="420"/>
        <w:jc w:val="both"/>
      </w:pPr>
      <w:r>
        <w:rPr>
          <w:rFonts w:ascii="Times New Roman" w:hAnsi="Times New Roman" w:eastAsia="宋体"/>
          <w:sz w:val="24"/>
        </w:rPr>
        <w:t>后续首先需要由规则负责人完成标准范围与规则值审核，并为图题、表题、表格内部格式、页边距、段落间距和参考文献等内容分别定义清晰的适用范围。其次要扩充独立合成样例和人工黄金结果，再由非开发人员在受支持的 Word 版本中复核分析、定位、修复和撤销行为。</w:t>
      </w:r>
    </w:p>
    <w:p>
      <w:pPr>
        <w:widowControl/>
        <w:spacing w:before="0" w:after="0" w:line="360" w:lineRule="auto"/>
        <w:ind w:firstLine="420"/>
        <w:jc w:val="both"/>
      </w:pPr>
      <w:r>
        <w:rPr>
          <w:rFonts w:ascii="Times New Roman" w:hAnsi="Times New Roman" w:eastAsia="宋体"/>
          <w:sz w:val="24"/>
        </w:rPr>
        <w:t>在数据研究方面，未来可在获得必要审批后设计小规模观察试点；在软件方面，可探索题注专属规则和表格专属规则，但必须先明确标准语义及例外条件。对图片清晰度、图表自明性和论文论证质量，应继续保留人工判断，不把视觉模型的猜测作为格式修复依据。</w:t>
      </w:r>
    </w:p>
    <w:p>
      <w:pPr>
        <w:pStyle w:val="Heading1"/>
        <w:keepNext/>
        <w:spacing w:before="280" w:after="120"/>
        <w:ind w:firstLine="0"/>
      </w:pPr>
      <w:r>
        <w:rPr>
          <w:rFonts w:ascii="Times New Roman" w:hAnsi="Times New Roman" w:eastAsia="黑体"/>
          <w:b/>
          <w:sz w:val="32"/>
        </w:rPr>
        <w:t>参考文献</w:t>
      </w:r>
    </w:p>
    <w:p>
      <w:pPr>
        <w:widowControl/>
        <w:spacing w:before="0" w:after="0" w:line="288" w:lineRule="auto"/>
        <w:ind w:firstLine="0"/>
        <w:jc w:val="both"/>
      </w:pPr>
      <w:r>
        <w:rPr>
          <w:rFonts w:ascii="Times New Roman" w:hAnsi="Times New Roman" w:eastAsia="宋体"/>
          <w:sz w:val="21"/>
        </w:rPr>
        <w:t>[1] 合成条目：学习空间分时观察方法示例，测试资料，2026。</w:t>
      </w:r>
    </w:p>
    <w:p>
      <w:pPr>
        <w:widowControl/>
        <w:spacing w:before="0" w:after="0" w:line="288" w:lineRule="auto"/>
        <w:ind w:firstLine="0"/>
        <w:jc w:val="both"/>
      </w:pPr>
      <w:r>
        <w:rPr>
          <w:rFonts w:ascii="Times New Roman" w:hAnsi="Times New Roman" w:eastAsia="宋体"/>
          <w:sz w:val="21"/>
        </w:rPr>
        <w:t>[2] 合成条目：公共服务数据最小化实践示例，测试资料，2026。</w:t>
      </w:r>
    </w:p>
    <w:p>
      <w:pPr>
        <w:widowControl/>
        <w:spacing w:before="0" w:after="0" w:line="288" w:lineRule="auto"/>
        <w:ind w:firstLine="0"/>
        <w:jc w:val="both"/>
      </w:pPr>
      <w:r>
        <w:rPr>
          <w:rFonts w:ascii="Times New Roman" w:hAnsi="Times New Roman" w:eastAsia="宋体"/>
          <w:sz w:val="21"/>
        </w:rPr>
        <w:t>[3] Synthetic reference: fictional methods for library space observation, test material, 2026.</w:t>
      </w:r>
    </w:p>
    <w:p>
      <w:pPr>
        <w:widowControl/>
        <w:spacing w:before="0" w:after="0" w:line="288" w:lineRule="auto"/>
        <w:ind w:firstLine="0"/>
        <w:jc w:val="both"/>
      </w:pPr>
      <w:r>
        <w:rPr>
          <w:rFonts w:ascii="Times New Roman" w:hAnsi="Times New Roman" w:eastAsia="宋体"/>
          <w:sz w:val="21"/>
        </w:rPr>
        <w:t>注：以上均为本测试样稿中的虚构条目，不得引用为真实出版物。</w:t>
      </w:r>
    </w:p>
    <w:p>
      <w:pPr>
        <w:pStyle w:val="Heading1"/>
        <w:keepNext/>
        <w:spacing w:before="280" w:after="120"/>
        <w:ind w:firstLine="0"/>
      </w:pPr>
      <w:r>
        <w:rPr>
          <w:rFonts w:ascii="Times New Roman" w:hAnsi="Times New Roman" w:eastAsia="黑体"/>
          <w:b/>
          <w:sz w:val="32"/>
        </w:rPr>
        <w:t>附录A 观察记录字段</w:t>
      </w:r>
    </w:p>
    <w:p>
      <w:pPr>
        <w:widowControl/>
        <w:spacing w:before="0" w:after="0" w:line="360" w:lineRule="auto"/>
        <w:ind w:firstLine="420"/>
        <w:jc w:val="both"/>
      </w:pPr>
      <w:r>
        <w:rPr>
          <w:rFonts w:ascii="Times New Roman" w:hAnsi="Times New Roman" w:eastAsia="宋体"/>
          <w:sz w:val="24"/>
        </w:rPr>
        <w:t>字段字典用于说明合成观察表的最小结构。每条记录包含虚构区域代码、观察日期类别、时段代码、开放座位数、使用座位数、设备状态计数和活动类别计数。字段不包含姓名、学号、设备地址或精确个人移动信息。</w:t>
      </w:r>
    </w:p>
    <w:p>
      <w:pPr>
        <w:spacing w:before="120" w:after="120" w:line="240" w:lineRule="auto"/>
        <w:ind w:firstLine="0"/>
        <w:jc w:val="center"/>
      </w:pPr>
      <w:r>
        <w:rPr>
          <w:rFonts w:ascii="Times New Roman" w:hAnsi="Times New Roman" w:eastAsia="宋体"/>
          <w:sz w:val="21"/>
        </w:rPr>
        <w:t>表A.1　合成记录字段字典</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字段名</w:t>
            </w:r>
          </w:p>
        </w:tc>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类型</w:t>
            </w:r>
          </w:p>
        </w:tc>
        <w:tc>
          <w:tcPr>
            <w:tcW w:type="dxa" w:w="3041"/>
            <w:vAlign w:val="center"/>
            <w:shd w:fill="DCE8F5"/>
            <w:tcBorders>
              <w:top w:val="single" w:sz="5" w:color="9AA9BA"/>
              <w:left w:val="single" w:sz="5" w:color="9AA9BA"/>
              <w:bottom w:val="single" w:sz="5" w:color="9AA9BA"/>
              <w:right w:val="single" w:sz="5" w:color="9AA9BA"/>
              <w:insideH w:val="single" w:sz="5" w:color="9AA9BA"/>
              <w:insideV w:val="single" w:sz="5" w:color="9AA9BA"/>
            </w:tcBorders>
          </w:tcPr>
          <w:p>
            <w:pPr>
              <w:ind w:firstLine="0"/>
              <w:jc w:val="center"/>
            </w:pPr>
            <w:r>
              <w:rPr>
                <w:rFonts w:ascii="Times New Roman" w:hAnsi="Times New Roman" w:eastAsia="宋体"/>
                <w:b/>
                <w:sz w:val="21"/>
              </w:rPr>
              <w:t>说明</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area_code</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枚举</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虚构区域编号</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time_slot</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枚举</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上午/午间/下午/晚间</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open_seats</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整数</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计划开放的可用座位数</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occupied_seats</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整数</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观察时点的使用座位数</w:t>
            </w:r>
          </w:p>
        </w:tc>
      </w:tr>
      <w:tr>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center"/>
            </w:pPr>
            <w:r>
              <w:rPr>
                <w:rFonts w:ascii="Times New Roman" w:hAnsi="Times New Roman" w:eastAsia="宋体"/>
                <w:sz w:val="21"/>
              </w:rPr>
              <w:t>equipment_status</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分类</w:t>
            </w:r>
          </w:p>
        </w:tc>
        <w:tc>
          <w:tcPr>
            <w:tcW w:type="dxa" w:w="3041"/>
            <w:vAlign w:val="center"/>
            <w:tcBorders>
              <w:top w:val="single" w:sz="5" w:color="9AA9BA"/>
              <w:left w:val="single" w:sz="5" w:color="9AA9BA"/>
              <w:bottom w:val="single" w:sz="5" w:color="9AA9BA"/>
              <w:right w:val="single" w:sz="5" w:color="9AA9BA"/>
              <w:insideH w:val="single" w:sz="5" w:color="9AA9BA"/>
              <w:insideV w:val="single" w:sz="5" w:color="9AA9BA"/>
            </w:tcBorders>
          </w:tcPr>
          <w:p>
            <w:pPr>
              <w:spacing w:after="40"/>
              <w:ind w:firstLine="0"/>
              <w:jc w:val="left"/>
            </w:pPr>
            <w:r>
              <w:rPr>
                <w:rFonts w:ascii="Times New Roman" w:hAnsi="Times New Roman" w:eastAsia="宋体"/>
                <w:sz w:val="21"/>
              </w:rPr>
              <w:t>正常/维护/不适用</w:t>
            </w:r>
          </w:p>
        </w:tc>
      </w:tr>
    </w:tbl>
    <w:p>
      <w:pPr>
        <w:pStyle w:val="Heading1"/>
        <w:keepNext/>
        <w:spacing w:before="280" w:after="120"/>
        <w:ind w:firstLine="0"/>
      </w:pPr>
      <w:r>
        <w:rPr>
          <w:rFonts w:ascii="Times New Roman" w:hAnsi="Times New Roman" w:eastAsia="黑体"/>
          <w:b/>
          <w:sz w:val="32"/>
        </w:rPr>
        <w:t>附录B 合成样本说明</w:t>
      </w:r>
    </w:p>
    <w:p>
      <w:pPr>
        <w:widowControl/>
        <w:spacing w:before="0" w:after="0" w:line="360" w:lineRule="auto"/>
        <w:ind w:firstLine="420"/>
        <w:jc w:val="both"/>
      </w:pPr>
      <w:r>
        <w:rPr>
          <w:rFonts w:ascii="Times New Roman" w:hAnsi="Times New Roman" w:eastAsia="宋体"/>
          <w:sz w:val="24"/>
        </w:rPr>
        <w:t>本论文的全部数值、图表、人物和机构名称均为程序构造的虚构测试数据。格式异常测试点分别位于正文中文字体、英文西文字体和字号片段。使用者可以在 Word 的问题列表中检索相应位置，预览单项或批量修改，并重新分析。由于项目当前只配置了正文字体和字号规则，图题、表题、表格单元格内部格式以及图像的视觉质量应保持为未覆盖项。</w:t>
      </w:r>
    </w:p>
    <w:p>
      <w:pPr>
        <w:widowControl/>
        <w:spacing w:before="0" w:after="0" w:line="360" w:lineRule="auto"/>
        <w:ind w:firstLine="420"/>
        <w:jc w:val="both"/>
      </w:pPr>
      <w:r>
        <w:rPr>
          <w:rFonts w:ascii="Times New Roman" w:hAnsi="Times New Roman" w:eastAsia="宋体"/>
          <w:sz w:val="24"/>
        </w:rPr>
        <w:t>测试结束后，请由作者决定是否保存修改后的当前文档。插件不应为每次修复另建输出副本；如需保留原始状态，可在第一次操作前由用户自行另存一份。</w:t>
      </w:r>
    </w:p>
    <w:p>
      <w:pPr>
        <w:pStyle w:val="Heading1"/>
        <w:keepNext/>
        <w:spacing w:before="280" w:after="120"/>
        <w:ind w:firstLine="0"/>
      </w:pPr>
      <w:r>
        <w:rPr>
          <w:rFonts w:ascii="Times New Roman" w:hAnsi="Times New Roman" w:eastAsia="黑体"/>
          <w:b/>
          <w:sz w:val="32"/>
        </w:rPr>
        <w:t>致谢</w:t>
      </w:r>
    </w:p>
    <w:p>
      <w:pPr>
        <w:widowControl/>
        <w:spacing w:before="0" w:after="0" w:line="360" w:lineRule="auto"/>
        <w:ind w:firstLine="420"/>
        <w:jc w:val="both"/>
      </w:pPr>
      <w:r>
        <w:rPr>
          <w:rFonts w:ascii="Times New Roman" w:hAnsi="Times New Roman" w:eastAsia="宋体"/>
          <w:sz w:val="24"/>
        </w:rPr>
        <w:t>本测试样稿由软件验收流程自动生成。感谢参与格式规则审阅、合成样例设计和交互测试的虚构角色。此致谢仅为文档结构测试内容，不指向真实个人或团队。</w:t>
      </w:r>
    </w:p>
    <w:sectPr w:rsidR="00FC693F" w:rsidRPr="0006063C" w:rsidSect="00034616">
      <w:footerReference w:type="default" r:id="rId9"/>
      <w:pgSz w:w="12240" w:h="15840"/>
      <w:pgMar w:top="1417" w:right="1417" w:bottom="136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18"/>
      </w:rPr>
      <w:t xml:space="preserve">— </w:t>
    </w:r>
    <w:r>
      <w:rPr>
        <w:rFonts w:ascii="Times New Roman" w:hAnsi="Times New Roman" w:eastAsia="宋体"/>
        <w:sz w:val="18"/>
      </w:rPr>
      <w:fldChar w:fldCharType="begin"/>
      <w:instrText xml:space="preserve"> PAGE </w:instrText>
      <w:fldChar w:fldCharType="separate"/>
      <w:t>1</w:t>
      <w:fldChar w:fldCharType="end"/>
    </w:r>
    <w:r>
      <w:rPr>
        <w:rFonts w:ascii="Times New Roman" w:hAnsi="Times New Roman" w:eastAsia="宋体"/>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黑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高校图书馆学习空间需求的分时观察与管理方法研究（合成测试样稿）</dc:title>
  <dc:subject>NKU Thesis Tool full synthetic Word acceptance fixture</dc:subject>
  <dc:creator>Synthetic test fixture</dc:creator>
  <cp:keywords>synthetic, test-only, Word add-in</cp:keywords>
  <dc:description>All research content and measurements are fictional.</dc:description>
  <cp:lastModifiedBy/>
  <cp:revision>1</cp:revision>
  <dcterms:created xsi:type="dcterms:W3CDTF">2013-12-23T23:15:00Z</dcterms:created>
  <dcterms:modified xsi:type="dcterms:W3CDTF">2013-12-23T23:15:00Z</dcterms:modified>
  <cp:category/>
</cp:coreProperties>
</file>