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Devbox Web Product Iteration PRFAQ</w:t>
      </w:r>
    </w:p>
    <w:p>
      <w:pPr>
        <w:spacing w:after="100"/>
      </w:pPr>
      <w:r>
        <w:rPr>
          <w:sz w:val="20"/>
        </w:rPr>
        <w:t>Version 0.8 | October 18, 2026 | English edition | Companion prototype 0.7</w:t>
      </w:r>
    </w:p>
    <w:p>
      <w:pPr>
        <w:pStyle w:val="Heading1"/>
        <w:spacing w:after="100"/>
      </w:pPr>
      <w:r>
        <w:t>Proposed launch announcement</w:t>
      </w:r>
    </w:p>
    <w:p>
      <w:pPr>
        <w:spacing w:after="100"/>
      </w:pPr>
      <w:r>
        <w:rPr>
          <w:sz w:val="20"/>
        </w:rPr>
        <w:t>The announcement below describes the intended invitation-only trial. It is not a launch announcement already made. Both quotations are proposed copy, not customer testimony. Opening the trial depends on verified integration and study readiness.</w:t>
      </w:r>
    </w:p>
    <w:p>
      <w:pPr>
        <w:pStyle w:val="Heading2"/>
        <w:spacing w:after="100"/>
      </w:pPr>
      <w:r>
        <w:t>Devbox helps developers recover the reasons behind interrupted work and continue with the original agent</w:t>
      </w:r>
    </w:p>
    <w:p>
      <w:pPr>
        <w:spacing w:after="100"/>
      </w:pPr>
      <w:r>
        <w:rPr>
          <w:sz w:val="20"/>
        </w:rPr>
        <w:t>Recover decisions and effective constraints with their sources, handle changes relevant to the next action, and explicitly hand work back to its original session.</w:t>
      </w:r>
    </w:p>
    <w:p>
      <w:pPr>
        <w:spacing w:after="100"/>
      </w:pPr>
      <w:r>
        <w:rPr>
          <w:sz w:val="20"/>
        </w:rPr>
        <w:t>Devbox today opens an invitation-only trial for individual developers who frequently return to agent work after a day or more. It helps them understand what changed, inspect results, and decide what to do next. The first trial covers a verified Claude Code and Shell path. Developers keep their execution tools and use Devbox to send their next decision and supporting evidence back to the original session.</w:t>
      </w:r>
    </w:p>
    <w:p>
      <w:pPr>
        <w:spacing w:after="100"/>
      </w:pPr>
      <w:r>
        <w:rPr>
          <w:sz w:val="20"/>
        </w:rPr>
        <w:t>Developers already use handoff notes to record goals and next steps. Work can continue changing after they leave: reviews, checks, and instructions arrive in different places, and yesterday's note may no longer describe the current situation. Even without a planned handoff, a returning developer needs to know which conclusions still hold.</w:t>
      </w:r>
    </w:p>
    <w:p>
      <w:pPr>
        <w:spacing w:after="100"/>
      </w:pPr>
      <w:r>
        <w:rPr>
          <w:sz w:val="20"/>
        </w:rPr>
        <w:t>Devbox brings back the recorded rationale, shows changes with their sources, and lets the developer revise only the affected parts of a draft. Investigation questions and repair tasks have separate drafts and authorization. Each question retains its target, channel, and progress. Returning users see relevant new replies and unresolved prerequisites first, with history available when needed. A reply is not verification; agent acceptance is not completed repair; accepting a result does not merge a pull request.</w:t>
      </w:r>
    </w:p>
    <w:p>
      <w:pPr>
        <w:spacing w:after="100"/>
      </w:pPr>
      <w:r>
        <w:rPr>
          <w:sz w:val="20"/>
        </w:rPr>
        <w:t>For example, the retry limit changes from two attempts to one. One sentence in the draft is an execution requirement; another describes the old behavior for comparison. The developer updates the first and preserves the historical scope of the second. An earlier question to the agent remains pending while a new local lookup displays saved records. Neither replaces the other. If those records do not answer the question, Devbox says so and leaves the original tool available for investigation.</w:t>
      </w:r>
    </w:p>
    <w:p>
      <w:pPr>
        <w:spacing w:after="100"/>
      </w:pPr>
      <w:r>
        <w:rPr>
          <w:sz w:val="20"/>
        </w:rPr>
        <w:t>“When people come back, they need to know what decision they can make now and what supports it,” says the Devbox product lead. “We must make that easier than their existing tools plus a good handoff document to earn continued use.” [Proposed product-lead quotation]</w:t>
      </w:r>
    </w:p>
    <w:p>
      <w:pPr>
        <w:spacing w:after="100"/>
      </w:pPr>
      <w:r>
        <w:rPr>
          <w:sz w:val="20"/>
        </w:rPr>
        <w:t>“I can see what changed, check the result, and give the next step back to the same agent.” [Proposed customer quotation, pending real use and purchase validation]</w:t>
      </w:r>
    </w:p>
    <w:p>
      <w:pPr>
        <w:spacing w:after="100"/>
      </w:pPr>
      <w:r>
        <w:rPr>
          <w:sz w:val="20"/>
        </w:rPr>
        <w:t>The first checkpoint is day seven. With consent, insufficient natural task opportunities can extend observation through day fourteen. Integration requirements, modifications, data handling, and total costs are disclosed beforehand. No manual project setup is required. Customers decide whether the benefit warrants purchase; first-month purchase and next-month renewal are evaluated separately.</w:t>
      </w:r>
    </w:p>
    <w:p>
      <w:pPr>
        <w:pStyle w:val="Heading1"/>
        <w:pageBreakBefore/>
      </w:pPr>
      <w:r>
        <w:t>Customer questions</w:t>
      </w:r>
    </w:p>
    <w:p>
      <w:pPr>
        <w:pStyle w:val="Heading2"/>
      </w:pPr>
      <w:r>
        <w:t>1 Who needs this product most</w:t>
      </w:r>
    </w:p>
    <w:p>
      <w:r>
        <w:t>The first study should recruit four to six external individual developers who regularly resume agent work across days and already compensate with notes or scripts. Prefer people with roughly eight to ten natural returns in the preceding week and two comparable long-running tasks. Frequency helps observation; it does not determine eligibility to buy. Keep low-frequency participants, integration failures, and cases where a strong handoff is sufficient in the results. Report everyone enrolled rather than replacing them with later high-frequency users.</w:t>
      </w:r>
    </w:p>
    <w:p>
      <w:pPr>
        <w:pStyle w:val="Heading2"/>
      </w:pPr>
      <w:r>
        <w:t>2 What can the first integration cover</w:t>
      </w:r>
    </w:p>
    <w:p>
      <w:r>
        <w:t>Start with one verified Claude Code and Shell path. Add Codex after compatibility validation. Before connection, disclose supported versions, required modifications, the earliest recoverable history, artifact location, and original-session continuation capability. No formal compatibility matrix is verified yet, and arbitrary history recovery is not promised.</w:t>
      </w:r>
    </w:p>
    <w:p>
      <w:r>
        <w:t>Devbox organizes only connected records and does not require manual projects. Within discovered or user-registered sources, missing integrations, missing history, and disconnected sources remain visible. Unknown sources are not treated as covered, and original records are not rewritten.</w:t>
      </w:r>
    </w:p>
    <w:p>
      <w:pPr>
        <w:pStyle w:val="Heading2"/>
      </w:pPr>
      <w:r>
        <w:t>3 How do I see changes and check results when I return</w:t>
      </w:r>
    </w:p>
    <w:p>
      <w:r>
        <w:t>The opening view presents the recorded rationale, stopping point, effective constraints, and changes. Important claims retain their author, timestamp, work scope, and applicable version. An explicit user update can replace the old requirement it identifies; agent suggestions remain separate. Unrecorded reasons stay unknown, and conflicts are not resolved simply by taking the newest sentence.</w:t>
      </w:r>
    </w:p>
    <w:p>
      <w:r>
        <w:t>Users can return a clear failure for repair or ask a question without accepting the entire result. Acceptance concerns the current result version. Original text expands in place or opens at its location, so history need not be reread on every visit.</w:t>
      </w:r>
    </w:p>
    <w:p>
      <w:pPr>
        <w:pStyle w:val="Heading2"/>
      </w:pPr>
      <w:r>
        <w:t>4 What if unrelated work is grouped together</w:t>
      </w:r>
    </w:p>
    <w:p>
      <w:r>
        <w:t>Each source exposes why it was associated. “Unrelated, show separately” changes the reading view, preserves the original record, and supports undo. A correction applies to that work relationship rather than becoming a global rule.</w:t>
      </w:r>
    </w:p>
    <w:p>
      <w:r>
        <w:t>Prototype 0.7 preserves corrections and undo across refresh in the same browser. Resetting the experience or clearing browser data removes them; cross-device synchronization is absent. A real implementation must verify persistence across restart so users do not repeatedly organize the same records.</w:t>
      </w:r>
    </w:p>
    <w:p>
      <w:pPr>
        <w:pStyle w:val="Heading2"/>
      </w:pPr>
      <w:r>
        <w:t>5 How do I decide and hand work back to the original agent</w:t>
      </w:r>
    </w:p>
    <w:p>
      <w:r>
        <w:t>A draft retains the user's text, original session, and evidence snapshot. Affected sentences can be changed independently or explicitly retained as historical comparisons. Undo must preserve later unrelated edits. Unchanged or already resolved items do not require repeated acknowledgment, although relevant changes are checked before sending.</w:t>
      </w:r>
    </w:p>
    <w:p>
      <w:r>
        <w:t>Investigation uses its own question and authorization. Only an explicit repair submission delegates changes and permitted tests. Real channels must enforce the authorized scope; a prompt requesting read-only behavior is not a permission boundary.</w:t>
      </w:r>
    </w:p>
    <w:p>
      <w:pPr>
        <w:pStyle w:val="Heading2"/>
      </w:pPr>
      <w:r>
        <w:t>6 When can I leave after submitting an instruction</w:t>
      </w:r>
    </w:p>
    <w:p>
      <w:r>
        <w:t>Each inquiry retains its question, time, target, channel, and progress. A new question is marked unsent. Local lookup does not replace an older pending remote request. Transport status, required user action, and prerequisites for execution are distinct.</w:t>
      </w:r>
    </w:p>
    <w:p>
      <w:r>
        <w:t>Ordinary waiting belongs in waiting or history, not “Needs you,” and does not block unrelated authorized actions. An unresolved item blocks only an action whose dependency can be explained with concrete evidence and scope. If the impact cannot be located, users can narrow the action, save the draft, or return to the original tool; they need not close every question for the entire work item.</w:t>
      </w:r>
    </w:p>
    <w:p>
      <w:pPr>
        <w:pStyle w:val="Heading2"/>
      </w:pPr>
      <w:r>
        <w:t>7 Will I know the total cost and data handling before trying it</w:t>
      </w:r>
    </w:p>
    <w:p>
      <w:r>
        <w:t>The proposed first seven-day trial has no license charge. An established research budget would cover incremental Devbox processing, leaving the participant's incremental Devbox bill at zero. There is no automatic subscription conversion. Do not open a path if those incremental costs cannot be kept off the participant's bill.</w:t>
      </w:r>
    </w:p>
    <w:p>
      <w:r>
        <w:t>Existing agent charges are disclosed separately. The actual connection, enforceable budget behavior, export and deletion on exit, and retention period must be filled into the enrollment agreement and accepted before use. The candidate $19 monthly license is offered only for a deliverable product, with a complete quote and a separate purchase choice. These are proposed terms, not an authorization to spend money.</w:t>
      </w:r>
    </w:p>
    <w:p>
      <w:pPr>
        <w:pStyle w:val="Heading1"/>
      </w:pPr>
      <w:r>
        <w:t>Internal questions about customers and the business</w:t>
      </w:r>
    </w:p>
    <w:p>
      <w:pPr>
        <w:pStyle w:val="Heading2"/>
      </w:pPr>
      <w:r>
        <w:t>8 What investment is recommended now</w:t>
      </w:r>
    </w:p>
    <w:p>
      <w:r>
        <w:t>Implement one deliverable recovery and original-session continuation path. Include independent inquiry state and truthful local lookup behavior in readiness checks, then run an exploratory study with four to six people. Review on day seven; extend through day fourteen only for missing natural opportunities or valid comparisons.</w:t>
      </w:r>
    </w:p>
    <w:p>
      <w:r>
        <w:t>Round eight of prototype 0.7 demonstrated local conflict handling and handoff in a simulation, then corrected specific state ambiguities. It did not establish real permissions, retrieval quality, or attention savings. A second source and plugins remain later work.</w:t>
      </w:r>
    </w:p>
    <w:p>
      <w:pPr>
        <w:pStyle w:val="Heading2"/>
      </w:pPr>
      <w:r>
        <w:t>9 What has the feedback established</w:t>
      </w:r>
    </w:p>
    <w:p>
      <w:r>
        <w:t>The October 17 research snapshot, round-five flow evaluation, and version 0.4 document review support diagnosis and study design. Earlier click reductions excluded reading and waiting; they cannot establish human time savings. Simulated willingness to use is not purchase evidence. [S1–S8]</w:t>
      </w:r>
    </w:p>
    <w:p>
      <w:r>
        <w:t>In round eight, the same simulated prospective user selected actions from screenshots and accessibility information while the main agent operated the browser. The initial run exercised separate handling of two old sentences, historical comparison scope, local undo after additional editing, persistence without repeated confirmation, and a final original-session handoff. It exposed old receipts beside new questions, a local lookup obscuring an earlier pending request, obsolete undo messages, and an “evidence found” claim that had not answered the question.</w:t>
      </w:r>
    </w:p>
    <w:p>
      <w:r>
        <w:t>Targeted checks after revision corrected those state and wording problems. The final submission was not rerun end to end after every fix. Real user time and payment remain untested. The later simulated document review accepted the limited preparation and trial plan after revisions; it did not approve real enrollment or prove product value. [U11–U15]</w:t>
      </w:r>
    </w:p>
    <w:p>
      <w:pPr>
        <w:pStyle w:val="Heading2"/>
      </w:pPr>
      <w:r>
        <w:t>10 Why might customers pay repeatedly</w:t>
      </w:r>
    </w:p>
    <w:p>
      <w:r>
        <w:t>Customers may pay to spend less time rereading, locating versions, reconstructing reasons, and explaining the same context again. Additional checking, integration maintenance, and budget management can consume those gains. The product must independently restore the right context in core work and reliably continue the original session. A few successful PR repairs do not show that dozens of long sessions will benefit.</w:t>
      </w:r>
    </w:p>
    <w:p>
      <w:r>
        <w:t>The simulated user did not require both a 30% speed improvement and 30 minutes of weekly savings. Repeated small benefits or a verifiable constraint conflict could matter. Time savings still follow the predefined method. Conflict cases separately record the evidence, the changed decision, and false alerts; do not invent avoided-incident probabilities or dollar values. A newly discovered mechanism cannot replace failed success metrics after the fact.</w:t>
      </w:r>
    </w:p>
    <w:p>
      <w:pPr>
        <w:pStyle w:val="Heading2"/>
      </w:pPr>
      <w:r>
        <w:t>11 Are existing platforms and handoff documents already sufficient</w:t>
      </w:r>
    </w:p>
    <w:p>
      <w:r>
        <w:t>The comparison is the user's existing tools plus a good handoff, which may be agent-generated: goal, stopping point, constraints, explicit rationale, next step, and evidence links. Count its creation and updating costs on both sides. Do not weaken this alternative to make Devbox look useful. [S1]</w:t>
      </w:r>
    </w:p>
    <w:p>
      <w:r>
        <w:t>The October 17, 2026 research snapshot included remote continuation, artifact review, free parallel-work offerings, and context linked to commits. [S5–S8] Prices and capabilities were not refreshed for this edition. Their alleged absence is not a differentiation claim. If Devbox improves on raw log browsing but fails against a strong handoff, narrow the product scope.</w:t>
      </w:r>
    </w:p>
    <w:p>
      <w:pPr>
        <w:pStyle w:val="Heading2"/>
      </w:pPr>
      <w:r>
        <w:t>12 What advantage could accumulate</w:t>
      </w:r>
    </w:p>
    <w:p>
      <w:r>
        <w:t>Candidate advantages are accurate relationships between goals, artifacts, versions, and decisions; persistent corrections; reliable receipts; and reproducible failure cases. No defensible moat has been established. Evidence links and more logs are easy to copy. The relevant question is whether this system reduces checking and repeated explanation. The value of accepting different artifact types through one interface requires separate validation. Personal data is not shared across users by default or presumed to become a public training corpus.</w:t>
      </w:r>
    </w:p>
    <w:p>
      <w:pPr>
        <w:pStyle w:val="Heading2"/>
      </w:pPr>
      <w:r>
        <w:t>13 Is the total cost around a $19 license acceptable</w:t>
      </w:r>
    </w:p>
    <w:p>
      <w:r>
        <w:t>The $19 monthly license is a candidate quote, not a pricing conclusion. Show one-time costs, measured incremental daily charges and their range, the biller, and each person's budget. Time spent adding API keys, updating modifications, repairing connections, checking summaries, and managing bills counts as cost. Use the same quote for the same scope, without hidden discounts to manufacture buyers.</w:t>
      </w:r>
    </w:p>
    <w:p>
      <w:r>
        <w:t>Do not use salary-based time valuation to declare the product worthwhile for a participant. Report product contribution after payment processing, hosting, and product-funded inference. Separately report onboarding and support at a predefined labor-cost rate. Retention dependent on the author organizing work is a service-assisted result. Do not promise a total-cost cap without controllable budget behavior.</w:t>
      </w:r>
    </w:p>
    <w:p>
      <w:pPr>
        <w:pStyle w:val="Heading1"/>
      </w:pPr>
      <w:r>
        <w:t>Internal questions about experience and implementation</w:t>
      </w:r>
    </w:p>
    <w:p>
      <w:pPr>
        <w:pStyle w:val="Heading2"/>
      </w:pPr>
      <w:r>
        <w:t>14 What complete workflow must the first release deliver</w:t>
      </w:r>
    </w:p>
    <w:p>
      <w:r>
        <w:t>On return, recover sourced rationale, effective constraints, and changes. Restore the draft and compare its actual text with the evidence, handling affected parts. Let the user choose investigation or repair explicitly and send that authorization to the original session. When results arrive, let the user accept the current version.</w:t>
      </w:r>
    </w:p>
    <w:p>
      <w:r>
        <w:t>The real path must verify source versions before sending, carry purpose and scope with the message, record receipts, and degrade honestly on failure. Local prototype examples do not substitute for these engineering capabilities.</w:t>
      </w:r>
    </w:p>
    <w:p>
      <w:pPr>
        <w:pStyle w:val="Heading2"/>
      </w:pPr>
      <w:r>
        <w:t>15 How do four questions avoid becoming four approval steps</w:t>
      </w:r>
    </w:p>
    <w:p>
      <w:r>
        <w:t>The return questions organize information rather than impose a mandatory sequence. Prototype 0.7 supports sentence-level corrections, local undo, and local draft restoration. Investigation has a separate editor; earlier requests collapse by question. A new unsent question can coexist with an older pending one. Unchanged evidence does not require repeated confirmation, and replies do not require individual “read” or “verified” clicks.</w:t>
      </w:r>
    </w:p>
    <w:p>
      <w:r>
        <w:t>Inquiry cards still occupy reading space. Fewer clicks alone cannot establish lower burden. Separately measure finding material, checking it, editing a handoff, and correcting product mistakes. Less checking accompanied by wrong answers, missed evidence, or mistaken acceptance is a regression. Restored drafts must be discoverable on the home screen, and source navigation must not cover the relevant text.</w:t>
      </w:r>
    </w:p>
    <w:p>
      <w:pPr>
        <w:pStyle w:val="Heading2"/>
      </w:pPr>
      <w:r>
        <w:t>16 How are incorrect reasons and stale constraints handled</w:t>
      </w:r>
    </w:p>
    <w:p>
      <w:r>
        <w:t>Separate conflicts between sources, conflicts between draft text and evidence, and unclear authorization scope. Update the effective constraint only when a record explicitly replaces an earlier requirement within the same scope. Old draft wording still needs a local correction or explicit retention as historical comparison, with that scope in the instruction actually sent.</w:t>
      </w:r>
    </w:p>
    <w:p>
      <w:r>
        <w:t>Do not silently rewrite text, guess its purpose, or represent a new user decision as recovered historical intent. Staleness means incomplete coverage; it does not automatically invalidate an old requirement. Pause affected repair or acceptance while allowing reading, editing, saving, and investigation.</w:t>
      </w:r>
    </w:p>
    <w:p>
      <w:pPr>
        <w:pStyle w:val="Heading2"/>
      </w:pPr>
      <w:r>
        <w:t>17 How does automatic grouping support the workflow</w:t>
      </w:r>
    </w:p>
    <w:p>
      <w:r>
        <w:t>Grouping is a reversible reading view that brings together changes and results needed for the current work. Prefer explicit goals and stable identifiers; even the same PR requires checking purpose. Similar directories or topics do not justify merging. Keep uncertain relationships separate and original sessions accessible. Corrections support undo.</w:t>
      </w:r>
    </w:p>
    <w:p>
      <w:r>
        <w:t>Measure correction time. If it exceeds the savings, reduce automation. The available evidence does not justify automatic classification as a standalone paid feature.</w:t>
      </w:r>
    </w:p>
    <w:p>
      <w:pPr>
        <w:pStyle w:val="Heading2"/>
      </w:pPr>
      <w:r>
        <w:t>18 Why should users trust waiting and completion states</w:t>
      </w:r>
    </w:p>
    <w:p>
      <w:r>
        <w:t>Each submission freezes the inquiry or repair text, evidence snapshot, purpose, scope, and exact target. Replies attach to their own requests; a late reply cannot answer the newest question by implication. Local lookup preserves remote pending state. Explanations, source updates, and stopping tracking do not authorize repair.</w:t>
      </w:r>
    </w:p>
    <w:p>
      <w:r>
        <w:t>Home shows the next relevant action while details retain independent states. Read, replied, fact verified, execution authorized, and result accepted are not interchangeable. A receipt of acceptance is not proof of correct execution.</w:t>
      </w:r>
    </w:p>
    <w:p>
      <w:pPr>
        <w:pStyle w:val="Heading2"/>
      </w:pPr>
      <w:r>
        <w:t>19 What is explicitly deferred</w:t>
      </w:r>
    </w:p>
    <w:p>
      <w:r>
        <w:t>Defer a complete decision history, inference about rejected alternatives, arbitrary long-session segmentation, coverage of every source, a plugin marketplace, team permissions, a proprietary agent engine, and autonomous writes. First validate a publicly distributable Claude Code and Shell path with disclosed versions, history coverage, modification dependencies, read-only limits, and continuation support.</w:t>
      </w:r>
    </w:p>
    <w:p>
      <w:r>
        <w:t>Validate a second source after the initial path demonstrates net value. Simulated compatibility cannot support charging. PR detection initially supplies evidence; any cancellation action must identify its target and consequences first.</w:t>
      </w:r>
    </w:p>
    <w:p>
      <w:pPr>
        <w:pStyle w:val="Heading1"/>
      </w:pPr>
      <w:r>
        <w:t>Internal questions about the trial and value</w:t>
      </w:r>
    </w:p>
    <w:p>
      <w:pPr>
        <w:pStyle w:val="Heading2"/>
      </w:pPr>
      <w:r>
        <w:t>20 How will the one-week real-task trial work</w:t>
      </w:r>
    </w:p>
    <w:p>
      <w:r>
        <w:t>Before enrollment, freeze independent ground truth, the strong handoff baseline, matching rules, and stop conditions. In isolation, replay multiple questions, out-of-order replies, retries, degraded channels, and source changes. Condition A is the existing tool plus a normally maintained agent-assisted handoff. Condition B is real Devbox output, without the author secretly supplying rationale or organizing requests.</w:t>
      </w:r>
    </w:p>
    <w:p>
      <w:r>
        <w:t>Disclose actual capabilities and participant effort beforehand. Onboarding, teaching, and practice together take at most 30 minutes. First-week questions, optional missing-event checks, and the debrief together take at most another 30 minutes. Participants may choose lower limits. No write path opens before permission and target validation.</w:t>
      </w:r>
    </w:p>
    <w:p>
      <w:r>
        <w:t>On days one through four, randomly assign comparable real tasks or branches to A or B and keep those assignments. On days five and six, allow free choice; mark cross-condition material use or switching as contamination. Review each participant on day seven. With consent, missing opportunities can extend observation through day fourteen; poor results cannot justify extension. Do not manufacture anomaly quotas. If missing rationale, changed constraints, or draft interruption never occurs naturally, the corresponding mechanism remains unvalidated.</w:t>
      </w:r>
    </w:p>
    <w:p>
      <w:pPr>
        <w:pStyle w:val="Heading2"/>
      </w:pPr>
      <w:r>
        <w:t>21 What must the week establish</w:t>
      </w:r>
    </w:p>
    <w:p>
      <w:r>
        <w:t>Examine reading R, checking Q, maintenance outside return events M, and total cost separately. R labels actual reading, understanding, and verification intervals within F and Q; it is not an additional cost added to the total. Use the same matched set within each participant. Show increases for individual B events, the worst added-burden case, and missing observations.</w:t>
      </w:r>
    </w:p>
    <w:p>
      <w:r>
        <w:t>Judgments must consider timing and coding uncertainty and the direction after removing a single event. Only with preserved quality and a conservative range that still shows no increase may we say that no increase was observed in these events. This does not establish long-term freedom from maintenance.</w:t>
      </w:r>
    </w:p>
    <w:p>
      <w:r>
        <w:t>Immediately pause the affected capability after a wrong target, unauthorized change or test, a critical unresolved contradiction reaching execution, duplicate execution, or acceptance of an obsolete result. Preserve the failure and its cost, fix under a new version, and replay. Read-only or manual continuation can remain available, but author operation cannot count as automation. Zero observed violations do not establish general safety. Ask research questions after timed work rather than coaching answers while measuring savings.</w:t>
      </w:r>
    </w:p>
    <w:tbl>
      <w:tblPr>
        <w:tblW w:type="auto" w:w="0"/>
        <w:tblLayout w:type="fixed"/>
        <w:tblLook w:firstColumn="1" w:firstRow="1" w:lastColumn="0" w:lastRow="0" w:noHBand="0" w:noVBand="1" w:val="04A0"/>
      </w:tblPr>
      <w:tblGrid>
        <w:gridCol w:w="2160"/>
        <w:gridCol w:w="8064"/>
      </w:tblGrid>
      <w:tr>
        <w:trPr>
          <w:cantSplit/>
          <w:tblHeader/>
        </w:trPr>
        <w:tc>
          <w:tcPr>
            <w:tcW w:type="dxa" w:w="2160"/>
            <w:tcBorders>
              <w:top w:val="single" w:sz="4" w:color="D9DDE2"/>
              <w:left w:val="single" w:sz="4" w:color="D9DDE2"/>
              <w:bottom w:val="single" w:sz="4" w:color="D9DDE2"/>
              <w:right w:val="single" w:sz="4" w:color="D9DDE2"/>
            </w:tcBorders>
            <w:shd w:fill="E8EDF3"/>
          </w:tcPr>
          <w:p>
            <w:pPr>
              <w:spacing w:before="80" w:after="80"/>
            </w:pPr>
            <w:r>
              <w:rPr>
                <w:b/>
                <w:sz w:val="19"/>
              </w:rPr>
              <w:t>Dimension</w:t>
            </w:r>
          </w:p>
        </w:tc>
        <w:tc>
          <w:tcPr>
            <w:tcW w:type="dxa" w:w="8064"/>
            <w:tcBorders>
              <w:top w:val="single" w:sz="4" w:color="D9DDE2"/>
              <w:left w:val="single" w:sz="4" w:color="D9DDE2"/>
              <w:bottom w:val="single" w:sz="4" w:color="D9DDE2"/>
              <w:right w:val="single" w:sz="4" w:color="D9DDE2"/>
            </w:tcBorders>
            <w:shd w:fill="E8EDF3"/>
          </w:tcPr>
          <w:p>
            <w:pPr>
              <w:spacing w:before="80" w:after="80"/>
            </w:pPr>
            <w:r>
              <w:rPr>
                <w:b/>
                <w:sz w:val="19"/>
              </w:rPr>
              <w:t>Candidate rule for further investment</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Correctness and deliverability</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Check actual actions per event. Pause the affected capability for the critical failures above. Zero observed errors are not a reliability guarantee.</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Individual value</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The same person has at least two comparable natural returns in each condition on the main path, with a positive conservative estimate of recurring net benefit under the appendix method. Confirm rationale or constraint value only where it occurred. A 30% improvement is descriptive, not a threshold.</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Short-term voluntary choice</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The same person initiates at least two unprompted uses across two days. Report raw uses and all known opportunities, default entry points, and contamination. An unknown denominator remains unvalidated; this is not retention.</w:t>
            </w:r>
          </w:p>
        </w:tc>
      </w:tr>
    </w:tbl>
    <w:p/>
    <w:p>
      <w:r>
        <w:t>These exploratory minimums have not been met. Minimum event counts establish neither stable effects nor general safety or causal improvement.</w:t>
      </w:r>
    </w:p>
    <w:p>
      <w:pPr>
        <w:pStyle w:val="Heading1"/>
      </w:pPr>
      <w:r>
        <w:t>Internal questions about payment and further investment</w:t>
      </w:r>
    </w:p>
    <w:p>
      <w:pPr>
        <w:pStyle w:val="Heading2"/>
      </w:pPr>
      <w:r>
        <w:t>22 What would justify starting to pay</w:t>
      </w:r>
    </w:p>
    <w:p>
      <w:r>
        <w:t>Every participant with a suitable, safe, deliverable path receives the same complete quote for the same scope. Time-saving thresholds do not determine purchase eligibility. Record license and incremental charges, budget behavior, cancellation, and export. Record actual self-funded payment as gross purchase, then refunds and net retained purchases individually under the normal refund policy. Fixed study compensation does not depend on purchase; disclose possible reciprocity effects.</w:t>
      </w:r>
    </w:p>
    <w:p>
      <w:r>
        <w:t>A candidate rule for more investment is at least three people who each have comparable value and voluntary-use evidence, including at least two actual self-funded buyers retained after the refund window. Do not combine one person's savings with another person's choice or payment. Quote, purchase, and study qualification are separate records. A buyer who misses the predefined value rule is “purchased, mechanism unproven,” not erased or counted as a validated case. An undeliverable offer can establish only intent.</w:t>
      </w:r>
    </w:p>
    <w:p>
      <w:pPr>
        <w:pStyle w:val="Heading2"/>
      </w:pPr>
      <w:r>
        <w:t>23 What would justify continued subscription</w:t>
      </w:r>
    </w:p>
    <w:p>
      <w:r>
        <w:t>First-month purchase does not establish subscription value. Observe natural use across a complete paid month, daily net benefit, maintenance, fees, and bypassing Devbox despite an opportunity. Then observe the same buyer actively choosing and paying for a second month. Report refunds and cancellations separately.</w:t>
      </w:r>
    </w:p>
    <w:p>
      <w:r>
        <w:t>Two renewals are case-level signals supporting continued service and small expansion. Show both buyer and enrolled denominators, such as two of two buyers and two of six participants; do not infer general conversion or correct pricing.</w:t>
      </w:r>
    </w:p>
    <w:p>
      <w:r>
        <w:t>Retain 30 minutes of weekly net benefit as a candidate reference for a full week of free choice, and 30% improvement as a descriptive measure. They are not simultaneous hard gates for week one. Report benefit from actual B exposure, hypothetical whole-week use, and later recurring estimates separately. Keep all onboarding cost visible. Any payback period dependent on assumptions is an estimate to revisit during the paid month.</w:t>
      </w:r>
    </w:p>
    <w:p>
      <w:pPr>
        <w:pStyle w:val="Heading2"/>
      </w:pPr>
      <w:r>
        <w:t>24 In what order should the product be built</w:t>
      </w:r>
    </w:p>
    <w:p>
      <w:r>
        <w:t>Stage 0 freezes ground truth and measurement. Stage 1a implements provenance and scope; 1b implements local draft handling and saving; 1c implements purpose-specific authorization and reliable sending; 1d implements independent inquiry states, unobtrusive presentation, and truthful local fallback. Real capability checks and isolated replays precede recruitment. Prototype controls and labels do not mean these stages are complete.</w:t>
      </w:r>
    </w:p>
    <w:p>
      <w:r>
        <w:t>Stage 2 observes four to six people doing real tasks and reviews correctness, R, Q, M, and net benefit on day seven. Extend to day fourteen only for missing opportunities. Stage 3 connects the same person's value, voluntary use, and first purchase, then renewal after a complete billing period. Increase investment only after three consistent cases including two retained self-funded purchases. Keep buyers with unproven mechanisms separate and do not expand by having the author maintain users' work manually.</w:t>
      </w:r>
    </w:p>
    <w:p>
      <w:pPr>
        <w:pStyle w:val="Heading2"/>
      </w:pPr>
      <w:r>
        <w:t>25 How does feedback become an iteration or growth experiment</w:t>
      </w:r>
    </w:p>
    <w:p>
      <w:r>
        <w:t>Document and planning version 0.8 incorporate round-eight initial testing, fixes, and targeted checks against prototype 0.7. Preserve both the successful local handling and handoff evidence and the unanswered local-evidence question. The growth hypothesis remains repeated reduction in the net burden of resuming work, without creating another inquiry inbox users must maintain. [U11–U13]</w:t>
      </w:r>
    </w:p>
    <w:p>
      <w:r>
        <w:t>Compare against the strong handoff and record checking and maintenance costs. Less checking must still preserve quality. New attention or conflict benefits begin as concrete cases. Fewer clicks, no source revisits, or simulated agreement cannot replace net benefit and actual payment. Do not change metrics retrospectively to hide failure.</w:t>
      </w:r>
    </w:p>
    <w:p>
      <w:pPr>
        <w:pStyle w:val="Heading2"/>
      </w:pPr>
      <w:r>
        <w:t>26 What should this review approve</w:t>
      </w:r>
    </w:p>
    <w:p>
      <w:r>
        <w:t>Approve limited implementation and readiness verification, followed by the exploratory trial under the existing rules. Add independent request state, local lookup boundaries, and reading or maintenance burden as reasons to narrow or stop a path. Do not add a requirement that every cost category decline before a customer may buy.</w:t>
      </w:r>
    </w:p>
    <w:p>
      <w:r>
        <w:t>The same simulated user accepted the revised preparation and trial plan without remaining document blockers. This is acceptance of a plan only, not validated engineering, real enrollment, funding, product value, payment, or growth. This document does not itself recruit, charge, or launch anything. [U14–U15]</w:t>
      </w:r>
    </w:p>
    <w:p>
      <w:pPr>
        <w:pStyle w:val="Heading2"/>
      </w:pPr>
      <w:r>
        <w:t>27 What evidence belongs at the next review</w:t>
      </w:r>
    </w:p>
    <w:p>
      <w:r>
        <w:t>Bring a linked record for every enrolled person: each question's channel and state, its reply and source coverage, repair authorization and actual actions, R/Q/M and total cost, repeated reading or organization or chasing, disconnected sources, assistance, quotes, purchases, and refunds. Explain unanswered questions and abandonment first. Separate natural tasks from replay scenarios. No opportunity is not a pass.</w:t>
      </w:r>
    </w:p>
    <w:p>
      <w:pPr>
        <w:pStyle w:val="Heading1"/>
        <w:pageBreakBefore/>
      </w:pPr>
      <w:r>
        <w:t>Appendix A Trial schedule and decisions</w:t>
      </w:r>
    </w:p>
    <w:tbl>
      <w:tblPr>
        <w:tblW w:type="auto" w:w="0"/>
        <w:tblLayout w:type="fixed"/>
        <w:tblLook w:firstColumn="1" w:firstRow="1" w:lastColumn="0" w:lastRow="0" w:noHBand="0" w:noVBand="1" w:val="04A0"/>
      </w:tblPr>
      <w:tblGrid>
        <w:gridCol w:w="2160"/>
        <w:gridCol w:w="8064"/>
      </w:tblGrid>
      <w:tr>
        <w:trPr>
          <w:cantSplit/>
          <w:tblHeader/>
        </w:trPr>
        <w:tc>
          <w:tcPr>
            <w:tcW w:type="dxa" w:w="2160"/>
            <w:tcBorders>
              <w:top w:val="single" w:sz="4" w:color="D9DDE2"/>
              <w:left w:val="single" w:sz="4" w:color="D9DDE2"/>
              <w:bottom w:val="single" w:sz="4" w:color="D9DDE2"/>
              <w:right w:val="single" w:sz="4" w:color="D9DDE2"/>
            </w:tcBorders>
            <w:shd w:fill="E8EDF3"/>
          </w:tcPr>
          <w:p>
            <w:pPr>
              <w:spacing w:before="80" w:after="80"/>
            </w:pPr>
            <w:r>
              <w:rPr>
                <w:b/>
                <w:sz w:val="19"/>
              </w:rPr>
              <w:t>When</w:t>
            </w:r>
          </w:p>
        </w:tc>
        <w:tc>
          <w:tcPr>
            <w:tcW w:type="dxa" w:w="8064"/>
            <w:tcBorders>
              <w:top w:val="single" w:sz="4" w:color="D9DDE2"/>
              <w:left w:val="single" w:sz="4" w:color="D9DDE2"/>
              <w:bottom w:val="single" w:sz="4" w:color="D9DDE2"/>
              <w:right w:val="single" w:sz="4" w:color="D9DDE2"/>
            </w:tcBorders>
            <w:shd w:fill="E8EDF3"/>
          </w:tcPr>
          <w:p>
            <w:pPr>
              <w:spacing w:before="80" w:after="80"/>
            </w:pPr>
            <w:r>
              <w:rPr>
                <w:b/>
                <w:sz w:val="19"/>
              </w:rPr>
              <w:t>Activity and output</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Preparation</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Freeze request-level ground truth, the strong handoff, cost definitions, matching, fees, and stops. Replay disorder, retries, and fallback. Record study burden without requiring per-request participant forms.</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Days 1 to 4</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Randomly assign similar tasks or branches to A/B and retain assignments. Observe natural returns. The user or their agent maintains A's strong handoff normally; researchers do not write it.</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Days 5 to 6</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Free choice without immediate prompts. Collect minimal agreed event records and optional checks of missing events, at most two minutes daily within the weekly research allowance. Exclude contaminated events from the main comparison.</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Day 7</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Invite an optional debrief within the agreed allowance. Researchers preserve missing data. Review attribution, authorization, R/Q/M, net benefit, and new chasing or organization. Quote all suitable deliverable participants consistently.</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Days 8 to 14</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Extend only for missing natural opportunities or matching and with fresh consent. Specify the extension's effort budget, cost responsibility, and data terms. Do not assume another 30-minute allowance. Keep uncontaminated original assignments for comparison; switched tasks inform voluntary-use observation only. Archive unresolved results by day fourteen; record new versions separately.</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Full billing period</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Observe voluntary use, recurring benefit, budget and support, refunds, cancellations, and the same person's second-month payment. Week one cannot establish subscription value.</w:t>
            </w:r>
          </w:p>
        </w:tc>
      </w:tr>
    </w:tbl>
    <w:p/>
    <w:p>
      <w:r>
        <w:t>At review, a person meeting the individual value and voluntary-choice rules can enter the consistent-case group. A purchase without demonstrated mechanism remains a real purchase but is analyzed separately. Missing or incomparable opportunities can justify the limited extension; low frequency and withdrawals remain in the record. Diagnose negative benefit by checking, maintenance, and compatibility. Serious errors pause the affected capability. Neither extensions nor later versions erase earlier failures.</w:t>
      </w:r>
    </w:p>
    <w:p>
      <w:pPr>
        <w:pStyle w:val="Heading1"/>
      </w:pPr>
      <w:r>
        <w:t>Appendix B Cost definitions and comparison method</w:t>
      </w:r>
    </w:p>
    <w:p>
      <w:pPr>
        <w:pStyle w:val="Heading2"/>
      </w:pPr>
      <w:r>
        <w:t>Events and independent correctness</w:t>
      </w:r>
    </w:p>
    <w:p>
      <w:r>
        <w:t>An opportunity is an intentional return to interrupted work requiring context recovery. Notifications and repeated page openings are not separate opportunities. Record participant, task, product version, path, time away, material volume, assigned condition, and contamination. An event is not each individual inquiry; record related pending questions, new replies, and source gaps as complexity rather than inflating successful-event counts.</w:t>
      </w:r>
    </w:p>
    <w:p>
      <w:r>
        <w:t>An evaluator establishes independent ground truth from original sessions, explicit user decisions, and applicable versions: reasons, constraints, replacements, unknowns, and affected draft sentences. Check the actual submitted text and attachments, authorized purpose/scope/target, and agent tool actions. Mark indeterminate cases unknown. A receipt does not prove compliance. Brief comprehension checks happen after the decision and timed work, combined with other questions and optionally deferred to an agreed time.</w:t>
      </w:r>
    </w:p>
    <w:p>
      <w:r>
        <w:t>Match within the same person and path, with time-away bands of one to two days, three to seven days, and more than seven days. Source text needing review must be within 0.5 to 2 times the comparison volume. Before allocation, use independent sources to assess evidence complexity, constraint changes, and conflicts. Each B needs at least two eligible A events for estimation. Use the same matched set for R, Q, and M rather than selecting favorable subsets. Insufficient comparisons remain unknown.</w:t>
      </w:r>
    </w:p>
    <w:p>
      <w:r>
        <w:t>Measure from opening the interrupted task to a correct recorded decision or acceptance by the correct original session; report those endpoints separately. Delivery of an investigation question is not repair handoff. Retain actual time and outcome for failures and exits.</w:t>
      </w:r>
    </w:p>
    <w:tbl>
      <w:tblPr>
        <w:tblW w:type="auto" w:w="0"/>
        <w:tblLayout w:type="fixed"/>
        <w:tblLook w:firstColumn="1" w:firstRow="1" w:lastColumn="0" w:lastRow="0" w:noHBand="0" w:noVBand="1" w:val="04A0"/>
      </w:tblPr>
      <w:tblGrid>
        <w:gridCol w:w="2160"/>
        <w:gridCol w:w="8064"/>
      </w:tblGrid>
      <w:tr>
        <w:trPr>
          <w:cantSplit/>
          <w:tblHeader/>
        </w:trPr>
        <w:tc>
          <w:tcPr>
            <w:tcW w:type="dxa" w:w="2160"/>
            <w:tcBorders>
              <w:top w:val="single" w:sz="4" w:color="D9DDE2"/>
              <w:left w:val="single" w:sz="4" w:color="D9DDE2"/>
              <w:bottom w:val="single" w:sz="4" w:color="D9DDE2"/>
              <w:right w:val="single" w:sz="4" w:color="D9DDE2"/>
            </w:tcBorders>
            <w:shd w:fill="E8EDF3"/>
          </w:tcPr>
          <w:p>
            <w:pPr>
              <w:spacing w:before="80" w:after="80"/>
            </w:pPr>
            <w:r>
              <w:rPr>
                <w:b/>
                <w:sz w:val="19"/>
              </w:rPr>
              <w:t>Symbol</w:t>
            </w:r>
          </w:p>
        </w:tc>
        <w:tc>
          <w:tcPr>
            <w:tcW w:type="dxa" w:w="8064"/>
            <w:tcBorders>
              <w:top w:val="single" w:sz="4" w:color="D9DDE2"/>
              <w:left w:val="single" w:sz="4" w:color="D9DDE2"/>
              <w:bottom w:val="single" w:sz="4" w:color="D9DDE2"/>
              <w:right w:val="single" w:sz="4" w:color="D9DDE2"/>
            </w:tcBorders>
            <w:shd w:fill="E8EDF3"/>
          </w:tcPr>
          <w:p>
            <w:pPr>
              <w:spacing w:before="80" w:after="80"/>
            </w:pPr>
            <w:r>
              <w:rPr>
                <w:b/>
                <w:sz w:val="19"/>
              </w:rPr>
              <w:t>Cost included</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F</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Finding and understanding work: stopping point, old and new questions, who is waiting for whom, summaries, receipts, history, and drafts. Fewer clicks do not automatically reduce F.</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Q</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Checking reasons, effective constraints, versions, logs, and diffs, including extra checking caused by distrust. Label task-required versus product-added work; both count, and the reason label is checked against sources.</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D</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Ordinary decisions, drafting, target confirmation, and sending. Corrections caused by product errors belong to X, not both.</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X</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Correcting wrong rationale, constraints or associations, recovering lost drafts, and redoing wrong handoffs. Subsequent evidence reading belongs to Q; count each interval once.</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W</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Blocking wait, such as send-to-acceptance, counted separately as wall-clock time. Background work that allows other activity is not attention time.</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M</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Maintenance outside return events: handoff updates, archiving or renaming requests, chasing status, a second list, connection repair, budgets, and help. Do not recount work already in an event. Separate participant effort from author support.</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I</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One-time connection, migration, and learning cost, shown in full. Separate researcher questions, scoring, and recording setup. Assistance required during ordinary use is product support, not hidden research time.</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R</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A reading, understanding, and verification view of intervals already assigned to F or Q. R is reported separately but never added again to total cost.</w:t>
            </w:r>
          </w:p>
        </w:tc>
      </w:tr>
    </w:tbl>
    <w:p/>
    <w:p>
      <w:pPr>
        <w:pStyle w:val="Heading2"/>
      </w:pPr>
      <w:r>
        <w:t>Benefit calculation</w:t>
      </w:r>
    </w:p>
    <w:p>
      <w:r>
        <w:t>Let E = F + Q + D + X + W. Allocate each condition's event-external M once across its task's eligible returns in the comparison window. Then C = E + allocated M. Do not allocate one-time I into event cost.</w:t>
      </w:r>
    </w:p>
    <w:p>
      <w:r>
        <w:t>Estimated benefit under actual B exposure is the sum, over B events, of [median matched A cost C minus B cost C], less all B onboarding I. Report additional A trial setup separately; do not turn it into B benefit. Deduct otherwise unassigned routine B maintenance in the comparison window once. Report A's unassigned maintenance separately rather than artificially increasing B benefit. Calculate active-time results without W and wall-clock results with W separately.</w:t>
      </w:r>
    </w:p>
    <w:p>
      <w:r>
        <w:t>Recompute with minimum and maximum eligible A costs and remove each B in turn to test direction. Include timing and coding uncertainty. These are sensitivity ranges, not confidence intervals or observed counterfactuals. Keep unknown, unmatched, contaminated, and failed observations visible; do not impute zero. Missing costs for core events leave overall benefit unvalidated.</w:t>
      </w:r>
    </w:p>
    <w:p>
      <w:r>
        <w:t>A positive conservative recurring-benefit estimate means the estimate remains positive using the lowest eligible A cost, after recurring maintenance, and after removing any one B. This is exploratory matched-case sensitivity, not a causal effect. Keep all onboarding costs and any assumed payback period separate. Extrapolation to a full week of B covers only observed supported opportunities; identify unrealized portions and assumptions, and do not call them actual savings. Recheck recurring benefit during a full free-choice week and paid month. Freeze these rules before the first real participant; subsequent changes belong to a new round.</w:t>
      </w:r>
    </w:p>
    <w:p>
      <w:pPr>
        <w:pStyle w:val="Heading2"/>
      </w:pPr>
      <w:r>
        <w:t>Reading and maintenance claims</w:t>
      </w:r>
    </w:p>
    <w:p>
      <w:r>
        <w:t>For each person, summarize delta R = R_B minus the matched A median over the same matched set. Evaluate delta M on comparable task-days with actual maintenance opportunities. Show each B's R/Q/X/M attribution, direction of added burden, worst case, and missing observations. Sensitivity includes A's minimum/maximum, timing and coding ranges, and removal of individual events. If direction changes or the range spans zero, say uncertain.</w:t>
      </w:r>
    </w:p>
    <w:p>
      <w:r>
        <w:t>Only with preserved correctness and critical evidence coverage and a conservative upper bound at or below zero may the report say no increase was observed in those events. Do not pool people to make that claim or imply statistical equivalence. Checking cost has declined only when matched Q savings remain positive through sensitivity checks without quality loss. If Q or R increases while total burden falls, report both findings. No maintenance opportunity or missing records means unvalidated, not zero cost.</w:t>
      </w:r>
    </w:p>
    <w:p>
      <w:r>
        <w:t>Report missed conflicts over independently established conflict opportunities, false alerts over non-conflict opportunities, and unscorable cases. Use raw counts and denominators without unsupported reliability promises. Do not offset a participant abandoning the product because of repeated organization or false alerts with average savings or payment elsewhere.</w:t>
      </w:r>
    </w:p>
    <w:p>
      <w:pPr>
        <w:pStyle w:val="Heading2"/>
      </w:pPr>
      <w:r>
        <w:t>Measurement burden</w:t>
      </w:r>
    </w:p>
    <w:p>
      <w:r>
        <w:t>With consent, use minimal timestamps and limited local observation or redacted recordings; do not collect secrets or irrelevant content. Page dwell is not automatically attention time. Unreliable segmentation remains an interval or unknown. Researchers code afterward without asking participants to attend, reenact, or label every request.</w:t>
      </w:r>
    </w:p>
    <w:p>
      <w:r>
        <w:t>Combine questions about a return and permit a fixed later review time. Optional daily missing-event checks last at most two minutes and count toward the first-week 30-minute total for questions and debrief. Stop extra requests at the agreed limit; missingness stays missing. Skipping or withdrawal does not reduce agreed fixed compensation. Report both product costs and the person's actual total study investment. Observe at least two natural returns for persistence, but do not call that long-term maintenance validation.</w:t>
      </w:r>
    </w:p>
    <w:p>
      <w:pPr>
        <w:pStyle w:val="Heading1"/>
      </w:pPr>
      <w:r>
        <w:t>Appendix C Recovery and authorization boundaries</w:t>
      </w:r>
    </w:p>
    <w:p>
      <w:pPr>
        <w:pStyle w:val="Heading2"/>
      </w:pPr>
      <w:r>
        <w:t>Provenance and conflicts</w:t>
      </w:r>
    </w:p>
    <w:p>
      <w:r>
        <w:t>Compression must preserve original text, author, time, work scope, and applicable version. Distinguish user decisions, tool observations, and agent judgments. Do not infer an unrecorded motive. An explicit same-scope replacement can update an effective requirement; recency and model confidence do not confer authorization. If scope is unknown, retain both records rather than inventing an independent-test purpose. Choosing an old limit now is a new decision, not recovered historical intent.</w:t>
      </w:r>
    </w:p>
    <w:p>
      <w:r>
        <w:t>Matching source snapshots does not prove that the draft agrees with them. For example, when evidence changes the limit from two attempts to one but the body still requests two, pause the affected submission and show the original sentence, source, and local difference. Let the user change only that sentence or explicitly preserve two attempts as a historical comparison. Both actual text and attachment must carry that scope. Unclear meaning stays unresolved; investigation remains available.</w:t>
      </w:r>
    </w:p>
    <w:p>
      <w:r>
        <w:t>Corrections bind to the source and work. Undo changes only that location and preserves later edits. If a target cannot be uniquely located, leave the draft intact and explain the limitation. A subsequent correction or manual edit clears obsolete undo feedback. Prototype examples exercise later-edit preservation and refresh, not arbitrary semantics or arbitrary editing.</w:t>
      </w:r>
    </w:p>
    <w:p>
      <w:r>
        <w:t>Missing or stale sources show known versions and coverage gaps. They neither revoke old requirements automatically nor adopt new suggestions. Pause related repair or acceptance while allowing reading, editing, saving, investigation, and unrelated work. Synchronization does not resolve semantic conflict.</w:t>
      </w:r>
    </w:p>
    <w:p>
      <w:pPr>
        <w:pStyle w:val="Heading2"/>
      </w:pPr>
      <w:r>
        <w:t>Authorization by action</w:t>
      </w:r>
    </w:p>
    <w:tbl>
      <w:tblPr>
        <w:tblW w:type="auto" w:w="0"/>
        <w:tblLayout w:type="fixed"/>
        <w:tblLook w:firstColumn="1" w:firstRow="1" w:lastColumn="0" w:lastRow="0" w:noHBand="0" w:noVBand="1" w:val="04A0"/>
      </w:tblPr>
      <w:tblGrid>
        <w:gridCol w:w="2160"/>
        <w:gridCol w:w="8064"/>
      </w:tblGrid>
      <w:tr>
        <w:trPr>
          <w:cantSplit/>
          <w:tblHeader/>
        </w:trPr>
        <w:tc>
          <w:tcPr>
            <w:tcW w:type="dxa" w:w="2160"/>
            <w:tcBorders>
              <w:top w:val="single" w:sz="4" w:color="D9DDE2"/>
              <w:left w:val="single" w:sz="4" w:color="D9DDE2"/>
              <w:bottom w:val="single" w:sz="4" w:color="D9DDE2"/>
              <w:right w:val="single" w:sz="4" w:color="D9DDE2"/>
            </w:tcBorders>
            <w:shd w:fill="E8EDF3"/>
          </w:tcPr>
          <w:p>
            <w:pPr>
              <w:spacing w:before="80" w:after="80"/>
            </w:pPr>
            <w:r>
              <w:rPr>
                <w:b/>
                <w:sz w:val="19"/>
              </w:rPr>
              <w:t>Action</w:t>
            </w:r>
          </w:p>
        </w:tc>
        <w:tc>
          <w:tcPr>
            <w:tcW w:type="dxa" w:w="8064"/>
            <w:tcBorders>
              <w:top w:val="single" w:sz="4" w:color="D9DDE2"/>
              <w:left w:val="single" w:sz="4" w:color="D9DDE2"/>
              <w:bottom w:val="single" w:sz="4" w:color="D9DDE2"/>
              <w:right w:val="single" w:sz="4" w:color="D9DDE2"/>
            </w:tcBorders>
            <w:shd w:fill="E8EDF3"/>
          </w:tcPr>
          <w:p>
            <w:pPr>
              <w:spacing w:before="80" w:after="80"/>
            </w:pPr>
            <w:r>
              <w:rPr>
                <w:b/>
                <w:sz w:val="19"/>
              </w:rPr>
              <w:t>Authorized scope</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Restore or save</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Restore text, target, and snapshot locally; send nothing. Unchanged evidence avoids repeated procedure but does not certify draft correctness.</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Investigate only</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Read and explain authorized records. No commands, tests, or code changes. Keep a separate question, target, and receipt. Without enforceable read-only access, show local records and disclose missing coverage without claiming agent acceptance.</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Decide this task's scope</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Record the user's explicit choice, such as retaining one attempt for this PR while deferring an unclear three-attempt instruction. Preserve unknown original intent. The decision applies to this work and still requires explicit submission; it is not a global rule.</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Delegate repair</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Show proposed changes, permitted tests, unresolved items, original session, and evidence version. Authorization occurs on explicit submission. Actions beyond investigation require a separate visible scope and user authorization; investigation cannot silently accumulate write or test permissions.</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Accept a result</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Bind receipts to the inquiry or repair and audit actual actions. User acceptance concerns the corresponding current result version. Source updates do not accept results or merge PRs.</w:t>
            </w:r>
          </w:p>
        </w:tc>
      </w:tr>
    </w:tbl>
    <w:p/>
    <w:p>
      <w:r>
        <w:t>Before sending, recompare relevant source versions and freeze the actual body, evidence, and authorization. A new relevant change preserves edits and reopens only the affected check; stale confirmation cannot be reused. What the user reviews must match what is sent. Identical resynchronization or reordered display needs no repeated acknowledgment. Changes in values, scope, replacement relationships, or critical coverage gaps do. Unknown impact is marked uncertain. Real concurrency and transport are not validated by the prototype.</w:t>
      </w:r>
    </w:p>
    <w:p>
      <w:r>
        <w:t>Read-only investigation does not revoke permissions the original agent already holds. If the connection cannot enforce read-only access, degrade to authorized records displayed within Devbox or let the user investigate in the original tool. The local path sends no message to a write-capable agent and runs no commands or tests. Original-tool investigation is recorded as manual effort, not automated success.</w:t>
      </w:r>
    </w:p>
    <w:p>
      <w:r>
        <w:t>A closed, deleted, or disconnected original session requires an explicit fallback; never create another session and present it as the original. Confirm target and version before a real send. Retries must not duplicate execution. No receipt means unknown. Copying a handoff or choosing another target requires an explicit choice and separate outcome reporting.</w:t>
      </w:r>
    </w:p>
    <w:p>
      <w:pPr>
        <w:pStyle w:val="Heading1"/>
      </w:pPr>
      <w:r>
        <w:t>Appendix D Independent inquiries and local lookup</w:t>
      </w:r>
    </w:p>
    <w:p>
      <w:r>
        <w:t>Each inquiry has a stable internal identity, question summary, submission time, target and work, channel, and source snapshot. Users do not maintain IDs. A current unsent draft must never inherit an old request's receipt. Draft, sending, delivered, accepted awaiting reply, replied, failed, and unknown are distinct; unsupported receipts remain unknown. Replied means content arrived, not that a question was answered correctly or that sources cover it.</w:t>
      </w:r>
    </w:p>
    <w:p>
      <w:r>
        <w:t>Creating B or doing a local lookup while A awaits a reply leaves A intact. Out-of-order replies bind to their original requests rather than overwriting the latest question. Replies based on old evidence identify their scope and later changes. Retries of one send retain its identity and prevent duplicates; a substantively revised question creates a related new request. Do not automatically resend after an unknown outcome and claim success. Late receipts add no new execution authority.</w:t>
      </w:r>
    </w:p>
    <w:p>
      <w:r>
        <w:t>Collapsing or stopping tracking changes the attention view, not remote execution. Preserve recoverable state. Remote cancellation requires channel support and confirmation; otherwise say cancellation unconfirmed. The first release may omit remote cancellation. Ordinary waiting does not become “Needs you” or block unrelated work. Explain concrete dependencies for any blocked action. An item should not resurface without a relevant new reply, material source change, or explicit reopening; explain what changed. Users need not mark each item read, verified, or closed, pair replies manually, or keep a second list.</w:t>
      </w:r>
    </w:p>
    <w:p>
      <w:r>
        <w:t>Prototype 0.7 has targeted evidence for an older remote pending question coexisting with a new local lookup, persistence, and correct message attribution. Real disorder, duplicates, cancellation, attribution, large request sets, and status classification remain implementation and validation work.</w:t>
      </w:r>
    </w:p>
    <w:tbl>
      <w:tblPr>
        <w:tblW w:type="auto" w:w="0"/>
        <w:tblLayout w:type="fixed"/>
        <w:tblLook w:firstColumn="1" w:firstRow="1" w:lastColumn="0" w:lastRow="0" w:noHBand="0" w:noVBand="1" w:val="04A0"/>
      </w:tblPr>
      <w:tblGrid>
        <w:gridCol w:w="2160"/>
        <w:gridCol w:w="8064"/>
      </w:tblGrid>
      <w:tr>
        <w:trPr>
          <w:cantSplit/>
          <w:tblHeader/>
        </w:trPr>
        <w:tc>
          <w:tcPr>
            <w:tcW w:type="dxa" w:w="2160"/>
            <w:tcBorders>
              <w:top w:val="single" w:sz="4" w:color="D9DDE2"/>
              <w:left w:val="single" w:sz="4" w:color="D9DDE2"/>
              <w:bottom w:val="single" w:sz="4" w:color="D9DDE2"/>
              <w:right w:val="single" w:sz="4" w:color="D9DDE2"/>
            </w:tcBorders>
            <w:shd w:fill="E8EDF3"/>
          </w:tcPr>
          <w:p>
            <w:pPr>
              <w:spacing w:before="80" w:after="80"/>
            </w:pPr>
            <w:r>
              <w:rPr>
                <w:b/>
                <w:sz w:val="19"/>
              </w:rPr>
              <w:t>Capability</w:t>
            </w:r>
          </w:p>
        </w:tc>
        <w:tc>
          <w:tcPr>
            <w:tcW w:type="dxa" w:w="8064"/>
            <w:tcBorders>
              <w:top w:val="single" w:sz="4" w:color="D9DDE2"/>
              <w:left w:val="single" w:sz="4" w:color="D9DDE2"/>
              <w:bottom w:val="single" w:sz="4" w:color="D9DDE2"/>
              <w:right w:val="single" w:sz="4" w:color="D9DDE2"/>
            </w:tcBorders>
            <w:shd w:fill="E8EDF3"/>
          </w:tcPr>
          <w:p>
            <w:pPr>
              <w:spacing w:before="80" w:after="80"/>
            </w:pPr>
            <w:r>
              <w:rPr>
                <w:b/>
                <w:sz w:val="19"/>
              </w:rPr>
              <w:t>Honest output and next step</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Saved record display</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Show original text, provenance, author, time, scope, and known coverage. The prototype displays a fixed source summary. Say records displayed and question not yet verified; do not claim an answer was found.</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Relevant passage retrieval</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A real implementation must locate passages relevant to the current question. Relevance does not prove an inference. Separate no match from incomplete history, missing integration, or disconnection; incomplete coverage does not prove absence.</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Explanation with sources</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Answer only where records support the claim, distinguishing facts, inference, and unknowns. Show conflicting sources together and do not invent missing reasons. Independently score retrieval and explanation; the prototype has neither capability.</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No enforceable read-only channel</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Preserve inquiry and repair drafts, use authorized local records, and expose direct original-record or original-tool access. Keep unanswered status. Do not require an extra “I verified this” step or a second user-written explanation. Count manual fallback cost.</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Later source change</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Retain the evidence time, version, and gaps of each investigation. Surface differences affecting the current decision without rewriting old answers. If effect is uncertain, mark it and permit draft work while pausing related execution.</w:t>
            </w:r>
          </w:p>
        </w:tc>
      </w:tr>
    </w:tbl>
    <w:p/>
    <w:p>
      <w:r>
        <w:t>Before enrollment, specify support for record display, passage retrieval, and sourced explanation for each actual connection, with history start and failure route. Analyze capability levels separately. A display-only trial can evaluate recovery, locating sources, and reading burden; it cannot count questions answered or automatic rationale recovery as success. Stronger-capability users cannot validate weaker-capability users' mechanisms.</w:t>
      </w:r>
    </w:p>
    <w:p>
      <w:pPr>
        <w:pStyle w:val="Heading1"/>
      </w:pPr>
      <w:r>
        <w:t>Appendix E Boundaries to validate before real repair</w:t>
      </w:r>
    </w:p>
    <w:p>
      <w:r>
        <w:t>Replay isolated examples through every real submission entry point before opening limited real repair. Fix observed critical violations first. Disclose unsupported language patterns and paths and offer manual checks. Passing establishes readiness for those scenarios, not a general reliability rate.</w:t>
      </w:r>
    </w:p>
    <w:tbl>
      <w:tblPr>
        <w:tblW w:type="auto" w:w="0"/>
        <w:tblLayout w:type="fixed"/>
        <w:tblLook w:firstColumn="1" w:firstRow="1" w:lastColumn="0" w:lastRow="0" w:noHBand="0" w:noVBand="1" w:val="04A0"/>
      </w:tblPr>
      <w:tblGrid>
        <w:gridCol w:w="2160"/>
        <w:gridCol w:w="8064"/>
      </w:tblGrid>
      <w:tr>
        <w:trPr>
          <w:cantSplit/>
          <w:tblHeader/>
        </w:trPr>
        <w:tc>
          <w:tcPr>
            <w:tcW w:type="dxa" w:w="2160"/>
            <w:tcBorders>
              <w:top w:val="single" w:sz="4" w:color="D9DDE2"/>
              <w:left w:val="single" w:sz="4" w:color="D9DDE2"/>
              <w:bottom w:val="single" w:sz="4" w:color="D9DDE2"/>
              <w:right w:val="single" w:sz="4" w:color="D9DDE2"/>
            </w:tcBorders>
            <w:shd w:fill="E8EDF3"/>
          </w:tcPr>
          <w:p>
            <w:pPr>
              <w:spacing w:before="80" w:after="80"/>
            </w:pPr>
            <w:r>
              <w:rPr>
                <w:b/>
                <w:sz w:val="19"/>
              </w:rPr>
              <w:t>Scenario</w:t>
            </w:r>
          </w:p>
        </w:tc>
        <w:tc>
          <w:tcPr>
            <w:tcW w:type="dxa" w:w="8064"/>
            <w:tcBorders>
              <w:top w:val="single" w:sz="4" w:color="D9DDE2"/>
              <w:left w:val="single" w:sz="4" w:color="D9DDE2"/>
              <w:bottom w:val="single" w:sz="4" w:color="D9DDE2"/>
              <w:right w:val="single" w:sz="4" w:color="D9DDE2"/>
            </w:tcBorders>
            <w:shd w:fill="E8EDF3"/>
          </w:tcPr>
          <w:p>
            <w:pPr>
              <w:spacing w:before="80" w:after="80"/>
            </w:pPr>
            <w:r>
              <w:rPr>
                <w:b/>
                <w:sz w:val="19"/>
              </w:rPr>
              <w:t>Required observation</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Draft conflict coverage</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Positive and negative examples for explicit numbers, alternate wording, implied requirements, negation, and historical comparison. Independently label affected sentences; record misses, false alerts, unknowns, and checking time. Limited matching cannot certify a whole draft.</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Source and scope conflicts</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Explicit replacement, simultaneous changes, same labels across different work, and unknown scope. Preserve sources and unknowns; separate a new user choice from historical facts. Do not expand scope through time order or similarity.</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Local edits and undo</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Change one sentence, preserve a historical comparison, undo wording and scope, and make later custom edits. Inspect the actual final body and attachment. Do not lose later edits or repeat unchanged work.</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Staleness and send races</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New evidence during editing, refresh, or sending, plus source disconnection or deletion. Preserve text and check affected items. No automatic send or silently stale instruction; unrelated reading remains possible.</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Investigation escalation</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Test investigation-only actions at every entry point, including mixed intent and requests to run tests. Unclear purpose needs explicit scope. Inspect existing agent permissions, enforced restrictions, and actual tool actions; labels alone are insufficient. Degrade when restrictions cannot be enforced.</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Targets and retries</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Closed sessions, changed targets, late receipts after timeout, duplicate clicks, and retry. No substituted original session or duplicate execution. Unknown stays unknown; manual copying and retargeting do not count as original-session automation.</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Multiple views and new results</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Home, workspace, original-session view, draft, and receipt agree on version and purpose. Investigation can wait while repair is unresolved. Old checks and acceptance cannot stand in for results under new constraints.</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Persistence and maintenance</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Across at least two natural returns, drafts are findable, corrections persist, and only changes need checking. Disclose browser clearing and cross-device limits. Count lost drafts and repeated organization.</w:t>
            </w:r>
          </w:p>
        </w:tc>
      </w:tr>
      <w:tr>
        <w:trPr>
          <w:cantSplit/>
        </w:trPr>
        <w:tc>
          <w:tcPr>
            <w:tcW w:type="dxa" w:w="2160"/>
            <w:tcBorders>
              <w:top w:val="single" w:sz="4" w:color="D9DDE2"/>
              <w:left w:val="single" w:sz="4" w:color="D9DDE2"/>
              <w:bottom w:val="single" w:sz="4" w:color="D9DDE2"/>
              <w:right w:val="single" w:sz="4" w:color="D9DDE2"/>
            </w:tcBorders>
          </w:tcPr>
          <w:p>
            <w:pPr>
              <w:spacing w:before="80" w:after="80"/>
            </w:pPr>
            <w:r>
              <w:rPr>
                <w:b w:val="0"/>
                <w:sz w:val="19"/>
              </w:rPr>
              <w:t>Multiple inquiry states</w:t>
            </w:r>
          </w:p>
        </w:tc>
        <w:tc>
          <w:tcPr>
            <w:tcW w:type="dxa" w:w="8064"/>
            <w:tcBorders>
              <w:top w:val="single" w:sz="4" w:color="D9DDE2"/>
              <w:left w:val="single" w:sz="4" w:color="D9DDE2"/>
              <w:bottom w:val="single" w:sz="4" w:color="D9DDE2"/>
              <w:right w:val="single" w:sz="4" w:color="D9DDE2"/>
            </w:tcBorders>
          </w:tcPr>
          <w:p>
            <w:pPr>
              <w:spacing w:before="80" w:after="80"/>
            </w:pPr>
            <w:r>
              <w:rPr>
                <w:b w:val="0"/>
                <w:sz w:val="19"/>
              </w:rPr>
              <w:t>Two or more requests, out-of-order and late replies, retries, changed sources, and no read-only capability. Compare actual transport, receipts, and tool actions against independent truth. A home view with one relevant prerequisite and several unrelated pending replies must block only the relevant action, without requiring list cleanup.</w:t>
            </w:r>
          </w:p>
        </w:tc>
      </w:tr>
    </w:tbl>
    <w:p/>
    <w:p>
      <w:r>
        <w:t>Connect natural events to independent truth, request and reply, actual authority and action, and participant cost. Do not force extra questions or risky tasks to fill anomaly quotas. Rare failure replays test function and stay out of natural-benefit denominators. Unobserved mechanisms remain unvalidated. New versions do not overwrite original failures or change the payment rules.</w:t>
      </w:r>
    </w:p>
    <w:p>
      <w:pPr>
        <w:pStyle w:val="Heading1"/>
      </w:pPr>
      <w:r>
        <w:t>Appendix F Proposed enrollment arrangement</w:t>
      </w:r>
    </w:p>
    <w:p>
      <w:r>
        <w:t>The proposal is one low-risk path for the simulated user's profile. The research owner fills in the actual connection, capability tier, history coverage, failure routes, cost responsibility, fixed compensation, and retention terms before obtaining real consent. The participant does not maintain this record. The current fixed-record prototype is not a verified real connection and cannot itself justify recruitment or automatic recovery claims.</w:t>
      </w:r>
    </w:p>
    <w:p>
      <w:r>
        <w:t>Allow at most 30 minutes for connection, teaching, and practice, plus at most 30 minutes total in week one for additional questions, optional missing-event checks, and debrief. Participants may choose less. Daily checks last at most two minutes within that total. Combine checks from the same event and permit a fixed later time. No per-request annotation, attendance during research coding, or reenactment quotas are required. These are candidate study arrangements, not a universal research standard.</w:t>
      </w:r>
    </w:p>
    <w:p>
      <w:r>
        <w:t>Stop extra collection requests at the limit and retain unknowns. Additional setup requires a separate appointment the participant chooses; otherwise stop setup. Skipping or withdrawal does not reduce agreed fixed compensation. Original tools remain available. If understanding state requires maintaining another list, record a product failure and narrow the path rather than assigning the participant more work.</w:t>
      </w:r>
    </w:p>
    <w:p>
      <w:r>
        <w:t>Propose a free seven-day Devbox license with incremental processing covered by an established research budget and zero incremental Devbox billing to the participant. If that cannot be assured, do not open the path. Existing agent fees remain separate under the person's chosen budget. Do not promise a hard cap without enforcement. No automatic subscription conversion; purchase and renewal are separate choices. No funds or spending are authorized by this proposal.</w:t>
      </w:r>
    </w:p>
    <w:p>
      <w:r>
        <w:t>Show the record scope and storage location before enrollment. Proposed exit behavior allows export and disconnection, deletes product-derived records by default, and retains research data only under separate consent; the suggested maximum for anonymous research data is 30 days. Verify actual export, deletion, and retention behavior and fill in the agreement before collecting real data. Original-tool records remain intact. The review accepts a plan to prepare these arrangements, not a completed enrollment or payment.</w:t>
      </w:r>
    </w:p>
    <w:p>
      <w:pPr>
        <w:pStyle w:val="Heading1"/>
      </w:pPr>
      <w:r>
        <w:t>Evidence and version history</w:t>
      </w:r>
    </w:p>
    <w:p>
      <w:r>
        <w:t>The English edition preserves the decisions, limits, candidate thresholds, 27 questions, and validation protocols of Chinese PRFAQ 0.8. Repeated appendix material is consolidated for reading. Prototype 0.7 remains a fictional local demonstration. Real integrations, enforced permissions, out-of-order receipts, retrieval answers, human cost outcomes, purchase, and renewal remain unvalidated.</w:t>
      </w:r>
    </w:p>
    <w:p>
      <w:r>
        <w:t xml:space="preserve">U11 is the round-eight initial evaluation; U12 is the targeted retest; U13 is the same simulated user's overall assessment. U14 and U15 are the initial and final version 0.8 document reviews. The initial complete handoff and post-fix targeted checks are different evidence scopes. They must not be described as a complete final end-to-end retest. The source reports are retained in </w:t>
      </w:r>
      <w:hyperlink r:id="rId11">
        <w:r>
          <w:rPr>
            <w:color w:val="245B78"/>
          </w:rPr>
          <w:t>review evidence</w:t>
        </w:r>
      </w:hyperlink>
      <w:r>
        <w:t>; earlier rounds are historical context, not new measurements.</w:t>
      </w:r>
    </w:p>
    <w:p>
      <w:r>
        <w:t>S1–S8 are the October 17, 2026 research snapshot. This edition does not refresh market, pricing, or compatibility claims; recheck them before a public launch claim.</w:t>
      </w:r>
    </w:p>
    <w:p>
      <w:pPr>
        <w:pStyle w:val="ListBullet"/>
      </w:pPr>
      <w:r>
        <w:t xml:space="preserve">S1 </w:t>
      </w:r>
      <w:hyperlink r:id="rId12">
        <w:r>
          <w:rPr>
            <w:color w:val="245B78"/>
          </w:rPr>
          <w:t>User return and handoff counterexample</w:t>
        </w:r>
      </w:hyperlink>
      <w:r>
        <w:t xml:space="preserve"> — user and author reports, not a frequency estimate.</w:t>
      </w:r>
    </w:p>
    <w:p>
      <w:pPr>
        <w:pStyle w:val="ListBullet"/>
      </w:pPr>
      <w:r>
        <w:t xml:space="preserve">S2 </w:t>
      </w:r>
      <w:hyperlink r:id="rId13">
        <w:r>
          <w:rPr>
            <w:color w:val="245B78"/>
          </w:rPr>
          <w:t>Review and integration bottleneck discussion</w:t>
        </w:r>
      </w:hyperlink>
      <w:r>
        <w:t xml:space="preserve"> — comments, not a representative sample.</w:t>
      </w:r>
    </w:p>
    <w:p>
      <w:pPr>
        <w:pStyle w:val="ListBullet"/>
      </w:pPr>
      <w:r>
        <w:t xml:space="preserve">S3 </w:t>
      </w:r>
      <w:hyperlink r:id="rId14">
        <w:r>
          <w:rPr>
            <w:color w:val="245B78"/>
          </w:rPr>
          <w:t>Cross-tool sessions and artifacts request</w:t>
        </w:r>
      </w:hyperlink>
      <w:r>
        <w:t xml:space="preserve"> — a specific request, not market size.</w:t>
      </w:r>
    </w:p>
    <w:p>
      <w:pPr>
        <w:pStyle w:val="ListBullet"/>
      </w:pPr>
      <w:r>
        <w:t xml:space="preserve">S4 </w:t>
      </w:r>
      <w:hyperlink r:id="rId15">
        <w:r>
          <w:rPr>
            <w:color w:val="245B78"/>
          </w:rPr>
          <w:t>Repeated or premature notifications</w:t>
        </w:r>
      </w:hyperlink>
      <w:r>
        <w:t xml:space="preserve"> — the historical snapshot records closure on September 8; not a current competitor defect claim.</w:t>
      </w:r>
    </w:p>
    <w:p>
      <w:pPr>
        <w:pStyle w:val="ListBullet"/>
      </w:pPr>
      <w:r>
        <w:t xml:space="preserve">S5 </w:t>
      </w:r>
      <w:hyperlink r:id="rId16">
        <w:r>
          <w:rPr>
            <w:color w:val="245B78"/>
          </w:rPr>
          <w:t>OpenAI remote connections</w:t>
        </w:r>
      </w:hyperlink>
      <w:r>
        <w:t xml:space="preserve"> — official capability description, not universal account eligibility.</w:t>
      </w:r>
    </w:p>
    <w:p>
      <w:pPr>
        <w:pStyle w:val="ListBullet"/>
      </w:pPr>
      <w:r>
        <w:t xml:space="preserve">S6 </w:t>
      </w:r>
      <w:hyperlink r:id="rId17">
        <w:r>
          <w:rPr>
            <w:color w:val="245B78"/>
          </w:rPr>
          <w:t>Conductor pricing</w:t>
        </w:r>
      </w:hyperlink>
      <w:r>
        <w:t xml:space="preserve"> — historical supply evidence, not willingness to pay.</w:t>
      </w:r>
    </w:p>
    <w:p>
      <w:pPr>
        <w:pStyle w:val="ListBullet"/>
      </w:pPr>
      <w:r>
        <w:t xml:space="preserve">S7 </w:t>
      </w:r>
      <w:hyperlink r:id="rId18">
        <w:r>
          <w:rPr>
            <w:color w:val="245B78"/>
          </w:rPr>
          <w:t>Happy documentation</w:t>
        </w:r>
      </w:hyperlink>
      <w:r>
        <w:t xml:space="preserve"> — the snapshot describes older CLI documentation marked maintenance mode.</w:t>
      </w:r>
    </w:p>
    <w:p>
      <w:pPr>
        <w:pStyle w:val="ListBullet"/>
      </w:pPr>
      <w:r>
        <w:t xml:space="preserve">S8 </w:t>
      </w:r>
      <w:hyperlink r:id="rId19">
        <w:r>
          <w:rPr>
            <w:color w:val="245B78"/>
          </w:rPr>
          <w:t>Entire context and commits</w:t>
        </w:r>
      </w:hyperlink>
      <w:r>
        <w:t xml:space="preserve"> — product description, not demand validation.</w:t>
      </w:r>
    </w:p>
    <w:p>
      <w:r>
        <w:t xml:space="preserve">The format follows </w:t>
      </w:r>
      <w:hyperlink r:id="rId20">
        <w:r>
          <w:rPr>
            <w:color w:val="245B78"/>
          </w:rPr>
          <w:t>Amazon Working Backwards</w:t>
        </w:r>
      </w:hyperlink>
      <w:r>
        <w:t>: an intended launch narrative followed by customer and internal questions, with customer benefit tested before expanding investment.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6"/>
      </w:rPr>
      <w:t>DEVBOX WEB   /   PRODUCT PRFAQ 0.8   /   ENGLISH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0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evidence/README.md" TargetMode="External"/><Relationship Id="rId12" Type="http://schemas.openxmlformats.org/officeDocument/2006/relationships/hyperlink" Target="https://www.reddit.com/r/ClaudeAI/comments/1vwgeg9/running_multiple_agents_in_parallel_is_bringing/" TargetMode="External"/><Relationship Id="rId13" Type="http://schemas.openxmlformats.org/officeDocument/2006/relationships/hyperlink" Target="https://news.ycombinator.com/item?id=46993479" TargetMode="External"/><Relationship Id="rId14" Type="http://schemas.openxmlformats.org/officeDocument/2006/relationships/hyperlink" Target="https://github.com/anthropics/claude-code/issues/95903" TargetMode="External"/><Relationship Id="rId15" Type="http://schemas.openxmlformats.org/officeDocument/2006/relationships/hyperlink" Target="https://github.com/manaflow-ai/cmux/issues/11975" TargetMode="External"/><Relationship Id="rId16" Type="http://schemas.openxmlformats.org/officeDocument/2006/relationships/hyperlink" Target="https://learn.chatgpt.com/docs/remote-connections" TargetMode="External"/><Relationship Id="rId17" Type="http://schemas.openxmlformats.org/officeDocument/2006/relationships/hyperlink" Target="https://www.conductor.build/pricing" TargetMode="External"/><Relationship Id="rId18" Type="http://schemas.openxmlformats.org/officeDocument/2006/relationships/hyperlink" Target="https://happy.engineering/docs/" TargetMode="External"/><Relationship Id="rId19" Type="http://schemas.openxmlformats.org/officeDocument/2006/relationships/hyperlink" Target="https://entire.io/blog/the-entire-cli-how-it-works-and-where-its-headed" TargetMode="External"/><Relationship Id="rId20" Type="http://schemas.openxmlformats.org/officeDocument/2006/relationships/hyperlink" Target="https://www.aboutamazon.com/news/workplace/an-insider-look-at-amazons-culture-and-proces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Devbox Web Product Iteration PRFAQ</dc:title>
  <dc:subject>English edition of version 0.8</dc:subject>
  <dc:creator/>
  <cp:keywords/>
  <dc:description>generated by python-docx</dc:description>
  <cp:lastModifiedBy/>
  <cp:revision>1</cp:revision>
  <dcterms:created xsi:type="dcterms:W3CDTF">2013-12-23T23:15:00Z</dcterms:created>
  <dcterms:modified xsi:type="dcterms:W3CDTF">2013-12-23T23:15:00Z</dcterms:modified>
  <cp:category/>
  <cp:version>0.8</cp:version>
</cp:coreProperties>
</file>