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8"/>
        <w:jc w:val="center"/>
      </w:pPr>
      <w:r>
        <w:rPr>
          <w:rFonts w:ascii="宋体" w:hAnsi="宋体" w:eastAsia="宋体" w:cs="宋体" w:hint="eastAsia"/>
          <w:color w:val="1F3864"/>
          <w:sz w:val="26"/>
          <w:lang w:eastAsia="zh-CN"/>
        </w:rPr>
        <w:t>硬件接口协议系列</w:t>
      </w:r>
    </w:p>
    <w:p>
      <w:pPr>
        <w:spacing w:after="416"/>
        <w:jc w:val="center"/>
      </w:pP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硬件接口协议之</w:t>
      </w:r>
      <w:r>
        <w:rPr>
          <w:rFonts w:ascii="黑体" w:hAnsi="黑体"/>
          <w:b/>
          <w:color w:val="1F3864"/>
          <w:sz w:val="52"/>
        </w:rPr>
        <w:t xml:space="preserve"> VPX </w:t>
      </w:r>
      <w:r>
        <w:rPr>
          <w:rFonts w:ascii="宋体" w:hAnsi="宋体" w:eastAsia="宋体" w:cs="宋体" w:hint="eastAsia"/>
          <w:b/>
          <w:color w:val="1F3864"/>
          <w:sz w:val="52"/>
          <w:lang w:eastAsia="zh-CN"/>
        </w:rPr>
        <w:t>接口</w:t>
      </w:r>
    </w:p>
    <w:p>
      <w:pPr>
        <w:spacing w:after="1200"/>
        <w:jc w:val="center"/>
      </w:pPr>
      <w:r>
        <w:rPr>
          <w:rFonts w:ascii="宋体" w:hAnsi="宋体" w:eastAsia="宋体" w:cs="宋体" w:hint="eastAsia"/>
          <w:color w:val="666666"/>
          <w:sz w:val="30"/>
          <w:lang w:eastAsia="zh-CN"/>
        </w:rPr>
        <w:t>设计说明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文档名称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硬件接口协议之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接口设计说明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适用范围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VPX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VITA 46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OpenVPX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VITA 65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）总线机箱、背板与插件模块设计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文档版本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文档状态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设计参考</w:t>
            </w:r>
          </w:p>
        </w:tc>
      </w:tr>
      <w:tr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编制日期</w:t>
            </w:r>
          </w:p>
        </w:tc>
        <w:tc>
          <w:tcPr>
            <w:tcW w:type="dxa" w:w="432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2026-10-09</w:t>
            </w:r>
          </w:p>
        </w:tc>
      </w:tr>
    </w:tbl>
    <w:p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30"/>
      </w:pPr>
      <w:r/>
      <w:r>
        <w:rPr>
          <w:rFonts w:ascii="黑体" w:hAnsi="黑体" w:eastAsia="黑体" w:hint="eastAsia"/>
          <w:b/>
          <w:color w:val="1F3864"/>
          <w:sz w:val="26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一、文档目的与适用范围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二、接口概述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三、物理层与结构规范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四、协议层与平面划分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五、上电管理与业务交互流程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六、硬件设计要点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七、典型应用场景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八、可靠性与测试验证</w:t>
        </w:r>
      </w:hyperlink>
    </w:p>
    <w:p>
      <w:hyperlink w:anchor="_Toc_section_9">
        <w:r>
          <w:rPr>
            <w:rFonts w:hint="eastAsia"/>
            <w:color w:val="000000"/>
            <w:u w:val="none"/>
          </w:rPr>
          <w:t xml:space="preserve">九、设计检查清单</w:t>
        </w:r>
      </w:hyperlink>
    </w:p>
    <w:p>
      <w:bookmarkStart w:id="9" w:name="_Toc_section_1"/>
      <w:bookmarkStart w:id="0" w:name="section-1"/>
      <w:pPr>
        <w:pStyle w:val="Heading2"/>
        <w:spacing w:line="312" w:lineRule="auto"/>
      </w:pPr>
      <w:bookmarkEnd w:id="0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一、文档目的与适用范围</w:t>
      </w:r>
      <w:bookmarkEnd w:id="9"/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本文档规定硬件产品中</w:t>
      </w:r>
      <w:r>
        <w:t xml:space="preserve"> VPX</w:t>
      </w:r>
      <w:r>
        <w:rPr>
          <w:rFonts w:ascii="宋体" w:eastAsia="宋体" w:hAnsi="宋体" w:cs="宋体" w:hint="eastAsia"/>
          <w:lang w:eastAsia="zh-CN"/>
        </w:rPr>
        <w:t>（</w:t>
      </w:r>
      <w:r>
        <w:t xml:space="preserve">VITA 46 </w:t>
      </w:r>
      <w:r>
        <w:rPr>
          <w:rFonts w:ascii="宋体" w:eastAsia="宋体" w:hAnsi="宋体" w:cs="宋体" w:hint="eastAsia"/>
          <w:lang w:eastAsia="zh-CN"/>
        </w:rPr>
        <w:t>系列）总线及其系统集成规范</w:t>
      </w:r>
      <w:r>
        <w:t xml:space="preserve"> OpenVPX</w:t>
      </w:r>
      <w:r>
        <w:rPr>
          <w:rFonts w:ascii="宋体" w:eastAsia="宋体" w:hAnsi="宋体" w:cs="宋体" w:hint="eastAsia"/>
          <w:lang w:eastAsia="zh-CN"/>
        </w:rPr>
        <w:t>（</w:t>
      </w:r>
      <w:r>
        <w:t>VITA 65</w:t>
      </w:r>
      <w:r>
        <w:rPr>
          <w:rFonts w:ascii="宋体" w:eastAsia="宋体" w:hAnsi="宋体" w:cs="宋体" w:hint="eastAsia"/>
          <w:lang w:eastAsia="zh-CN"/>
        </w:rPr>
        <w:t>）的机械结构、连接器信号定义、电源供电体系、高速串行互连拓扑、机箱管理总线、散热与加固要求，以及背板与插件模块的原理图设计、</w:t>
      </w:r>
      <w:r>
        <w:t xml:space="preserve">PCB </w:t>
      </w:r>
      <w:r>
        <w:rPr>
          <w:rFonts w:ascii="宋体" w:eastAsia="宋体" w:hAnsi="宋体" w:cs="宋体" w:hint="eastAsia"/>
          <w:lang w:eastAsia="zh-CN"/>
        </w:rPr>
        <w:t>设计、互连指配与联调验证流程，作为同类产品设计的一致依据。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适用范围：采用</w:t>
      </w:r>
      <w:r>
        <w:t xml:space="preserve"> 3U/6U VPX </w:t>
      </w:r>
      <w:r>
        <w:rPr>
          <w:rFonts w:ascii="宋体" w:eastAsia="宋体" w:hAnsi="宋体" w:cs="宋体" w:hint="eastAsia"/>
          <w:lang w:eastAsia="zh-CN"/>
        </w:rPr>
        <w:t>结构的加固型、导冷型或风冷型计算与信号处理整机，包含背板、插槽、电源模块（</w:t>
      </w:r>
      <w:r>
        <w:t>VITA 62</w:t>
      </w:r>
      <w:r>
        <w:rPr>
          <w:rFonts w:ascii="宋体" w:eastAsia="宋体" w:hAnsi="宋体" w:cs="宋体" w:hint="eastAsia"/>
          <w:lang w:eastAsia="zh-CN"/>
        </w:rPr>
        <w:t>）、交换模块、处理模块、射频与光互连模块。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不适用范围：</w:t>
      </w:r>
      <w:r>
        <w:t xml:space="preserve">VPX </w:t>
      </w:r>
      <w:r>
        <w:rPr>
          <w:rFonts w:ascii="宋体" w:eastAsia="宋体" w:hAnsi="宋体" w:cs="宋体" w:hint="eastAsia"/>
          <w:lang w:eastAsia="zh-CN"/>
        </w:rPr>
        <w:t>机箱内各板卡的处理器本地总线（</w:t>
      </w:r>
      <w:r>
        <w:t>DDR</w:t>
      </w:r>
      <w:r>
        <w:rPr>
          <w:rFonts w:ascii="宋体" w:eastAsia="宋体" w:hAnsi="宋体" w:cs="宋体" w:hint="eastAsia"/>
          <w:lang w:eastAsia="zh-CN"/>
        </w:rPr>
        <w:t>、本地</w:t>
      </w:r>
      <w:r>
        <w:t xml:space="preserve"> PCIe</w:t>
      </w:r>
      <w:r>
        <w:rPr>
          <w:rFonts w:ascii="宋体" w:eastAsia="宋体" w:hAnsi="宋体" w:cs="宋体" w:hint="eastAsia"/>
          <w:lang w:eastAsia="zh-CN"/>
        </w:rPr>
        <w:t>、</w:t>
      </w:r>
      <w:r>
        <w:t>SPI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I2C </w:t>
      </w:r>
      <w:r>
        <w:rPr>
          <w:rFonts w:ascii="宋体" w:eastAsia="宋体" w:hAnsi="宋体" w:cs="宋体" w:hint="eastAsia"/>
          <w:lang w:eastAsia="zh-CN"/>
        </w:rPr>
        <w:t>等）另行规定；机箱对外端口（以太网、光纤、射频接插件）按各自接口文档执行；</w:t>
      </w:r>
      <w:r>
        <w:t xml:space="preserve">VMEbus </w:t>
      </w:r>
      <w:r>
        <w:rPr>
          <w:rFonts w:ascii="宋体" w:eastAsia="宋体" w:hAnsi="宋体" w:cs="宋体" w:hint="eastAsia"/>
          <w:lang w:eastAsia="zh-CN"/>
        </w:rPr>
        <w:t>并行总线（</w:t>
      </w:r>
      <w:r>
        <w:t xml:space="preserve">VITA 46.1 </w:t>
      </w:r>
      <w:r>
        <w:rPr>
          <w:rFonts w:ascii="宋体" w:eastAsia="宋体" w:hAnsi="宋体" w:cs="宋体" w:hint="eastAsia"/>
          <w:lang w:eastAsia="zh-CN"/>
        </w:rPr>
        <w:t>兼容模式）属历史兼容机制，新设计不推荐使用。</w:t>
      </w:r>
    </w:p>
    <w:p>
      <w:bookmarkStart w:id="10" w:name="_Toc_section_2"/>
      <w:bookmarkStart w:id="1" w:name="section-2"/>
      <w:pPr>
        <w:pStyle w:val="Heading2"/>
        <w:spacing w:line="312" w:lineRule="auto"/>
      </w:pPr>
      <w:bookmarkEnd w:id="1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二、接口概述</w:t>
      </w:r>
      <w:bookmarkEnd w:id="10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是在</w:t>
      </w:r>
      <w:r>
        <w:t xml:space="preserve"> VMEbus </w:t>
      </w:r>
      <w:r>
        <w:rPr>
          <w:rFonts w:ascii="宋体" w:eastAsia="宋体" w:hAnsi="宋体" w:cs="宋体" w:hint="eastAsia"/>
          <w:lang w:eastAsia="zh-CN"/>
        </w:rPr>
        <w:t>的机械基础上，把并行总线替换为高速串行互连的加固型总线标准，由</w:t>
      </w:r>
      <w:r>
        <w:t xml:space="preserve"> VITA </w:t>
      </w:r>
      <w:r>
        <w:rPr>
          <w:rFonts w:ascii="宋体" w:eastAsia="宋体" w:hAnsi="宋体" w:cs="宋体" w:hint="eastAsia"/>
          <w:lang w:eastAsia="zh-CN"/>
        </w:rPr>
        <w:t>组织制定。它的本质特征是：</w:t>
      </w:r>
      <w:r>
        <w:rPr>
          <w:rFonts w:ascii="宋体" w:eastAsia="宋体" w:hAnsi="宋体" w:cs="宋体" w:hint="eastAsia"/>
          <w:b/>
          <w:lang w:eastAsia="zh-CN"/>
        </w:rPr>
        <w:t>不再定义单一总线协议，而是定义一套"结构 + 电气 + 管理"的平台框架</w:t>
      </w:r>
      <w:r>
        <w:rPr>
          <w:rFonts w:ascii="宋体" w:eastAsia="宋体" w:hAnsi="宋体" w:cs="宋体" w:hint="eastAsia"/>
          <w:lang w:eastAsia="zh-CN"/>
        </w:rPr>
        <w:t>，具体业务协议由</w:t>
      </w:r>
      <w:r>
        <w:t xml:space="preserve"> VITA 46 </w:t>
      </w:r>
      <w:r>
        <w:rPr>
          <w:rFonts w:ascii="宋体" w:eastAsia="宋体" w:hAnsi="宋体" w:cs="宋体" w:hint="eastAsia"/>
          <w:lang w:eastAsia="zh-CN"/>
        </w:rPr>
        <w:t>的系列子标准指定。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标准号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名称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作用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46.0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基础规范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定义连接器、机械结构、槽位间距、电源引脚与差分信号排布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46.3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Serial RapidIO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夹层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规定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SRIO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差分对上的引脚映射与通道绑定方式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46.4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PCI Express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夹层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规定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PCIe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上的映射，是目前应用最广的夹层协议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46.7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以太网夹层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规定背板以太网在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差分对上的引脚映射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46.9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XMC/PMC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子卡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定义板载夹层扩展卡的机械与电气接口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46.10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后走线模块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RTM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定义后插模块与前面板的引出方式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46.11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系统管理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基于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IPMI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的机箱管理总线，规定管理控制器分级与上下电流程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65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OpenVPX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定义平面划分与插槽、模块、背板三级配置文件，解决互操作性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48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REDI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加固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导冷结构、楔形锁、导热界面材料与二级维护要求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62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电源模块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规定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电源模块的输出电压、功率等级与管理接口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66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光互连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光纤触点的机械与光学接口，用于机箱内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外光互连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67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射频互连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同轴盲插射频触点，用于软件无线电类插件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VITA 49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VRT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无线传输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射频采样数据流在分组网络上的封装格式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与前几篇介绍的接口相比，</w:t>
      </w:r>
      <w:r>
        <w:t xml:space="preserve">VPX </w:t>
      </w:r>
      <w:r>
        <w:rPr>
          <w:rFonts w:ascii="宋体" w:eastAsia="宋体" w:hAnsi="宋体" w:cs="宋体" w:hint="eastAsia"/>
          <w:lang w:eastAsia="zh-CN"/>
        </w:rPr>
        <w:t>有三个显著特点：一是把</w:t>
      </w:r>
      <w:r>
        <w:rPr>
          <w:rFonts w:ascii="宋体" w:eastAsia="宋体" w:hAnsi="宋体" w:cs="宋体" w:hint="eastAsia"/>
          <w:b/>
          <w:lang w:eastAsia="zh-CN"/>
        </w:rPr>
        <w:t>单一协议总线</w:t>
      </w:r>
      <w:r>
        <w:rPr>
          <w:rFonts w:ascii="宋体" w:eastAsia="宋体" w:hAnsi="宋体" w:cs="宋体" w:hint="eastAsia"/>
          <w:lang w:eastAsia="zh-CN"/>
        </w:rPr>
        <w:t>变为</w:t>
      </w:r>
      <w:r>
        <w:rPr>
          <w:rFonts w:ascii="宋体" w:eastAsia="宋体" w:hAnsi="宋体" w:cs="宋体" w:hint="eastAsia"/>
          <w:b/>
          <w:lang w:eastAsia="zh-CN"/>
        </w:rPr>
        <w:t>多协议平台</w:t>
      </w:r>
      <w:r>
        <w:rPr>
          <w:rFonts w:ascii="宋体" w:eastAsia="宋体" w:hAnsi="宋体" w:cs="宋体" w:hint="eastAsia"/>
          <w:lang w:eastAsia="zh-CN"/>
        </w:rPr>
        <w:t>，同一背板上可以并存</w:t>
      </w:r>
      <w:r>
        <w:t xml:space="preserve"> PCIe</w:t>
      </w:r>
      <w:r>
        <w:rPr>
          <w:rFonts w:ascii="宋体" w:eastAsia="宋体" w:hAnsi="宋体" w:cs="宋体" w:hint="eastAsia"/>
          <w:lang w:eastAsia="zh-CN"/>
        </w:rPr>
        <w:t>、</w:t>
      </w:r>
      <w:r>
        <w:t>SRIO</w:t>
      </w:r>
      <w:r>
        <w:rPr>
          <w:rFonts w:ascii="宋体" w:eastAsia="宋体" w:hAnsi="宋体" w:cs="宋体" w:hint="eastAsia"/>
          <w:lang w:eastAsia="zh-CN"/>
        </w:rPr>
        <w:t>、以太网与自定义串行链路；二是由</w:t>
      </w:r>
      <w:r>
        <w:t xml:space="preserve"> VITA 46.11 </w:t>
      </w:r>
      <w:r>
        <w:rPr>
          <w:rFonts w:ascii="宋体" w:eastAsia="宋体" w:hAnsi="宋体" w:cs="宋体" w:hint="eastAsia"/>
          <w:lang w:eastAsia="zh-CN"/>
        </w:rPr>
        <w:t>机箱管理器统一管理所有插槽的上下电、故障隔离与热插拔，管理面与业务面在物理上分离；三是整机环境指标（振动、冲击、温度、盐雾、砂尘、导冷或风冷）由</w:t>
      </w:r>
      <w:r>
        <w:t xml:space="preserve"> VITA 48 </w:t>
      </w:r>
      <w:r>
        <w:rPr>
          <w:rFonts w:ascii="宋体" w:eastAsia="宋体" w:hAnsi="宋体" w:cs="宋体" w:hint="eastAsia"/>
          <w:lang w:eastAsia="zh-CN"/>
        </w:rPr>
        <w:t>规定，属于典型的军工、航电与车载环境条件。</w:t>
      </w:r>
    </w:p>
    <w:p>
      <w:bookmarkStart w:id="11" w:name="_Toc_section_3"/>
      <w:bookmarkStart w:id="2" w:name="section-3"/>
      <w:pPr>
        <w:pStyle w:val="Heading2"/>
        <w:spacing w:line="312" w:lineRule="auto"/>
      </w:pPr>
      <w:bookmarkEnd w:id="2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三、物理层与结构规范</w:t>
      </w:r>
      <w:bookmarkEnd w:id="11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的物理层涵盖机械结构、连接器、触点分配、电源与接地四个部分。设计时应先确定产品形态（</w:t>
      </w:r>
      <w:r>
        <w:t xml:space="preserve">3U </w:t>
      </w:r>
      <w:r>
        <w:rPr>
          <w:rFonts w:ascii="宋体" w:eastAsia="宋体" w:hAnsi="宋体" w:cs="宋体" w:hint="eastAsia"/>
          <w:lang w:eastAsia="zh-CN"/>
        </w:rPr>
        <w:t>还是</w:t>
      </w:r>
      <w:r>
        <w:t xml:space="preserve"> 6U</w:t>
      </w:r>
      <w:r>
        <w:rPr>
          <w:rFonts w:ascii="宋体" w:eastAsia="宋体" w:hAnsi="宋体" w:cs="宋体" w:hint="eastAsia"/>
          <w:lang w:eastAsia="zh-CN"/>
        </w:rPr>
        <w:t>、导冷还是风冷、是否带后走线模块），再据此选择具体的连接器型号与引脚排布方案。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（一）机械结构与槽位</w:t>
      </w:r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沿用欧卡机械体系，插件尺寸与</w:t>
      </w:r>
      <w:r>
        <w:t xml:space="preserve"> 3U/6U </w:t>
      </w:r>
      <w:r>
        <w:rPr>
          <w:rFonts w:ascii="宋体" w:eastAsia="宋体" w:hAnsi="宋体" w:cs="宋体" w:hint="eastAsia"/>
          <w:lang w:eastAsia="zh-CN"/>
        </w:rPr>
        <w:t>定义保持一致，槽位节距为标准值。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项目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3U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6U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说明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板高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100 mm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233.35 mm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不含面板与锁紧装置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板深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160 mm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160 mm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带后走线模块时深度另行规定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槽位节距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20.32 mm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0.8 in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20.32 mm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0.8 in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即常规的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4HP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间距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前面板宽度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与槽位节距一致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与槽位节距一致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面板需配置锁紧器与起拔器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典型插拔次数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不少于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500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次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不少于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500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次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取决于连接器型号与镀层工艺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结构件的选择必须一次到位：楔形锁的尺寸影响插入力，导冷机箱依靠两侧导轨把热量传到冷板，因此插拔力、导热界面材料与模块结构件三者必须同步校核，并在样机阶段完成实际插装与标记检查。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（二）连接器与触点</w:t>
      </w:r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的标志是采用</w:t>
      </w:r>
      <w:r>
        <w:t xml:space="preserve"> MultiGig RT2 </w:t>
      </w:r>
      <w:r>
        <w:rPr>
          <w:rFonts w:ascii="宋体" w:eastAsia="宋体" w:hAnsi="宋体" w:cs="宋体" w:hint="eastAsia"/>
          <w:lang w:eastAsia="zh-CN"/>
        </w:rPr>
        <w:t>系列高速连接器（多家厂商提供兼容件）。该连接器取代了原来的欧式</w:t>
      </w:r>
      <w:r>
        <w:t xml:space="preserve"> DIN </w:t>
      </w:r>
      <w:r>
        <w:rPr>
          <w:rFonts w:ascii="宋体" w:eastAsia="宋体" w:hAnsi="宋体" w:cs="宋体" w:hint="eastAsia"/>
          <w:lang w:eastAsia="zh-CN"/>
        </w:rPr>
        <w:t>连接器，具备可控阻抗差分对、多点接地屏蔽和分级的引脚接触顺序。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特性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参数或要求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设计提示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差分阻抗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100 Ω ±10 %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背板与插件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PCB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均按此控制，偏差过大将导致链路训练失败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支持速率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典型每对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3.125~12.5 Gbps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量级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更高速率需选用新一代连接器并重新核算插损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接地屏蔽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差分对相邻位置布有接地触点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地触点数量不得随意减少，禁止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偷地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"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引脚序列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先接触地、再预充电电源、最后业务信号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支持热插拔时必须严格依赖此序列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端接方式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压接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不建议采用焊接方式，返修困难且阻抗不可控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引脚定义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按排划分为电源、地、差分对、单端四类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具体分配以所遵循的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OpenVPX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配置为准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差分对分配有一个常见误区：一个</w:t>
      </w:r>
      <w:r>
        <w:t xml:space="preserve"> VPX </w:t>
      </w:r>
      <w:r>
        <w:rPr>
          <w:rFonts w:ascii="宋体" w:eastAsia="宋体" w:hAnsi="宋体" w:cs="宋体" w:hint="eastAsia"/>
          <w:lang w:eastAsia="zh-CN"/>
        </w:rPr>
        <w:t>连接器上包含大量差分对，但并非所有位置都能跑到最高速率。靠近连接器中部、屏蔽条件好的位置应优先留给数据面，远离接地屏蔽的边缘位置多用于低速管理类信号。选型时应向连接器厂商索取对应配置的</w:t>
      </w:r>
      <w:r>
        <w:t xml:space="preserve"> PCB </w:t>
      </w:r>
      <w:r>
        <w:rPr>
          <w:rFonts w:ascii="宋体" w:eastAsia="宋体" w:hAnsi="宋体" w:cs="宋体" w:hint="eastAsia"/>
          <w:lang w:eastAsia="zh-CN"/>
        </w:rPr>
        <w:t>封装与叠层建议图。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（三）电源体系</w:t>
      </w:r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采用分布式供电：符合</w:t>
      </w:r>
      <w:r>
        <w:t xml:space="preserve"> VITA 62 </w:t>
      </w:r>
      <w:r>
        <w:rPr>
          <w:rFonts w:ascii="宋体" w:eastAsia="宋体" w:hAnsi="宋体" w:cs="宋体" w:hint="eastAsia"/>
          <w:lang w:eastAsia="zh-CN"/>
        </w:rPr>
        <w:t>的电源模块把输入（常用</w:t>
      </w:r>
      <w:r>
        <w:t xml:space="preserve"> 28 V </w:t>
      </w:r>
      <w:r>
        <w:rPr>
          <w:rFonts w:ascii="宋体" w:eastAsia="宋体" w:hAnsi="宋体" w:cs="宋体" w:hint="eastAsia"/>
          <w:lang w:eastAsia="zh-CN"/>
        </w:rPr>
        <w:t>或宽范围直流）转换为多路低压大电流，通过背板分配到各插槽。连接器上通常定义为</w:t>
      </w:r>
      <w:r>
        <w:t xml:space="preserve"> VS1</w:t>
      </w:r>
      <w:r>
        <w:rPr>
          <w:rFonts w:ascii="宋体" w:eastAsia="宋体" w:hAnsi="宋体" w:cs="宋体" w:hint="eastAsia"/>
          <w:lang w:eastAsia="zh-CN"/>
        </w:rPr>
        <w:t>、</w:t>
      </w:r>
      <w:r>
        <w:t>VS2</w:t>
      </w:r>
      <w:r>
        <w:rPr>
          <w:rFonts w:ascii="宋体" w:eastAsia="宋体" w:hAnsi="宋体" w:cs="宋体" w:hint="eastAsia"/>
          <w:lang w:eastAsia="zh-CN"/>
        </w:rPr>
        <w:t>、</w:t>
      </w:r>
      <w:r>
        <w:t xml:space="preserve">VS3 </w:t>
      </w:r>
      <w:r>
        <w:rPr>
          <w:rFonts w:ascii="宋体" w:eastAsia="宋体" w:hAnsi="宋体" w:cs="宋体" w:hint="eastAsia"/>
          <w:lang w:eastAsia="zh-CN"/>
        </w:rPr>
        <w:t>三路主电源与一路辅助电源。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网络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常规电压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主要去向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设计要求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VS1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+12 V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模块一次电源，各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POL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输入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每个插件配置独立缓起动与过流保护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VS2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+3.3 V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控制面、管理、二次电源输入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上下电顺序需与管理流程协同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VS3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+5 V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外设、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USB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等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电流较小，不宜依赖背板做大功率供电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辅助电源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+3.3 V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板卡管理控制器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常带电，是管理面与热插拔的基础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GND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0 V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电源回流与信号回流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回流地数量必须充足，与连接器型号强相关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每个插槽的可用功率受背板铜皮厚度、触点载流能力、散热方式与电源模块输出能力共同限制。热设计余量需结合具体项目核算：导冷机箱的单槽可用功率通常高于风冷，但必须在规定的温度范围内完成验证。设计早期应编制供电预算表，并留出至少</w:t>
      </w:r>
      <w:r>
        <w:t xml:space="preserve"> 20 % </w:t>
      </w:r>
      <w:r>
        <w:rPr>
          <w:rFonts w:ascii="宋体" w:eastAsia="宋体" w:hAnsi="宋体" w:cs="宋体" w:hint="eastAsia"/>
          <w:lang w:eastAsia="zh-CN"/>
        </w:rPr>
        <w:t>余量。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（四）平面划分原则</w:t>
      </w:r>
    </w:p>
    <w:p>
      <w:pPr>
        <w:jc w:val="both"/>
      </w:pPr>
      <w:r>
        <w:t xml:space="preserve">OpenVPX </w:t>
      </w:r>
      <w:r>
        <w:rPr>
          <w:rFonts w:ascii="宋体" w:eastAsia="宋体" w:hAnsi="宋体" w:cs="宋体" w:hint="eastAsia"/>
          <w:lang w:eastAsia="zh-CN"/>
        </w:rPr>
        <w:t>把连接器上的差分信道划分为若干个</w:t>
      </w:r>
      <w:r>
        <w:t>"</w:t>
      </w:r>
      <w:r>
        <w:rPr>
          <w:rFonts w:ascii="宋体" w:eastAsia="宋体" w:hAnsi="宋体" w:cs="宋体" w:hint="eastAsia"/>
          <w:lang w:eastAsia="zh-CN"/>
        </w:rPr>
        <w:t>平面</w:t>
      </w:r>
      <w:r>
        <w:t>"</w:t>
      </w:r>
      <w:r>
        <w:rPr>
          <w:rFonts w:ascii="宋体" w:eastAsia="宋体" w:hAnsi="宋体" w:cs="宋体" w:hint="eastAsia"/>
          <w:lang w:eastAsia="zh-CN"/>
        </w:rPr>
        <w:t>，最常见的是控制面、数据面、扩展面，此外保留一部分用户自定义引脚。每个平面的差分对数量与走向（到相邻插槽还是到中心交换槽）决定了背板能支持的拓扑。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控制面</w:t>
      </w:r>
      <w:r>
        <w:rPr>
          <w:rFonts w:ascii="宋体" w:eastAsia="宋体" w:hAnsi="宋体" w:cs="宋体" w:hint="eastAsia"/>
          <w:lang w:eastAsia="zh-CN"/>
        </w:rPr>
        <w:t>：用于机箱管理之外的低速控制通道，常见为千兆背板以太网或</w:t>
      </w:r>
      <w:r>
        <w:t xml:space="preserve"> x1 PCIe</w:t>
      </w:r>
      <w:r>
        <w:rPr>
          <w:rFonts w:ascii="宋体" w:eastAsia="宋体" w:hAnsi="宋体" w:cs="宋体" w:hint="eastAsia"/>
          <w:lang w:eastAsia="zh-CN"/>
        </w:rPr>
        <w:t>，通常从每个外围槽扇出到星型中心。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数据面</w:t>
      </w:r>
      <w:r>
        <w:rPr>
          <w:rFonts w:ascii="宋体" w:eastAsia="宋体" w:hAnsi="宋体" w:cs="宋体" w:hint="eastAsia"/>
          <w:lang w:eastAsia="zh-CN"/>
        </w:rPr>
        <w:t>：承载</w:t>
      </w:r>
      <w:r>
        <w:t xml:space="preserve"> PCIe</w:t>
      </w:r>
      <w:r>
        <w:rPr>
          <w:rFonts w:ascii="宋体" w:eastAsia="宋体" w:hAnsi="宋体" w:cs="宋体" w:hint="eastAsia"/>
          <w:lang w:eastAsia="zh-CN"/>
        </w:rPr>
        <w:t>、</w:t>
      </w:r>
      <w:r>
        <w:t>SRIO</w:t>
      </w:r>
      <w:r>
        <w:rPr>
          <w:rFonts w:ascii="宋体" w:eastAsia="宋体" w:hAnsi="宋体" w:cs="宋体" w:hint="eastAsia"/>
          <w:lang w:eastAsia="zh-CN"/>
        </w:rPr>
        <w:t>、万兆以太网等高速业务，给定的配置文件会明确划分成几路多通道绑定。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扩展面</w:t>
      </w:r>
      <w:r>
        <w:rPr>
          <w:rFonts w:ascii="宋体" w:eastAsia="宋体" w:hAnsi="宋体" w:cs="宋体" w:hint="eastAsia"/>
          <w:lang w:eastAsia="zh-CN"/>
        </w:rPr>
        <w:t>：相邻插槽之间的点对点链路，用于不经中心交换的低时延直连。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用户自定义面</w:t>
      </w:r>
      <w:r>
        <w:rPr>
          <w:rFonts w:ascii="宋体" w:eastAsia="宋体" w:hAnsi="宋体" w:cs="宋体" w:hint="eastAsia"/>
          <w:lang w:eastAsia="zh-CN"/>
        </w:rPr>
        <w:t>：由项目自行定义，可布置差分链路或其他低压差分总线。</w:t>
      </w:r>
    </w:p>
    <w:p>
      <w:bookmarkStart w:id="12" w:name="_Toc_section_4"/>
      <w:bookmarkStart w:id="3" w:name="section-4"/>
      <w:pPr>
        <w:pStyle w:val="Heading2"/>
        <w:spacing w:line="312" w:lineRule="auto"/>
      </w:pPr>
      <w:bookmarkEnd w:id="3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四、协议层与平面划分</w:t>
      </w:r>
      <w:bookmarkEnd w:id="12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本身没有统一的业务协议层，它是</w:t>
      </w:r>
      <w:r>
        <w:t>"</w:t>
      </w:r>
      <w:r>
        <w:rPr>
          <w:rFonts w:ascii="宋体" w:eastAsia="宋体" w:hAnsi="宋体" w:cs="宋体" w:hint="eastAsia"/>
          <w:lang w:eastAsia="zh-CN"/>
        </w:rPr>
        <w:t>机械</w:t>
      </w:r>
      <w:r>
        <w:t>—</w:t>
      </w:r>
      <w:r>
        <w:rPr>
          <w:rFonts w:ascii="宋体" w:eastAsia="宋体" w:hAnsi="宋体" w:cs="宋体" w:hint="eastAsia"/>
          <w:lang w:eastAsia="zh-CN"/>
        </w:rPr>
        <w:t>电气</w:t>
      </w:r>
      <w:r>
        <w:t>—</w:t>
      </w:r>
      <w:r>
        <w:rPr>
          <w:rFonts w:ascii="宋体" w:eastAsia="宋体" w:hAnsi="宋体" w:cs="宋体" w:hint="eastAsia"/>
          <w:lang w:eastAsia="zh-CN"/>
        </w:rPr>
        <w:t>管理</w:t>
      </w:r>
      <w:r>
        <w:t>"</w:t>
      </w:r>
      <w:r>
        <w:rPr>
          <w:rFonts w:ascii="宋体" w:eastAsia="宋体" w:hAnsi="宋体" w:cs="宋体" w:hint="eastAsia"/>
          <w:lang w:eastAsia="zh-CN"/>
        </w:rPr>
        <w:t>三层框架加上所选夹层协议的组合。理解这个结构，是完成整机互连指配的关键。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（一）三级配置文件</w:t>
      </w:r>
    </w:p>
    <w:p>
      <w:pPr>
        <w:jc w:val="both"/>
      </w:pPr>
      <w:r>
        <w:t xml:space="preserve">OpenVPX </w:t>
      </w:r>
      <w:r>
        <w:rPr>
          <w:rFonts w:ascii="宋体" w:eastAsia="宋体" w:hAnsi="宋体" w:cs="宋体" w:hint="eastAsia"/>
          <w:lang w:eastAsia="zh-CN"/>
        </w:rPr>
        <w:t>用三套配置文件共同描述一次互连：</w:t>
      </w:r>
      <w:r>
        <w:rPr>
          <w:rFonts w:ascii="宋体" w:eastAsia="宋体" w:hAnsi="宋体" w:cs="宋体" w:hint="eastAsia"/>
          <w:b/>
          <w:lang w:eastAsia="zh-CN"/>
        </w:rPr>
        <w:t>插槽配置</w:t>
      </w:r>
      <w:r>
        <w:rPr>
          <w:rFonts w:ascii="宋体" w:eastAsia="宋体" w:hAnsi="宋体" w:cs="宋体" w:hint="eastAsia"/>
          <w:lang w:eastAsia="zh-CN"/>
        </w:rPr>
        <w:t>定义机箱某个插槽提供给板卡的接口；</w:t>
      </w:r>
      <w:r>
        <w:rPr>
          <w:rFonts w:ascii="宋体" w:eastAsia="宋体" w:hAnsi="宋体" w:cs="宋体" w:hint="eastAsia"/>
          <w:b/>
          <w:lang w:eastAsia="zh-CN"/>
        </w:rPr>
        <w:t>模块配置</w:t>
      </w:r>
      <w:r>
        <w:rPr>
          <w:rFonts w:ascii="宋体" w:eastAsia="宋体" w:hAnsi="宋体" w:cs="宋体" w:hint="eastAsia"/>
          <w:lang w:eastAsia="zh-CN"/>
        </w:rPr>
        <w:t>定义板卡自身的对外接口；</w:t>
      </w:r>
      <w:r>
        <w:rPr>
          <w:rFonts w:ascii="宋体" w:eastAsia="宋体" w:hAnsi="宋体" w:cs="宋体" w:hint="eastAsia"/>
          <w:b/>
          <w:lang w:eastAsia="zh-CN"/>
        </w:rPr>
        <w:t>背板配置</w:t>
      </w:r>
      <w:r>
        <w:rPr>
          <w:rFonts w:ascii="宋体" w:eastAsia="宋体" w:hAnsi="宋体" w:cs="宋体" w:hint="eastAsia"/>
          <w:lang w:eastAsia="zh-CN"/>
        </w:rPr>
        <w:t>定义各插槽之间的走线连接关系。三者必须相互兼容。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层级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命名前缀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示例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作用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插槽配置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SLT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SLT3-PAY-1F2U-16.2.3-1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机箱图纸与背板接口的描述依据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模块配置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MOD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MOD3-PAY-1F2U-16.2.3-1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板卡设计与对外兼容性的声明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背板配置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BKP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BKP3-CEN08-11.2.3-n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背板走线规划与网表校核的依据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配置文件名称中的数字串带有特定含义，代表不同的引脚分配与通道组合。项目采用哪套配置文件，应在方案阶段就写进接口约定书，并在原理图与</w:t>
      </w:r>
      <w:r>
        <w:t xml:space="preserve"> PCB </w:t>
      </w:r>
      <w:r>
        <w:rPr>
          <w:rFonts w:ascii="宋体" w:eastAsia="宋体" w:hAnsi="宋体" w:cs="宋体" w:hint="eastAsia"/>
          <w:lang w:eastAsia="zh-CN"/>
        </w:rPr>
        <w:t>的图框栏中长期标注，便于后续物料替代与互插验证。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（二）典型拓扑</w:t>
      </w:r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背板上最常见的拓扑有三种，它们决定了各插槽之间的访问路径与带宽瓶颈。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拓扑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结构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优点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注意事项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星型集中交换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所有外围槽连到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1~2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个中心交换槽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易于集中控制与冗余，通用性最好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交换槽存在单点失效风险，宜做双星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分布式全网格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每个槽与其余槽均有链路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时延最低、不依赖中央交换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背板走线量剧增，差分对数量往往不足</w:t>
            </w:r>
          </w:p>
        </w:tc>
      </w:tr>
      <w:tr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环形或菊花链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相邻槽互连成环或链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适合流水处理：采集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处理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输出</w:t>
            </w:r>
          </w:p>
        </w:tc>
        <w:tc>
          <w:tcPr>
            <w:tcW w:type="dxa" w:w="216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单点开路影响整条链路，需路径冗余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这里有一条重要约束：一条链路能否建起来，除了物理连通，还需要</w:t>
      </w:r>
      <w:r>
        <w:rPr>
          <w:rFonts w:ascii="宋体" w:eastAsia="宋体" w:hAnsi="宋体" w:cs="宋体" w:hint="eastAsia"/>
          <w:b/>
          <w:lang w:eastAsia="zh-CN"/>
        </w:rPr>
        <w:t>两侧链路层协议一致</w:t>
      </w:r>
      <w:r>
        <w:rPr>
          <w:rFonts w:ascii="宋体" w:eastAsia="宋体" w:hAnsi="宋体" w:cs="宋体" w:hint="eastAsia"/>
          <w:lang w:eastAsia="zh-CN"/>
        </w:rPr>
        <w:t>。一侧配</w:t>
      </w:r>
      <w:r>
        <w:t xml:space="preserve"> PCIe </w:t>
      </w:r>
      <w:r>
        <w:rPr>
          <w:rFonts w:ascii="宋体" w:eastAsia="宋体" w:hAnsi="宋体" w:cs="宋体" w:hint="eastAsia"/>
          <w:lang w:eastAsia="zh-CN"/>
        </w:rPr>
        <w:t>而另一侧配万兆以太网，物理层正常但协议不通；软件侧把端口模式配错，同样是这类产品</w:t>
      </w:r>
      <w:r>
        <w:t>"</w:t>
      </w:r>
      <w:r>
        <w:rPr>
          <w:rFonts w:ascii="宋体" w:eastAsia="宋体" w:hAnsi="宋体" w:cs="宋体" w:hint="eastAsia"/>
          <w:lang w:eastAsia="zh-CN"/>
        </w:rPr>
        <w:t>连不上</w:t>
      </w:r>
      <w:r>
        <w:t>"</w:t>
      </w:r>
      <w:r>
        <w:rPr>
          <w:rFonts w:ascii="宋体" w:eastAsia="宋体" w:hAnsi="宋体" w:cs="宋体" w:hint="eastAsia"/>
          <w:lang w:eastAsia="zh-CN"/>
        </w:rPr>
        <w:t>的最常见原因。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（三）管理总线</w:t>
      </w:r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的管理走独立的总线，物理层为</w:t>
      </w:r>
      <w:r>
        <w:t xml:space="preserve"> SMBus</w:t>
      </w:r>
      <w:r>
        <w:rPr>
          <w:rFonts w:ascii="宋体" w:eastAsia="宋体" w:hAnsi="宋体" w:cs="宋体" w:hint="eastAsia"/>
          <w:lang w:eastAsia="zh-CN"/>
        </w:rPr>
        <w:t>，由机箱管理控制器通过</w:t>
      </w:r>
      <w:r>
        <w:t xml:space="preserve"> IPMI </w:t>
      </w:r>
      <w:r>
        <w:rPr>
          <w:rFonts w:ascii="宋体" w:eastAsia="宋体" w:hAnsi="宋体" w:cs="宋体" w:hint="eastAsia"/>
          <w:lang w:eastAsia="zh-CN"/>
        </w:rPr>
        <w:t>命令控制各板卡的管理控制器。这套机制使管理面独立于业务面供电，由一个低功耗实体管理整个模块的上下电。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物理层</w:t>
      </w:r>
      <w:r>
        <w:rPr>
          <w:rFonts w:ascii="宋体" w:eastAsia="宋体" w:hAnsi="宋体" w:cs="宋体" w:hint="eastAsia"/>
          <w:lang w:eastAsia="zh-CN"/>
        </w:rPr>
        <w:t>：两线</w:t>
      </w:r>
      <w:r>
        <w:t xml:space="preserve"> SMBus</w:t>
      </w:r>
      <w:r>
        <w:rPr>
          <w:rFonts w:ascii="宋体" w:eastAsia="宋体" w:hAnsi="宋体" w:cs="宋体" w:hint="eastAsia"/>
          <w:lang w:eastAsia="zh-CN"/>
        </w:rPr>
        <w:t>，常用</w:t>
      </w:r>
      <w:r>
        <w:t xml:space="preserve"> 100 kHz</w:t>
      </w:r>
      <w:r>
        <w:rPr>
          <w:rFonts w:ascii="宋体" w:eastAsia="宋体" w:hAnsi="宋体" w:cs="宋体" w:hint="eastAsia"/>
          <w:lang w:eastAsia="zh-CN"/>
        </w:rPr>
        <w:t>，需上拉，并与板内其他</w:t>
      </w:r>
      <w:r>
        <w:t xml:space="preserve"> I2C </w:t>
      </w:r>
      <w:r>
        <w:rPr>
          <w:rFonts w:ascii="宋体" w:eastAsia="宋体" w:hAnsi="宋体" w:cs="宋体" w:hint="eastAsia"/>
          <w:lang w:eastAsia="zh-CN"/>
        </w:rPr>
        <w:t>设备隔离。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地址</w:t>
      </w:r>
      <w:r>
        <w:rPr>
          <w:rFonts w:ascii="宋体" w:eastAsia="宋体" w:hAnsi="宋体" w:cs="宋体" w:hint="eastAsia"/>
          <w:lang w:eastAsia="zh-CN"/>
        </w:rPr>
        <w:t>：槽位地理地址在插入后由背板硬连线给出，板卡据此知道自己所在的插槽。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能力</w:t>
      </w:r>
      <w:r>
        <w:rPr>
          <w:rFonts w:ascii="宋体" w:eastAsia="宋体" w:hAnsi="宋体" w:cs="宋体" w:hint="eastAsia"/>
          <w:lang w:eastAsia="zh-CN"/>
        </w:rPr>
        <w:t>：状态查询、上下电控制、故障隔离、热插拔、风扇控制、温度与电流遥测、固件更新。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b/>
          <w:lang w:eastAsia="zh-CN"/>
        </w:rPr>
        <w:t>分级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VITA 46.11 </w:t>
      </w:r>
      <w:r>
        <w:rPr>
          <w:rFonts w:ascii="宋体" w:eastAsia="宋体" w:hAnsi="宋体" w:cs="宋体" w:hint="eastAsia"/>
          <w:lang w:eastAsia="zh-CN"/>
        </w:rPr>
        <w:t>定义了不同等级的管理控制器能力，项目需明确实现到哪一级。</w:t>
      </w:r>
    </w:p>
    <w:p>
      <w:bookmarkStart w:id="13" w:name="_Toc_section_5"/>
      <w:bookmarkStart w:id="4" w:name="section-5"/>
      <w:pPr>
        <w:pStyle w:val="Heading2"/>
        <w:spacing w:line="312" w:lineRule="auto"/>
      </w:pPr>
      <w:bookmarkEnd w:id="4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五、上电管理与业务交互流程</w:t>
      </w:r>
      <w:bookmarkEnd w:id="13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系统的关键不在</w:t>
      </w:r>
      <w:r>
        <w:t>"</w:t>
      </w:r>
      <w:r>
        <w:rPr>
          <w:rFonts w:ascii="宋体" w:eastAsia="宋体" w:hAnsi="宋体" w:cs="宋体" w:hint="eastAsia"/>
          <w:lang w:eastAsia="zh-CN"/>
        </w:rPr>
        <w:t>连上线</w:t>
      </w:r>
      <w:r>
        <w:t>"</w:t>
      </w:r>
      <w:r>
        <w:rPr>
          <w:rFonts w:ascii="宋体" w:eastAsia="宋体" w:hAnsi="宋体" w:cs="宋体" w:hint="eastAsia"/>
          <w:lang w:eastAsia="zh-CN"/>
        </w:rPr>
        <w:t>，而在</w:t>
      </w:r>
      <w:r>
        <w:t>"</w:t>
      </w:r>
      <w:r>
        <w:rPr>
          <w:rFonts w:ascii="宋体" w:eastAsia="宋体" w:hAnsi="宋体" w:cs="宋体" w:hint="eastAsia"/>
          <w:lang w:eastAsia="zh-CN"/>
        </w:rPr>
        <w:t>有序上电</w:t>
      </w:r>
      <w:r>
        <w:t>"</w:t>
      </w:r>
      <w:r>
        <w:rPr>
          <w:rFonts w:ascii="宋体" w:eastAsia="宋体" w:hAnsi="宋体" w:cs="宋体" w:hint="eastAsia"/>
          <w:lang w:eastAsia="zh-CN"/>
        </w:rPr>
        <w:t>。以下流程既是标准动作，也是出问题时最应先排查的对象。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（一）模块上电顺序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一次规范的插入与上电按下面七步推进，任何一步失败都会在管理侧留下对应的故障标识。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步骤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动作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失败表现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连接器地首先接触，建立回流路径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静电泄放路径缺失，可能损坏器件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2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预充电引脚通过限流给模块输入电容缓充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插入打火、背板电压跌落、其他板卡被复位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3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辅助电源到位，板卡管理控制器先运行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管理控制器不工作，后续步骤无法执行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4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管理控制器读取地理地址，向机箱管理控制器报到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机箱侧看不到该槽位，判定为空槽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5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机箱侧下发上电命令，板卡开启主电源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业务电路一直不上电，业务面无设备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6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电源好信号有效，释放复位，加载配置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链路训练不能开始，对端看不到节点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7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业务面完成链路训练并被枚举成功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看不到设备、网络口不建链</w:t>
            </w:r>
          </w:p>
        </w:tc>
      </w:tr>
    </w:tbl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（二）业务链路建立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以最常见的数据面</w:t>
      </w:r>
      <w:r>
        <w:t xml:space="preserve"> PCIe </w:t>
      </w:r>
      <w:r>
        <w:rPr>
          <w:rFonts w:ascii="宋体" w:eastAsia="宋体" w:hAnsi="宋体" w:cs="宋体" w:hint="eastAsia"/>
          <w:lang w:eastAsia="zh-CN"/>
        </w:rPr>
        <w:t>为例，一次成功的链路建立需要五个条件同时满足：两侧供电完成且复位已释放；参考时钟稳定且抖动满足要求；两端端口模式匹配；背板链路插损在预算内；预加重与均衡配置合理。任一条件不满足，链路会停留在较低速率或在链路训练状态机内反复跳转。</w:t>
      </w:r>
    </w:p>
    <w:p>
      <w:pPr>
        <w:pStyle w:val="Heading3"/>
        <w:spacing w:line="312" w:lineRule="auto"/>
      </w:pPr>
      <w:r>
        <w:rPr>
          <w:rFonts w:ascii="宋体" w:hAnsi="宋体" w:eastAsia="宋体" w:cs="宋体" w:hint="eastAsia"/>
          <w:b/>
          <w:color w:val="1F3864"/>
          <w:sz w:val="26"/>
          <w:lang w:eastAsia="zh-CN"/>
        </w:rPr>
        <w:t>（三）机箱管理交互</w:t>
      </w:r>
    </w:p>
    <w:p>
      <w:pPr>
        <w:jc w:val="both"/>
      </w:pPr>
      <w:r>
        <w:rPr>
          <w:rFonts w:ascii="宋体" w:eastAsia="宋体" w:hAnsi="宋体" w:cs="宋体" w:hint="eastAsia"/>
          <w:lang w:eastAsia="zh-CN"/>
        </w:rPr>
        <w:t>管理面上，板卡管理控制器周期性上报遥测数据（电流、电压、多路温度），机箱管理控制器依据策略调整风扇转速、执行功率预算仲裁，必要时切除故障插槽并上报告警。这条链路不依赖操作系统，即便业务电路完全不工作也应能完成机箱内全部模块的发现与控制，这是判断管理层是否正常的关键分界点。</w:t>
      </w:r>
    </w:p>
    <w:p>
      <w:bookmarkStart w:id="14" w:name="_Toc_section_6"/>
      <w:bookmarkStart w:id="5" w:name="section-6"/>
      <w:pPr>
        <w:pStyle w:val="Heading2"/>
        <w:spacing w:line="312" w:lineRule="auto"/>
      </w:pPr>
      <w:bookmarkEnd w:id="5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六、硬件设计要点</w:t>
      </w:r>
      <w:bookmarkEnd w:id="14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产品的成本大头在背板与结构件，因此设计失误的返工代价极大。以下十二条为工程经验总结。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先定配置文件再画原理图</w:t>
      </w:r>
      <w:r>
        <w:rPr>
          <w:rFonts w:ascii="宋体" w:eastAsia="宋体" w:hAnsi="宋体" w:cs="宋体" w:hint="eastAsia"/>
          <w:lang w:eastAsia="zh-CN"/>
        </w:rPr>
        <w:t>：每块</w:t>
      </w:r>
      <w:r>
        <w:t xml:space="preserve"> VPX </w:t>
      </w:r>
      <w:r>
        <w:rPr>
          <w:rFonts w:ascii="宋体" w:eastAsia="宋体" w:hAnsi="宋体" w:cs="宋体" w:hint="eastAsia"/>
          <w:lang w:eastAsia="zh-CN"/>
        </w:rPr>
        <w:t>板卡都应有明确的模块配置，详细的差分指配表必须与该配置逐一对应。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差分阻抗全链路统一</w:t>
      </w:r>
      <w:r>
        <w:rPr>
          <w:rFonts w:ascii="宋体" w:eastAsia="宋体" w:hAnsi="宋体" w:cs="宋体" w:hint="eastAsia"/>
          <w:lang w:eastAsia="zh-CN"/>
        </w:rPr>
        <w:t>：连接器、背板过孔、插件走线全程</w:t>
      </w:r>
      <w:r>
        <w:t xml:space="preserve"> 100 Ω ±10 %</w:t>
      </w:r>
      <w:r>
        <w:rPr>
          <w:rFonts w:ascii="宋体" w:eastAsia="宋体" w:hAnsi="宋体" w:cs="宋体" w:hint="eastAsia"/>
          <w:lang w:eastAsia="zh-CN"/>
        </w:rPr>
        <w:t>；厚背板的过孔残桩必须背钻。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严禁删减接地引脚</w:t>
      </w:r>
      <w:r>
        <w:rPr>
          <w:rFonts w:ascii="宋体" w:eastAsia="宋体" w:hAnsi="宋体" w:cs="宋体" w:hint="eastAsia"/>
          <w:lang w:eastAsia="zh-CN"/>
        </w:rPr>
        <w:t>：厂商提供的封装中每一个地引脚都不可删除或挪作信号用。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插入损耗预算</w:t>
      </w:r>
      <w:r>
        <w:rPr>
          <w:rFonts w:ascii="宋体" w:eastAsia="宋体" w:hAnsi="宋体" w:cs="宋体" w:hint="eastAsia"/>
          <w:lang w:eastAsia="zh-CN"/>
        </w:rPr>
        <w:t>：按最坏链路（跨接最多连接器、走线最长）核算，预留余量不小于</w:t>
      </w:r>
      <w:r>
        <w:t xml:space="preserve"> 3 dB</w:t>
      </w:r>
      <w:r>
        <w:rPr>
          <w:rFonts w:ascii="宋体" w:eastAsia="宋体" w:hAnsi="宋体" w:cs="宋体" w:hint="eastAsia"/>
          <w:lang w:eastAsia="zh-CN"/>
        </w:rPr>
        <w:t>，板材优先选低损耗等级。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预充电电路必须存在</w:t>
      </w:r>
      <w:r>
        <w:rPr>
          <w:rFonts w:ascii="宋体" w:eastAsia="宋体" w:hAnsi="宋体" w:cs="宋体" w:hint="eastAsia"/>
          <w:lang w:eastAsia="zh-CN"/>
        </w:rPr>
        <w:t>：模块输入电容总量受限制，热插拔要靠缓起动限制浪涌，否则会拉垮背板。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管理控制器独立供电</w:t>
      </w:r>
      <w:r>
        <w:rPr>
          <w:rFonts w:ascii="宋体" w:eastAsia="宋体" w:hAnsi="宋体" w:cs="宋体" w:hint="eastAsia"/>
          <w:lang w:eastAsia="zh-CN"/>
        </w:rPr>
        <w:t>：管理控制与采集电路由常电供电，不得受业务电源影响。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地理地址走线正确</w:t>
      </w:r>
      <w:r>
        <w:rPr>
          <w:rFonts w:ascii="宋体" w:eastAsia="宋体" w:hAnsi="宋体" w:cs="宋体" w:hint="eastAsia"/>
          <w:lang w:eastAsia="zh-CN"/>
        </w:rPr>
        <w:t>：地理地址的上下拉由背板决定，板卡侧通常直接或经缓冲送管理控制器，反接会导致整批无法识别。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参考时钟按差分规则处理</w:t>
      </w:r>
      <w:r>
        <w:rPr>
          <w:rFonts w:ascii="宋体" w:eastAsia="宋体" w:hAnsi="宋体" w:cs="宋体" w:hint="eastAsia"/>
          <w:lang w:eastAsia="zh-CN"/>
        </w:rPr>
        <w:t>：抖动需满足所选协议要求，且不得跨地平面分割。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按业务差异制定电源树</w:t>
      </w:r>
      <w:r>
        <w:rPr>
          <w:rFonts w:ascii="宋体" w:eastAsia="宋体" w:hAnsi="宋体" w:cs="宋体" w:hint="eastAsia"/>
          <w:lang w:eastAsia="zh-CN"/>
        </w:rPr>
        <w:t>：各路主电源的缓起动时序、限流点与电源好阈值应与机箱管理策略协同。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机械与热设计同步</w:t>
      </w:r>
      <w:r>
        <w:rPr>
          <w:rFonts w:ascii="宋体" w:eastAsia="宋体" w:hAnsi="宋体" w:cs="宋体" w:hint="eastAsia"/>
          <w:lang w:eastAsia="zh-CN"/>
        </w:rPr>
        <w:t>：导冷机箱的楔形锁压紧力、导热垫压缩量、器件到冷板的距离须在结构图上标注。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后走线模块逐点核对</w:t>
      </w:r>
      <w:r>
        <w:rPr>
          <w:rFonts w:ascii="宋体" w:eastAsia="宋体" w:hAnsi="宋体" w:cs="宋体" w:hint="eastAsia"/>
          <w:lang w:eastAsia="zh-CN"/>
        </w:rPr>
        <w:t>：</w:t>
      </w:r>
      <w:r>
        <w:t xml:space="preserve">VITA 46.10 </w:t>
      </w:r>
      <w:r>
        <w:rPr>
          <w:rFonts w:ascii="宋体" w:eastAsia="宋体" w:hAnsi="宋体" w:cs="宋体" w:hint="eastAsia"/>
          <w:lang w:eastAsia="zh-CN"/>
        </w:rPr>
        <w:t>的信号转接关系极易出错，必须用网表逐点校对。</w:t>
      </w:r>
    </w:p>
    <w:p>
      <w:pPr>
        <w:pStyle w:val="ListNumber"/>
        <w:numPr>
          <w:ilvl w:val="0"/>
          <w:numId w:val="10"/>
        </w:numPr>
        <w:spacing w:after="72"/>
      </w:pPr>
      <w:r>
        <w:rPr>
          <w:rFonts w:ascii="宋体" w:eastAsia="宋体" w:hAnsi="宋体" w:cs="宋体" w:hint="eastAsia"/>
          <w:b/>
          <w:lang w:eastAsia="zh-CN"/>
        </w:rPr>
        <w:t>防误插设计</w:t>
      </w:r>
      <w:r>
        <w:rPr>
          <w:rFonts w:ascii="宋体" w:eastAsia="宋体" w:hAnsi="宋体" w:cs="宋体" w:hint="eastAsia"/>
          <w:lang w:eastAsia="zh-CN"/>
        </w:rPr>
        <w:t>：键控块取决于槽位类型与所遵循的配置，需保证不同功能的模块不能互换插入。</w:t>
      </w:r>
    </w:p>
    <w:p>
      <w:bookmarkStart w:id="15" w:name="_Toc_section_7"/>
      <w:bookmarkStart w:id="6" w:name="section-7"/>
      <w:pPr>
        <w:pStyle w:val="Heading2"/>
        <w:spacing w:line="312" w:lineRule="auto"/>
      </w:pPr>
      <w:bookmarkEnd w:id="6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七、典型应用场景</w:t>
      </w:r>
      <w:bookmarkEnd w:id="15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的典型价值在于</w:t>
      </w:r>
      <w:r>
        <w:t>"</w:t>
      </w:r>
      <w:r>
        <w:rPr>
          <w:rFonts w:ascii="宋体" w:eastAsia="宋体" w:hAnsi="宋体" w:cs="宋体" w:hint="eastAsia"/>
          <w:lang w:eastAsia="zh-CN"/>
        </w:rPr>
        <w:t>多个异构处理模块在同一个机箱内互连并统一管理</w:t>
      </w:r>
      <w:r>
        <w:t>"</w:t>
      </w:r>
      <w:r>
        <w:rPr>
          <w:rFonts w:ascii="宋体" w:eastAsia="宋体" w:hAnsi="宋体" w:cs="宋体" w:hint="eastAsia"/>
          <w:lang w:eastAsia="zh-CN"/>
        </w:rPr>
        <w:t>，以下为七类应用及其设计关注点。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场景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典型配置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设计关注点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通用加固计算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处理器板加交换板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功耗预算、通道分配、散热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雷达与电子战信号处理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FPGA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加模数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/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数模转换板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链路时延、采样同步、时钟抖动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软件无线电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射频子卡加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VITA 67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触点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射频触点插损、屏蔽隔离、数据流封装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车载与机载任务计算机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多模块冗余加双星交换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振动冲击、导冷、掉电保护、冗余切换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高速采集与存储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采集板加固态存储板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持续带宽、通道拆分、存储协议支持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光互连集群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VITA 66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光纤交联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光纤管理、网格拓扑、误码率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地面站与航电测试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6U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大板多协议互转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协议转换、后走线引出、维护便利</w:t>
            </w:r>
          </w:p>
        </w:tc>
      </w:tr>
    </w:tbl>
    <w:p>
      <w:bookmarkStart w:id="16" w:name="_Toc_section_8"/>
      <w:bookmarkStart w:id="7" w:name="section-8"/>
      <w:pPr>
        <w:pStyle w:val="Heading2"/>
        <w:spacing w:line="312" w:lineRule="auto"/>
      </w:pPr>
      <w:bookmarkEnd w:id="7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八、可靠性与测试验证</w:t>
      </w:r>
      <w:bookmarkEnd w:id="16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的排障要严格按层推进：</w:t>
      </w:r>
      <w:r>
        <w:rPr>
          <w:rFonts w:ascii="宋体" w:eastAsia="宋体" w:hAnsi="宋体" w:cs="宋体" w:hint="eastAsia"/>
          <w:b/>
          <w:lang w:eastAsia="zh-CN"/>
        </w:rPr>
        <w:t>机械层—管理层—电源层—物理层—链路层—业务层</w:t>
      </w:r>
      <w:r>
        <w:rPr>
          <w:rFonts w:ascii="宋体" w:eastAsia="宋体" w:hAnsi="宋体" w:cs="宋体" w:hint="eastAsia"/>
          <w:lang w:eastAsia="zh-CN"/>
        </w:rPr>
        <w:t>。跳层排查是这类产品最常见的时间浪费源。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现象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可能原因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shd w:val="clear" w:color="auto" w:fill="EEF2F8"/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排查方法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插入后机箱完全没反应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地理地址错、辅助电源缺失、管理控制器未供电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量管理控制器供电、查地理地址电平、查管理总线波形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能看到槽位但业务电路不上电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机箱策略限制、管理控制器拒绝、过流保护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读管理事件记录、查缓起动使能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业务已上电但主机看不到设备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复位未释放、参考时钟缺失、端口模式配错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量参考时钟、查复位时序、读链路训练状态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链路能建但速率下降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背板插损过大、预加重不合理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测背板散射参数、扫发送端预设、看训练记录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时通时断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接触不良、模块未插到位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重新插拔、检查导轨与楔形锁、检查接触印痕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插入时其他板卡复位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预充电不足、输入电容过大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放缓缓起动斜率、降低总电容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高温下误码率升高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眼图余量不足、参考时钟漂移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高低温实测误码、核算抖动指标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更换模块后不通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配置不匹配或差分对引脚对应关系错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核对两侧配置、用网表校对引脚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管理可读但遥测值异常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采样参考不准、采集路径错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比对万用表读数、校准采样系数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后走线侧信号不一致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转接关系表错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逐点通断测试、核对后走线设计稿</w:t>
            </w:r>
          </w:p>
        </w:tc>
      </w:tr>
      <w:tr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光或射频链路衰减过大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触点脏污、未插到位</w:t>
            </w:r>
          </w:p>
        </w:tc>
        <w:tc>
          <w:tcPr>
            <w:tcW w:type="dxa" w:w="2880"/>
            <w:tcBorders>
              <w:top w:val="single" w:sz="6" w:space="0" w:color="BBBBBB"/>
              <w:bottom w:val="single" w:sz="6" w:space="0" w:color="BBBBBB"/>
              <w:left w:val="single" w:sz="6" w:space="0" w:color="BBBBBB"/>
              <w:right w:val="single" w:sz="6" w:space="0" w:color="BBBBBB"/>
            </w:tcBorders>
            <w:vAlign w:val="center"/>
            <w:tcMar>
              <w:top w:w="96" w:type="dxa"/>
              <w:bottom w:w="96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清洁触点、测插损、按厂商推荐寿命评估</w:t>
            </w:r>
          </w:p>
        </w:tc>
      </w:tr>
    </w:tbl>
    <w:p>
      <w:pPr>
        <w:jc w:val="both"/>
      </w:pPr>
      <w:r>
        <w:rPr>
          <w:rFonts w:ascii="宋体" w:eastAsia="宋体" w:hAnsi="宋体" w:cs="宋体" w:hint="eastAsia"/>
          <w:lang w:eastAsia="zh-CN"/>
        </w:rPr>
        <w:t>测试项建议覆盖九个方面：插拔寿命与接触电阻、插损与回损、眼图与误码率（常温和边界温度各一轮）、上下电时序与管理事件符合性、掉电与热插拔重复、供电预算与纹波、结合导冷的振动测试、温度循环与容差、振动冲击与盐雾（如适用）。</w:t>
      </w:r>
    </w:p>
    <w:p>
      <w:bookmarkStart w:id="17" w:name="_Toc_section_9"/>
      <w:bookmarkStart w:id="8" w:name="section-9"/>
      <w:pPr>
        <w:pStyle w:val="Heading2"/>
        <w:spacing w:line="312" w:lineRule="auto"/>
      </w:pPr>
      <w:bookmarkEnd w:id="8"/>
      <w:r>
        <w:rPr>
          <w:rFonts w:ascii="宋体" w:hAnsi="宋体" w:eastAsia="宋体" w:cs="宋体" w:hint="eastAsia"/>
          <w:b/>
          <w:color w:val="1F3864"/>
          <w:sz w:val="30"/>
          <w:lang w:eastAsia="zh-CN"/>
        </w:rPr>
        <w:t>九、设计检查清单</w:t>
      </w:r>
      <w:bookmarkEnd w:id="17"/>
    </w:p>
    <w:p>
      <w:pPr>
        <w:jc w:val="both"/>
      </w:pPr>
      <w:r>
        <w:t xml:space="preserve">VPX </w:t>
      </w:r>
      <w:r>
        <w:rPr>
          <w:rFonts w:ascii="宋体" w:eastAsia="宋体" w:hAnsi="宋体" w:cs="宋体" w:hint="eastAsia"/>
          <w:lang w:eastAsia="zh-CN"/>
        </w:rPr>
        <w:t>相关设计在项目节点评审时建议至少落实以下十八条。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已选定明确的模块、插槽与背板配置，并在图框中注明。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连接器型号、压接规格与</w:t>
      </w:r>
      <w:r>
        <w:t xml:space="preserve"> PCB </w:t>
      </w:r>
      <w:r>
        <w:rPr>
          <w:rFonts w:ascii="宋体" w:eastAsia="宋体" w:hAnsi="宋体" w:cs="宋体" w:hint="eastAsia"/>
          <w:lang w:eastAsia="zh-CN"/>
        </w:rPr>
        <w:t>封装已按厂商推荐。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所有接地引脚均已保留，未删减或改作他用。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差分对全链路阻抗受控，背板过孔已做背钻。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最坏链路的插损预算已核算，余量满足要求。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板材等级、铜厚与层压结构已与背板厂确认。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各路主电源与辅助电源的电源树及缓起动时序已定义。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模块侧输入总电容已满足热插拔浪涌要求。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预充电与热插拔控制器已选型并验证参数。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管理控制器由常电供电，固件实现了所需的管理命令集。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地理地址译码与背板极性已检查。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业务侧复位释放与电源好时序符合要求。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参考时钟抖动指标与走线满足所选协议要求。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防误插方案按槽位类型选定。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导冷或风冷结构件、导热界面材料与到冷板距离已校核。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后走线模块（如有）转接关系已逐点核对。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已完成常温与极限温度的眼图和误码测试。</w:t>
      </w:r>
    </w:p>
    <w:p>
      <w:pPr>
        <w:pStyle w:val="ListBullet"/>
        <w:spacing w:after="72"/>
      </w:pPr>
      <w:r>
        <w:rPr>
          <w:rFonts w:ascii="宋体" w:eastAsia="宋体" w:hAnsi="宋体" w:cs="宋体" w:hint="eastAsia"/>
          <w:lang w:eastAsia="zh-CN"/>
        </w:rPr>
        <w:t>已完成多次上下电、掉电与热插拔重复测试。</w:t>
      </w:r>
    </w:p>
    <w:p>
      <w:pPr>
        <w:spacing w:after="0"/>
        <w:jc w:val="both"/>
      </w:pPr>
      <w:r>
        <w:rPr>
          <w:rFonts w:ascii="宋体" w:eastAsia="宋体" w:hAnsi="宋体" w:cs="宋体" w:hint="eastAsia"/>
          <w:lang w:eastAsia="zh-CN"/>
        </w:rPr>
        <w:t>注：本文为</w:t>
      </w:r>
      <w:r>
        <w:t xml:space="preserve"> VPX </w:t>
      </w:r>
      <w:r>
        <w:rPr>
          <w:rFonts w:ascii="宋体" w:eastAsia="宋体" w:hAnsi="宋体" w:cs="宋体" w:hint="eastAsia"/>
          <w:lang w:eastAsia="zh-CN"/>
        </w:rPr>
        <w:t>接口的通用设计说明。</w:t>
      </w:r>
      <w:r>
        <w:t xml:space="preserve">VPX </w:t>
      </w:r>
      <w:r>
        <w:rPr>
          <w:rFonts w:ascii="宋体" w:eastAsia="宋体" w:hAnsi="宋体" w:cs="宋体" w:hint="eastAsia"/>
          <w:lang w:eastAsia="zh-CN"/>
        </w:rPr>
        <w:t>的许多条目（具体引脚映射、配置文件名称、机械公差）会因标准版本与连接器厂商而异，实际项目需以所采用的</w:t>
      </w:r>
      <w:r>
        <w:t xml:space="preserve"> VITA 46 </w:t>
      </w:r>
      <w:r>
        <w:rPr>
          <w:rFonts w:ascii="宋体" w:eastAsia="宋体" w:hAnsi="宋体" w:cs="宋体" w:hint="eastAsia"/>
          <w:lang w:eastAsia="zh-CN"/>
        </w:rPr>
        <w:t>系列、</w:t>
      </w:r>
      <w:r>
        <w:t xml:space="preserve">VITA 65 </w:t>
      </w:r>
      <w:r>
        <w:rPr>
          <w:rFonts w:ascii="宋体" w:eastAsia="宋体" w:hAnsi="宋体" w:cs="宋体" w:hint="eastAsia"/>
          <w:lang w:eastAsia="zh-CN"/>
        </w:rPr>
        <w:t>配置文档与连接器数据手册为准。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92"/>
      <w:jc w:val="both"/>
    </w:pPr>
    <w:rPr>
      <w:rFonts w:ascii="宋体" w:hAnsi="宋体" w:eastAsia="宋体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36" w:after="192" w:line="265" w:lineRule="auto"/>
      <w:outlineLvl w:val="0"/>
    </w:pPr>
    <w:rPr>
      <w:rFonts w:ascii="黑体" w:hAnsi="黑体" w:eastAsia="黑体"/>
      <w:b/>
      <w:bCs/>
      <w:color w:val="1F3864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36" w:after="192" w:line="265" w:lineRule="auto"/>
      <w:outlineLvl w:val="1"/>
    </w:pPr>
    <w:rPr>
      <w:rFonts w:ascii="黑体" w:hAnsi="黑体" w:eastAsia="黑体"/>
      <w:b/>
      <w:bCs/>
      <w:color w:val="1F386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36" w:after="192" w:line="265" w:lineRule="auto"/>
      <w:outlineLvl w:val="2"/>
    </w:pPr>
    <w:rPr>
      <w:rFonts w:ascii="黑体" w:hAnsi="黑体" w:eastAsia="黑体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36" w:after="192" w:line="265" w:lineRule="auto"/>
      <w:outlineLvl w:val="3"/>
    </w:pPr>
    <w:rPr>
      <w:rFonts w:ascii="黑体" w:hAnsi="黑体" w:eastAsia="黑体"/>
      <w:b/>
      <w:bCs/>
      <w:i/>
      <w:iCs/>
      <w:color w:val="1F386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