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8"/>
        <w:jc w:val="center"/>
      </w:pPr>
      <w:r>
        <w:rPr>
          <w:rFonts w:ascii="宋体" w:hAnsi="宋体" w:eastAsia="宋体" w:cs="宋体" w:hint="eastAsia"/>
          <w:color w:val="1F3864"/>
          <w:sz w:val="26"/>
          <w:lang w:eastAsia="zh-CN"/>
        </w:rPr>
        <w:t>硬件接口协议系列</w:t>
      </w:r>
    </w:p>
    <w:p>
      <w:pPr>
        <w:spacing w:after="416"/>
        <w:jc w:val="center"/>
      </w:pP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硬件接口协议之</w:t>
      </w:r>
      <w:r>
        <w:rPr>
          <w:rFonts w:ascii="黑体" w:hAnsi="黑体"/>
          <w:b/>
          <w:color w:val="1F3864"/>
          <w:sz w:val="52"/>
        </w:rPr>
        <w:t xml:space="preserve"> SerDes </w:t>
      </w: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接口</w:t>
      </w:r>
    </w:p>
    <w:p>
      <w:pPr>
        <w:spacing w:after="1200"/>
        <w:jc w:val="center"/>
      </w:pPr>
      <w:r>
        <w:rPr>
          <w:rFonts w:ascii="宋体" w:hAnsi="宋体" w:eastAsia="宋体" w:cs="宋体" w:hint="eastAsia"/>
          <w:color w:val="666666"/>
          <w:sz w:val="30"/>
          <w:lang w:eastAsia="zh-CN"/>
        </w:rPr>
        <w:t>设计说明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文档名称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硬件接口协议之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SerDes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接口设计说明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适用范围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高速串行收发通道的电气、时钟、通道设计与信号完整性通用要求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文档状态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设计参考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编制日期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2026-10-09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rFonts w:ascii="黑体" w:hAnsi="黑体" w:eastAsia="黑体" w:hint="eastAsia"/>
          <w:b/>
          <w:color w:val="1F3864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一、文档目的与适用范围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二、接口概述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三、工作原理与物理层设计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四、关键指标与信道预算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五、通道建立与调试流程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六、硬件设计要点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七、典型应用场景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八、可靠性与测试验证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九、设计检查清单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一、文档目的与适用范围</w:t>
      </w:r>
      <w:bookmarkEnd w:id="9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本文档规定硬件产品中高速串行收发通道的组成、电气要求、参考时钟与抖动指标、信道损耗预算、均衡配置方法、</w:t>
      </w:r>
      <w:r>
        <w:t xml:space="preserve">PCB </w:t>
      </w:r>
      <w:r>
        <w:rPr>
          <w:rFonts w:ascii="宋体" w:eastAsia="宋体" w:hAnsi="宋体" w:cs="宋体" w:hint="eastAsia"/>
          <w:lang w:eastAsia="zh-CN"/>
        </w:rPr>
        <w:t>布线规则及测试验收要求，作为各类高速串行接口统一遵循的底层设计依据。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适用范围：板内、板间与背板场景下的点对点高速差分串行通道，包括各类处理器、交换芯片、</w:t>
      </w:r>
      <w:r>
        <w:t xml:space="preserve">FPGA </w:t>
      </w:r>
      <w:r>
        <w:rPr>
          <w:rFonts w:ascii="宋体" w:eastAsia="宋体" w:hAnsi="宋体" w:cs="宋体" w:hint="eastAsia"/>
          <w:lang w:eastAsia="zh-CN"/>
        </w:rPr>
        <w:t>与专用转换器所集成的收发通道。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不适用范围：上层具体协议的事务层定义；低速并行总线。协议相关要求按其各自文档执行，本文只覆盖其共同的物理与通道设计基础。</w:t>
      </w:r>
    </w:p>
    <w:p>
      <w:bookmarkStart w:id="10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二、接口概述</w:t>
      </w:r>
      <w:bookmarkEnd w:id="10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串行收发通道是现代高速接口的公共底座。它的核心价值是：</w:t>
      </w:r>
      <w:r>
        <w:rPr>
          <w:rFonts w:ascii="宋体" w:eastAsia="宋体" w:hAnsi="宋体" w:cs="宋体" w:hint="eastAsia"/>
          <w:b/>
          <w:lang w:eastAsia="zh-CN"/>
        </w:rPr>
        <w:t>用少量差分通道替代大量并行走线</w:t>
      </w:r>
      <w:r>
        <w:rPr>
          <w:rFonts w:ascii="宋体" w:eastAsia="宋体" w:hAnsi="宋体" w:cs="宋体" w:hint="eastAsia"/>
          <w:lang w:eastAsia="zh-CN"/>
        </w:rPr>
        <w:t>，从而突破引脚数量、并行偏移与功耗的限制。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并行方式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串行方式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引脚数量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随位宽线性增长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几十对差分线即可获得极高带宽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通道间偏移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是主要限制因素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由链路层去偏移吸收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时钟传递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随路单独传输，受偏斜影响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嵌入数据流，由接收端恢复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功耗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总线功耗高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单位带宽功耗更低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设计难度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时序收敛困难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重心转向信号完整性与抖动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理解这一点有助于定位问题：</w:t>
      </w:r>
      <w:r>
        <w:rPr>
          <w:rFonts w:ascii="宋体" w:eastAsia="宋体" w:hAnsi="宋体" w:cs="宋体" w:hint="eastAsia"/>
          <w:b/>
          <w:lang w:eastAsia="zh-CN"/>
        </w:rPr>
        <w:t>串行方式把并行时代的时序难题，转换成了信号完整性与抖动难题</w:t>
      </w:r>
      <w:r>
        <w:rPr>
          <w:rFonts w:ascii="宋体" w:eastAsia="宋体" w:hAnsi="宋体" w:cs="宋体" w:hint="eastAsia"/>
          <w:lang w:eastAsia="zh-CN"/>
        </w:rPr>
        <w:t>。因此这类设计的关键工作不再是拉多条等长线，而是把通道做干净、把时钟做稳、把损耗控制在预算内。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（一）典型组成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一条完整的收发通道由发送与接收两条方向相反的路径构成，各包含若干功能模块。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并串与串并转换</w:t>
      </w:r>
      <w:r>
        <w:rPr>
          <w:rFonts w:ascii="宋体" w:eastAsia="宋体" w:hAnsi="宋体" w:cs="宋体" w:hint="eastAsia"/>
          <w:lang w:eastAsia="zh-CN"/>
        </w:rPr>
        <w:t>：把宽并行数据与高速串行比特流互相转换。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编码与加扰</w:t>
      </w:r>
      <w:r>
        <w:rPr>
          <w:rFonts w:ascii="宋体" w:eastAsia="宋体" w:hAnsi="宋体" w:cs="宋体" w:hint="eastAsia"/>
          <w:lang w:eastAsia="zh-CN"/>
        </w:rPr>
        <w:t>：保证直流平衡与足够的跳变密度，便于接收端恢复时钟。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发送驱动器</w:t>
      </w:r>
      <w:r>
        <w:rPr>
          <w:rFonts w:ascii="宋体" w:eastAsia="宋体" w:hAnsi="宋体" w:cs="宋体" w:hint="eastAsia"/>
          <w:lang w:eastAsia="zh-CN"/>
        </w:rPr>
        <w:t>：通常采用电流模式逻辑，向差分通道输出规定的摆幅。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接收前端</w:t>
      </w:r>
      <w:r>
        <w:rPr>
          <w:rFonts w:ascii="宋体" w:eastAsia="宋体" w:hAnsi="宋体" w:cs="宋体" w:hint="eastAsia"/>
          <w:lang w:eastAsia="zh-CN"/>
        </w:rPr>
        <w:t>：包含终端匹配、连续时间均衡与判决反馈均衡。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时钟数据恢复</w:t>
      </w:r>
      <w:r>
        <w:rPr>
          <w:rFonts w:ascii="宋体" w:eastAsia="宋体" w:hAnsi="宋体" w:cs="宋体" w:hint="eastAsia"/>
          <w:lang w:eastAsia="zh-CN"/>
        </w:rPr>
        <w:t>：从数据流中恢复采样时钟，是接收端的核心。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测试与环回</w:t>
      </w:r>
      <w:r>
        <w:rPr>
          <w:rFonts w:ascii="宋体" w:eastAsia="宋体" w:hAnsi="宋体" w:cs="宋体" w:hint="eastAsia"/>
          <w:lang w:eastAsia="zh-CN"/>
        </w:rPr>
        <w:t>：内置伪随机序列发生器与多种环回路径，用于自检。</w:t>
      </w:r>
    </w:p>
    <w:p>
      <w:bookmarkStart w:id="11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三、工作原理与物理层设计</w:t>
      </w:r>
      <w:bookmarkEnd w:id="11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物理层设计的目标，是让接收端的判决时刻仍拥有足够的眼图张开度。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（一）发送侧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发送侧主要解决</w:t>
      </w:r>
      <w:r>
        <w:t>"</w:t>
      </w:r>
      <w:r>
        <w:rPr>
          <w:rFonts w:ascii="宋体" w:eastAsia="宋体" w:hAnsi="宋体" w:cs="宋体" w:hint="eastAsia"/>
          <w:lang w:eastAsia="zh-CN"/>
        </w:rPr>
        <w:t>怎样把信号送出去</w:t>
      </w:r>
      <w:r>
        <w:t>"</w:t>
      </w:r>
      <w:r>
        <w:rPr>
          <w:rFonts w:ascii="宋体" w:eastAsia="宋体" w:hAnsi="宋体" w:cs="宋体" w:hint="eastAsia"/>
          <w:lang w:eastAsia="zh-CN"/>
        </w:rPr>
        <w:t>的问题。除了编码，核心是</w:t>
      </w:r>
      <w:r>
        <w:rPr>
          <w:rFonts w:ascii="宋体" w:eastAsia="宋体" w:hAnsi="宋体" w:cs="宋体" w:hint="eastAsia"/>
          <w:b/>
          <w:lang w:eastAsia="zh-CN"/>
        </w:rPr>
        <w:t>预加重</w:t>
      </w:r>
      <w:r>
        <w:rPr>
          <w:rFonts w:ascii="宋体" w:eastAsia="宋体" w:hAnsi="宋体" w:cs="宋体" w:hint="eastAsia"/>
          <w:lang w:eastAsia="zh-CN"/>
        </w:rPr>
        <w:t>（也称去加重）：由于通道对高频分量衰减更大，发送端预先提升跳变沿附近的能量，使到达接收端的波形相对平坦。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调整原则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差分摆幅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输出幅度，通常可配置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损耗大时适当提高，注意功耗与辐射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预加重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补偿高频衰减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以接收端眼图最优为目标扫描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后游标抽头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进一步精细补偿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高速率长通道时使用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输出阻抗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与通道阻抗匹配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减少反射</w:t>
            </w:r>
          </w:p>
        </w:tc>
      </w:tr>
    </w:tbl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（二）接收侧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接收侧主要解决</w:t>
      </w:r>
      <w:r>
        <w:t>"</w:t>
      </w:r>
      <w:r>
        <w:rPr>
          <w:rFonts w:ascii="宋体" w:eastAsia="宋体" w:hAnsi="宋体" w:cs="宋体" w:hint="eastAsia"/>
          <w:lang w:eastAsia="zh-CN"/>
        </w:rPr>
        <w:t>怎样在失真波形上正确判决</w:t>
      </w:r>
      <w:r>
        <w:t>"</w:t>
      </w:r>
      <w:r>
        <w:rPr>
          <w:rFonts w:ascii="宋体" w:eastAsia="宋体" w:hAnsi="宋体" w:cs="宋体" w:hint="eastAsia"/>
          <w:lang w:eastAsia="zh-CN"/>
        </w:rPr>
        <w:t>的问题。它由线性均衡、判决反馈均衡与时钟数据恢复组成。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线性均衡</w:t>
      </w:r>
      <w:r>
        <w:rPr>
          <w:rFonts w:ascii="宋体" w:eastAsia="宋体" w:hAnsi="宋体" w:cs="宋体" w:hint="eastAsia"/>
          <w:lang w:eastAsia="zh-CN"/>
        </w:rPr>
        <w:t>：提升高频分量，抑制低频，相当于给通道做一个反滤波器。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判决反馈均衡</w:t>
      </w:r>
      <w:r>
        <w:rPr>
          <w:rFonts w:ascii="宋体" w:eastAsia="宋体" w:hAnsi="宋体" w:cs="宋体" w:hint="eastAsia"/>
          <w:lang w:eastAsia="zh-CN"/>
        </w:rPr>
        <w:t>：利用已判决的历史比特消除后续码元的干扰，对付码间串扰非常有效。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时钟数据恢复</w:t>
      </w:r>
      <w:r>
        <w:rPr>
          <w:rFonts w:ascii="宋体" w:eastAsia="宋体" w:hAnsi="宋体" w:cs="宋体" w:hint="eastAsia"/>
          <w:lang w:eastAsia="zh-CN"/>
        </w:rPr>
        <w:t>：通过锁相环跟踪数据跳变，产生最佳采样相位；其带宽决定了对抖动的跟踪与抑制能力。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自适应</w:t>
      </w:r>
      <w:r>
        <w:rPr>
          <w:rFonts w:ascii="宋体" w:eastAsia="宋体" w:hAnsi="宋体" w:cs="宋体" w:hint="eastAsia"/>
          <w:lang w:eastAsia="zh-CN"/>
        </w:rPr>
        <w:t>：许多器件支持上电自动训练寻找最优系数，但初始值与环境变化仍需工程校核。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（三）参考时钟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参考时钟是整条链路的时间基准，其质量直接影响抖动预算。设计上应遵循以下原则。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lang w:eastAsia="zh-CN"/>
        </w:rPr>
        <w:t>优先选用专用时钟发生器，而不是从逻辑分频得到的时钟。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lang w:eastAsia="zh-CN"/>
        </w:rPr>
        <w:t>严格按照芯片手册的相噪要求选型，重点关注积分相位抖动指标。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lang w:eastAsia="zh-CN"/>
        </w:rPr>
        <w:t>时钟走线按差分规则处理，远离干扰源，必要时做屏蔽。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lang w:eastAsia="zh-CN"/>
        </w:rPr>
        <w:t>确认所用收发器是否支持扩频时钟；绝大多数高速链路不支持。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lang w:eastAsia="zh-CN"/>
        </w:rPr>
        <w:t>与并行侧时钟若必须同源，需核算倍频引入的额外抖动。</w:t>
      </w:r>
    </w:p>
    <w:p>
      <w:bookmarkStart w:id="12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四、关键指标与信道预算</w:t>
      </w:r>
      <w:bookmarkEnd w:id="12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这一节回答一个核心问题：这条链路能不能跑起来，余量还有多少。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（一）抖动指标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术语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工程含义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总体抖动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在给定误码率下的总时间不确定性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直接决定眼图水平张开度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随机抖动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无界的高斯型抖动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由噪声源决定，难以完全消除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确定性抖动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有界的可归因抖动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包含码间干扰、占空比失真等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单位间隔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一个比特的时间宽度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速率越高，单位间隔越小，余量越紧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一个直观的认识：当线速率成倍提高时，单位间隔成倍缩小，同样的抖动绝对值所占的比例翻倍。这就是高速率下</w:t>
      </w:r>
      <w:r>
        <w:t>"</w:t>
      </w:r>
      <w:r>
        <w:rPr>
          <w:rFonts w:ascii="宋体" w:eastAsia="宋体" w:hAnsi="宋体" w:cs="宋体" w:hint="eastAsia"/>
          <w:lang w:eastAsia="zh-CN"/>
        </w:rPr>
        <w:t>任何一点噪声都变得致命</w:t>
      </w:r>
      <w:r>
        <w:t>"</w:t>
      </w:r>
      <w:r>
        <w:rPr>
          <w:rFonts w:ascii="宋体" w:eastAsia="宋体" w:hAnsi="宋体" w:cs="宋体" w:hint="eastAsia"/>
          <w:lang w:eastAsia="zh-CN"/>
        </w:rPr>
        <w:t>的原因。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（二）信道损耗预算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信道预算的基本方法是：</w:t>
      </w:r>
      <w:r>
        <w:rPr>
          <w:rFonts w:ascii="宋体" w:eastAsia="宋体" w:hAnsi="宋体" w:cs="宋体" w:hint="eastAsia"/>
          <w:b/>
          <w:lang w:eastAsia="zh-CN"/>
        </w:rPr>
        <w:t>把从发送端到接收端的所有损耗累加，与收发器的驱动能力和均衡能力比较，并留出余量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列出通道包含的所有段落：芯片封装、板上走线、过孔、连接器、背板走线、线缆。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取得各段在目标频率点的损耗值，通常由板材参数、仿真或实测得到。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与收发器给出的驱动加均衡能力对比，要求最坏情况下仍有足够余量。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余量不足时的措施：降低速率、改用低损耗板材、缩短走线、减少连接器、增强均衡。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板材的选择在这一步起决定作用。普通板材在高速率长走线场景下损耗极大，往往需要升级到低损耗等级；而换板材的成本远低于改版重启。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（三）誤碼率目标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高速链路通常以极低的误码率为验收标准，常见目标在十的负十二次方量级或更低。由于实际测试时间有限，通常采用统计外推的方式：在可接受时间内测到较低统计量，再按统计模型外推到目标误码率。设计时应保留足够的接收余量，使外推结果可信。</w:t>
      </w:r>
    </w:p>
    <w:p>
      <w:bookmarkStart w:id="13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五、通道建立与调试流程</w:t>
      </w:r>
      <w:bookmarkEnd w:id="13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规范的调试顺序能大幅缩短定位时间，避免把时间浪费在无谓猜测上。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（一）上电初始化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步骤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判据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电源稳定并完成复位释放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各路电源与复位时序符合要求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参考时钟到位，锁相环锁定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锁定指示有效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3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收发器完成内部校准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校准完成状态有效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4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发送侧开始输出，接收侧完成时钟数据恢复锁定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接收锁定指示有效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5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链路层或协议层完成后续握手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上层链路就绪</w:t>
            </w:r>
          </w:p>
        </w:tc>
      </w:tr>
    </w:tbl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（二）定位方法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先看时钟</w:t>
      </w:r>
      <w:r>
        <w:rPr>
          <w:rFonts w:ascii="宋体" w:eastAsia="宋体" w:hAnsi="宋体" w:cs="宋体" w:hint="eastAsia"/>
          <w:lang w:eastAsia="zh-CN"/>
        </w:rPr>
        <w:t>：参考时钟缺失或频率错是最常见的原因。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再查电源</w:t>
      </w:r>
      <w:r>
        <w:rPr>
          <w:rFonts w:ascii="宋体" w:eastAsia="宋体" w:hAnsi="宋体" w:cs="宋体" w:hint="eastAsia"/>
          <w:lang w:eastAsia="zh-CN"/>
        </w:rPr>
        <w:t>：收发电路的电源纹波超标会导致眼图整体劣化。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用内置环回分层验证</w:t>
      </w:r>
      <w:r>
        <w:rPr>
          <w:rFonts w:ascii="宋体" w:eastAsia="宋体" w:hAnsi="宋体" w:cs="宋体" w:hint="eastAsia"/>
          <w:lang w:eastAsia="zh-CN"/>
        </w:rPr>
        <w:t>：先做近端环回排除芯片，再做远端环回包含通道。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用伪随机序列压测</w:t>
      </w:r>
      <w:r>
        <w:rPr>
          <w:rFonts w:ascii="宋体" w:eastAsia="宋体" w:hAnsi="宋体" w:cs="宋体" w:hint="eastAsia"/>
          <w:lang w:eastAsia="zh-CN"/>
        </w:rPr>
        <w:t>：跑最恶劣码型，统计错误计数。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扫描均衡参数</w:t>
      </w:r>
      <w:r>
        <w:rPr>
          <w:rFonts w:ascii="宋体" w:eastAsia="宋体" w:hAnsi="宋体" w:cs="宋体" w:hint="eastAsia"/>
          <w:lang w:eastAsia="zh-CN"/>
        </w:rPr>
        <w:t>：找到最佳系数后再回到正常业务验证。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必要时实测眼图</w:t>
      </w:r>
      <w:r>
        <w:rPr>
          <w:rFonts w:ascii="宋体" w:eastAsia="宋体" w:hAnsi="宋体" w:cs="宋体" w:hint="eastAsia"/>
          <w:lang w:eastAsia="zh-CN"/>
        </w:rPr>
        <w:t>：在接收端观测点与模板比对。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这里有一条重要经验：</w:t>
      </w:r>
      <w:r>
        <w:rPr>
          <w:rFonts w:ascii="宋体" w:eastAsia="宋体" w:hAnsi="宋体" w:cs="宋体" w:hint="eastAsia"/>
          <w:b/>
          <w:lang w:eastAsia="zh-CN"/>
        </w:rPr>
        <w:t>内置环回能通不等于外部链路能通</w:t>
      </w:r>
      <w:r>
        <w:rPr>
          <w:rFonts w:ascii="宋体" w:eastAsia="宋体" w:hAnsi="宋体" w:cs="宋体" w:hint="eastAsia"/>
          <w:lang w:eastAsia="zh-CN"/>
        </w:rPr>
        <w:t>。近端环回绕过了外部通道，只能证明收发器本身正常；只有包含外部走线的远端环回或实际业务验证才具备说服力。</w:t>
      </w:r>
    </w:p>
    <w:p>
      <w:bookmarkStart w:id="14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六、硬件设计要点</w:t>
      </w:r>
      <w:bookmarkEnd w:id="14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以下十二条覆盖了串行通道设计的通用要点。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差分阻抗全程一致</w:t>
      </w:r>
      <w:r>
        <w:rPr>
          <w:rFonts w:ascii="宋体" w:eastAsia="宋体" w:hAnsi="宋体" w:cs="宋体" w:hint="eastAsia"/>
          <w:lang w:eastAsia="zh-CN"/>
        </w:rPr>
        <w:t>：典型一百欧或协议要求的九十欧至一百欧，含焊盘、过孔与连接器。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严禁跨地平面分割</w:t>
      </w:r>
      <w:r>
        <w:rPr>
          <w:rFonts w:ascii="宋体" w:eastAsia="宋体" w:hAnsi="宋体" w:cs="宋体" w:hint="eastAsia"/>
          <w:lang w:eastAsia="zh-CN"/>
        </w:rPr>
        <w:t>：参考平面必须为完整连续的地平面。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换层处增加回流过孔</w:t>
      </w:r>
      <w:r>
        <w:rPr>
          <w:rFonts w:ascii="宋体" w:eastAsia="宋体" w:hAnsi="宋体" w:cs="宋体" w:hint="eastAsia"/>
          <w:lang w:eastAsia="zh-CN"/>
        </w:rPr>
        <w:t>：为回流电流提供就近通路。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过孔残桩要处理</w:t>
      </w:r>
      <w:r>
        <w:rPr>
          <w:rFonts w:ascii="宋体" w:eastAsia="宋体" w:hAnsi="宋体" w:cs="宋体" w:hint="eastAsia"/>
          <w:lang w:eastAsia="zh-CN"/>
        </w:rPr>
        <w:t>：厚板高速场景必须背钻或使用盲埋孔。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走线短且少拐弯</w:t>
      </w:r>
      <w:r>
        <w:rPr>
          <w:rFonts w:ascii="宋体" w:eastAsia="宋体" w:hAnsi="宋体" w:cs="宋体" w:hint="eastAsia"/>
          <w:lang w:eastAsia="zh-CN"/>
        </w:rPr>
        <w:t>：必须拐弯时用平滑圆弧或钝角，避免直角。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对内等长精度严格</w:t>
      </w:r>
      <w:r>
        <w:rPr>
          <w:rFonts w:ascii="宋体" w:eastAsia="宋体" w:hAnsi="宋体" w:cs="宋体" w:hint="eastAsia"/>
          <w:lang w:eastAsia="zh-CN"/>
        </w:rPr>
        <w:t>：差分对的两根线长度差应控制在很小的范围内。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对间偏差适度即可</w:t>
      </w:r>
      <w:r>
        <w:rPr>
          <w:rFonts w:ascii="宋体" w:eastAsia="宋体" w:hAnsi="宋体" w:cs="宋体" w:hint="eastAsia"/>
          <w:lang w:eastAsia="zh-CN"/>
        </w:rPr>
        <w:t>：不同通道间的偏差由链路层去偏移吸收，不必过度追求。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串扰控制</w:t>
      </w:r>
      <w:r>
        <w:rPr>
          <w:rFonts w:ascii="宋体" w:eastAsia="宋体" w:hAnsi="宋体" w:cs="宋体" w:hint="eastAsia"/>
          <w:lang w:eastAsia="zh-CN"/>
        </w:rPr>
        <w:t>：相邻通道之间保持足够间距，必要时做隔离地过孔。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交流耦合电容就近发送端</w:t>
      </w:r>
      <w:r>
        <w:rPr>
          <w:rFonts w:ascii="宋体" w:eastAsia="宋体" w:hAnsi="宋体" w:cs="宋体" w:hint="eastAsia"/>
          <w:lang w:eastAsia="zh-CN"/>
        </w:rPr>
        <w:t>：容值与封装按器件手册选取。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参考平面不要开槽</w:t>
      </w:r>
      <w:r>
        <w:rPr>
          <w:rFonts w:ascii="宋体" w:eastAsia="宋体" w:hAnsi="宋体" w:cs="宋体" w:hint="eastAsia"/>
          <w:lang w:eastAsia="zh-CN"/>
        </w:rPr>
        <w:t>：避免在差分对下方布置无关的开槽与分割。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收发电路电源单独滤波</w:t>
      </w:r>
      <w:r>
        <w:rPr>
          <w:rFonts w:ascii="宋体" w:eastAsia="宋体" w:hAnsi="宋体" w:cs="宋体" w:hint="eastAsia"/>
          <w:lang w:eastAsia="zh-CN"/>
        </w:rPr>
        <w:t>：为其提供干净的电源，必要时使用独立电源层或屏蔽。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保留测试点与环回结构</w:t>
      </w:r>
      <w:r>
        <w:rPr>
          <w:rFonts w:ascii="宋体" w:eastAsia="宋体" w:hAnsi="宋体" w:cs="宋体" w:hint="eastAsia"/>
          <w:lang w:eastAsia="zh-CN"/>
        </w:rPr>
        <w:t>：便于后期的眼图观测。</w:t>
      </w:r>
    </w:p>
    <w:p>
      <w:bookmarkStart w:id="15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七、典型应用场景</w:t>
      </w:r>
      <w:bookmarkEnd w:id="15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几乎所有现代高速接口都建立在串行收发通道之上。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速率量级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关注点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处理器扩展互连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每秒数吉比特到数十吉比特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参考时钟架构、通道数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交换与路由设备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中高速，端口密度高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功耗、端口密度与散热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存储接口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中高速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线缆与连接器、兼容性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通用外部总线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跨多个速率等级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向下兼容、插拔可靠性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背板互连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中高速，长通道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损耗预算、连接器、背钻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数据转换器互连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中高速，持续码流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时钟抖动、确定性时延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光模块电接口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参考平面、模块接口规范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八、可靠性与测试验证</w:t>
      </w:r>
      <w:bookmarkEnd w:id="16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排障顺序建议为：</w:t>
      </w:r>
      <w:r>
        <w:rPr>
          <w:rFonts w:ascii="宋体" w:eastAsia="宋体" w:hAnsi="宋体" w:cs="宋体" w:hint="eastAsia"/>
          <w:b/>
          <w:lang w:eastAsia="zh-CN"/>
        </w:rPr>
        <w:t>电源与复位—参考时钟—收发器状态—环回与误码—均衡与眼图—协议层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可能原因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排查方法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锁相环不锁定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参考时钟缺失、频率或电平不符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量参考时钟频率与幅度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接收始终不能锁定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线速率不一致、极性反了、损耗过大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核对配置、尝试极性反转、测通道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能锁定但误码高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通道损耗超预算、均衡不足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扫描均衡、测散射参数与眼图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个别通道不通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该通道走线、电容或连接缺陷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定位单通道做通断与眼图检查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低温正常高温失效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余量不足、随温漂移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温度循环下压测误码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长时间运行后出错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电源漂移、散热不良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监测温度与电源，做老化测试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测试项建议覆盖九个方面：参考时钟的抖动与相噪、通道散射参数与插入损耗、接收端眼图与模板余量、长时间误码率统计、多种伪随机码型压测、均衡系数扫描结果、环回测试（近端与远端）、电源纹波与完整性、高低温与老化。</w:t>
      </w:r>
    </w:p>
    <w:p>
      <w:bookmarkStart w:id="17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九、设计检查清单</w:t>
      </w:r>
      <w:bookmarkEnd w:id="17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建议在节点评审时落实以下十八条。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已明确链路的最高速率、通道数量与覆盖范围。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参考时钟的频率、精度与相噪满足收发器要求。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收发电路的电源已单独滤波，纹波满足要求。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已将一百欧或相应标准贯穿到板材、叠层与阻抗控制要求中。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差分对未跨地平面分割，换层处已加回流过孔。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厚板的过孔残桩已通过背钻或盲埋孔处理。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对内等长精度已控制，走线尽量短且少拐弯。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通道间距满足串扰要求，必要时做了隔离处理。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已完成信道损耗预算，最坏链路留有余量。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板材等级与叠层结构已与板厂确认。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交流耦合电容的位置、容值与封装正确。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已预留发送与接收侧的均衡参数调整能力。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已启用或可实现伪随机序列发生与错误统计。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环回路径可用，便于分层定位。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复位与初始化时序符合器件要求。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连接器与接口的差分极性、通道映射已核对。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已完成常温与极限温度下的误码测试。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已保留实测眼图与散射参数作为量产比对基线。</w:t>
      </w:r>
    </w:p>
    <w:p>
      <w:pPr>
        <w:spacing w:after="0"/>
        <w:jc w:val="both"/>
      </w:pPr>
      <w:r>
        <w:rPr>
          <w:rFonts w:ascii="宋体" w:eastAsia="宋体" w:hAnsi="宋体" w:cs="宋体" w:hint="eastAsia"/>
          <w:lang w:eastAsia="zh-CN"/>
        </w:rPr>
        <w:t>注：本文为高速串行收发通道的通用设计说明。不同器件与不同协议的电气参数、寄存器定义与训练流程差异较大，实际项目需以所用芯片的数据手册与对应协议规范为准。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92"/>
      <w:jc w:val="both"/>
    </w:pPr>
    <w:rPr>
      <w:rFonts w:ascii="宋体" w:hAnsi="宋体" w:eastAsia="宋体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6" w:after="192" w:line="265" w:lineRule="auto"/>
      <w:outlineLvl w:val="0"/>
    </w:pPr>
    <w:rPr>
      <w:rFonts w:ascii="黑体" w:hAnsi="黑体" w:eastAsia="黑体"/>
      <w:b/>
      <w:bCs/>
      <w:color w:val="1F386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36" w:after="192" w:line="265" w:lineRule="auto"/>
      <w:outlineLvl w:val="1"/>
    </w:pPr>
    <w:rPr>
      <w:rFonts w:ascii="黑体" w:hAnsi="黑体" w:eastAsia="黑体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6" w:after="192" w:line="265" w:lineRule="auto"/>
      <w:outlineLvl w:val="2"/>
    </w:pPr>
    <w:rPr>
      <w:rFonts w:ascii="黑体" w:hAnsi="黑体" w:eastAsia="黑体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36" w:after="192" w:line="265" w:lineRule="auto"/>
      <w:outlineLvl w:val="3"/>
    </w:pPr>
    <w:rPr>
      <w:rFonts w:ascii="黑体" w:hAnsi="黑体" w:eastAsia="黑体"/>
      <w:b/>
      <w:bCs/>
      <w:i/>
      <w:iCs/>
      <w:color w:val="1F386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