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0FF6C872">
      <w:pPr>
        <w:spacing w:after="78"/>
        <w:jc w:val="center"/>
      </w:pPr>
      <w:r>
        <w:rPr>
          <w:rFonts w:hint="eastAsia" w:ascii="宋体" w:hAnsi="宋体" w:eastAsia="宋体" w:cs="宋体"/>
          <w:color w:val="1F3864"/>
          <w:sz w:val="26"/>
          <w:lang w:eastAsia="zh-CN"/>
        </w:rPr>
        <w:t>硬件接口协议系列</w:t>
      </w:r>
    </w:p>
    <w:p w14:paraId="553DBC6B">
      <w:pPr>
        <w:spacing w:after="416"/>
        <w:jc w:val="center"/>
      </w:pPr>
      <w:r>
        <w:rPr>
          <w:rFonts w:hint="eastAsia" w:ascii="宋体" w:hAnsi="宋体" w:eastAsia="宋体" w:cs="宋体"/>
          <w:b w:val="1"/>
          <w:color w:val="1F3864"/>
          <w:sz w:val="52"/>
          <w:lang w:eastAsia="zh-CN"/>
        </w:rPr>
        <w:t>硬件接口协议之</w:t>
      </w:r>
      <w:r>
        <w:rPr>
          <w:rFonts w:ascii="黑体" w:hAnsi="黑体"/>
          <w:b w:val="1"/>
          <w:color w:val="1F3864"/>
          <w:sz w:val="52"/>
        </w:rPr>
        <w:t xml:space="preserve"> I2C </w:t>
      </w:r>
      <w:r>
        <w:rPr>
          <w:rFonts w:hint="eastAsia" w:ascii="宋体" w:hAnsi="宋体" w:eastAsia="宋体" w:cs="宋体"/>
          <w:b w:val="1"/>
          <w:color w:val="1F3864"/>
          <w:sz w:val="52"/>
          <w:lang w:eastAsia="zh-CN"/>
        </w:rPr>
        <w:t>接口</w:t>
      </w:r>
    </w:p>
    <w:p w14:paraId="6C5925BD">
      <w:pPr>
        <w:spacing w:after="1200"/>
        <w:jc w:val="center"/>
      </w:pPr>
      <w:r>
        <w:rPr>
          <w:rFonts w:hint="eastAsia" w:ascii="宋体" w:hAnsi="宋体" w:eastAsia="宋体" w:cs="宋体"/>
          <w:color w:val="666666"/>
          <w:sz w:val="30"/>
          <w:lang w:eastAsia="zh-CN"/>
        </w:rPr>
        <w:t>设计说明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532D5FF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项目</w:t>
            </w:r>
          </w:p>
        </w:tc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E1249B9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内容</w:t>
            </w:r>
          </w:p>
        </w:tc>
      </w:tr>
      <w:tr>
        <w:trPr/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193DA44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文档名称</w:t>
            </w:r>
          </w:p>
        </w:tc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A65ABFF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硬件接口协议之  I2C  接口设计说明</w:t>
            </w:r>
          </w:p>
        </w:tc>
      </w:tr>
      <w:tr>
        <w:trPr/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DFCA810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适用范围</w:t>
            </w:r>
          </w:p>
        </w:tc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F493DFF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板内主控制器与外围器件间的  I2C  互连设计</w:t>
            </w:r>
          </w:p>
        </w:tc>
      </w:tr>
      <w:tr>
        <w:trPr/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2B9E462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文档版本</w:t>
            </w:r>
          </w:p>
        </w:tc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80078B5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V1.0</w:t>
            </w:r>
          </w:p>
        </w:tc>
      </w:tr>
      <w:tr>
        <w:trPr/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B801F36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文档状态</w:t>
            </w:r>
          </w:p>
        </w:tc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15B2E43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设计参考</w:t>
            </w:r>
          </w:p>
        </w:tc>
      </w:tr>
      <w:tr>
        <w:trPr/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4CB57FE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编制日期</w:t>
            </w:r>
          </w:p>
        </w:tc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F6C8724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2026-10-07</w:t>
            </w:r>
          </w:p>
        </w:tc>
      </w:tr>
    </w:tbl>
    <w:p w14:paraId="784926E6"/>
    <w:p w14:paraId="1615CEE4">
      <w:pPr>
        <w:sectPr>
          <w:type w:val="nextPage"/>
          <w:pgSz w:w="11906" w:h="16838"/>
          <w:pgMar w:top="1440" w:right="1797" w:bottom="1440" w:left="1797"/>
        </w:sectPr>
      </w:pPr>
    </w:p>
    <w:p w14:paraId="70ADB528">
      <w:pPr>
        <w:spacing w:after="130"/>
      </w:pPr>
      <w:r>
        <w:rPr>
          <w:rFonts w:hint="eastAsia" w:ascii="黑体" w:hAnsi="黑体" w:eastAsia="黑体"/>
          <w:b w:val="1"/>
          <w:color w:val="1F3864"/>
          <w:sz w:val="26"/>
        </w:rPr>
        <w:t>目录</w:t>
      </w:r>
    </w:p>
    <w:p w14:paraId="220013DD">
      <w:r>
        <w:fldChar w:fldCharType="begin" w:fldLock="0" w:dirty="0"/>
      </w:r>
      <w:r>
        <w:instrText>HYPERLINK \l "_Toc_section_1"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一、文档目的与适用范围</w:t>
      </w:r>
      <w:r>
        <w:fldChar w:fldCharType="end" w:fldLock="0" w:dirty="0"/>
      </w:r>
    </w:p>
    <w:p w14:paraId="3C7D803F">
      <w:r>
        <w:fldChar w:fldCharType="begin" w:fldLock="0" w:dirty="0"/>
      </w:r>
      <w:r>
        <w:instrText>HYPERLINK \l "_Toc_section_2"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二、接口概述</w:t>
      </w:r>
      <w:r>
        <w:fldChar w:fldCharType="end" w:fldLock="0" w:dirty="0"/>
      </w:r>
    </w:p>
    <w:p w14:paraId="753E342C">
      <w:r>
        <w:fldChar w:fldCharType="begin" w:fldLock="0" w:dirty="0"/>
      </w:r>
      <w:r>
        <w:instrText>HYPERLINK \l "_Toc_section_3"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三、物理层设计</w:t>
      </w:r>
      <w:r>
        <w:fldChar w:fldCharType="end" w:fldLock="0" w:dirty="0"/>
      </w:r>
    </w:p>
    <w:p w14:paraId="2E8068E1">
      <w:r>
        <w:fldChar w:fldCharType="begin" w:fldLock="0" w:dirty="0"/>
      </w:r>
      <w:r>
        <w:instrText>HYPERLINK \l "_Toc_section_4"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四、协议层设计</w:t>
      </w:r>
      <w:r>
        <w:fldChar w:fldCharType="end" w:fldLock="0" w:dirty="0"/>
      </w:r>
    </w:p>
    <w:p w14:paraId="05F94061">
      <w:r>
        <w:fldChar w:fldCharType="begin" w:fldLock="0" w:dirty="0"/>
      </w:r>
      <w:r>
        <w:instrText>HYPERLINK \l "_Toc_section_5"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五、读写操作时序</w:t>
      </w:r>
      <w:r>
        <w:fldChar w:fldCharType="end" w:fldLock="0" w:dirty="0"/>
      </w:r>
    </w:p>
    <w:p w14:paraId="5CF29FE2">
      <w:r>
        <w:fldChar w:fldCharType="begin" w:fldLock="0" w:dirty="0"/>
      </w:r>
      <w:r>
        <w:instrText>HYPERLINK \l "_Toc_section_6"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六、硬件设计要点</w:t>
      </w:r>
      <w:r>
        <w:fldChar w:fldCharType="end" w:fldLock="0" w:dirty="0"/>
      </w:r>
    </w:p>
    <w:p w14:paraId="33E4F06C">
      <w:r>
        <w:fldChar w:fldCharType="begin" w:fldLock="0" w:dirty="0"/>
      </w:r>
      <w:r>
        <w:instrText>HYPERLINK \l "_Toc_section_7"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七、典型应用场景</w:t>
      </w:r>
      <w:r>
        <w:fldChar w:fldCharType="end" w:fldLock="0" w:dirty="0"/>
      </w:r>
    </w:p>
    <w:p w14:paraId="4712F2A2">
      <w:r>
        <w:fldChar w:fldCharType="begin" w:fldLock="0" w:dirty="0"/>
      </w:r>
      <w:r>
        <w:instrText>HYPERLINK \l "_Toc_section_8"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八、可靠性与测试验证</w:t>
      </w:r>
      <w:r>
        <w:fldChar w:fldCharType="end" w:fldLock="0" w:dirty="0"/>
      </w:r>
    </w:p>
    <w:p w14:paraId="1C5CAE24">
      <w:r>
        <w:fldChar w:fldCharType="begin" w:fldLock="0" w:dirty="0"/>
      </w:r>
      <w:r>
        <w:instrText>HYPERLINK \l "_Toc_section_9"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九、设计检查清单</w:t>
      </w:r>
      <w:r>
        <w:fldChar w:fldCharType="end" w:fldLock="0" w:dirty="0"/>
      </w:r>
    </w:p>
    <w:p w14:paraId="06FDE051">
      <w:pPr>
        <w:pStyle w:val="00000a"/>
        <w:spacing w:line="312" w:lineRule="auto"/>
      </w:pPr>
      <w:bookmarkStart w:id="1" w:name="section-1"/>
      <w:bookmarkEnd w:id="1"/>
      <w:bookmarkStart w:id="2" w:name="_Toc_section_1"/>
      <w:r>
        <w:rPr>
          <w:rFonts w:hint="eastAsia" w:ascii="宋体" w:hAnsi="宋体" w:eastAsia="宋体" w:cs="宋体"/>
          <w:b w:val="1"/>
          <w:color w:val="1F3864"/>
          <w:sz w:val="30"/>
          <w:lang w:eastAsia="zh-CN"/>
        </w:rPr>
        <w:t>一、文档目的与适用范围</w:t>
      </w:r>
      <w:bookmarkEnd w:id="2"/>
    </w:p>
    <w:p w14:paraId="3E72172B">
      <w:pPr>
        <w:jc w:val="both"/>
      </w:pPr>
      <w:r>
        <w:rPr>
          <w:rFonts w:hint="eastAsia" w:ascii="宋体" w:hAnsi="宋体" w:eastAsia="宋体" w:cs="宋体"/>
          <w:lang w:eastAsia="zh-CN"/>
        </w:rPr>
        <w:t>本文档规定硬件产品中</w:t>
      </w:r>
      <w:r>
        <w:t xml:space="preserve"> I2C</w:t>
      </w:r>
      <w:r>
        <w:rPr>
          <w:rFonts w:hint="eastAsia" w:ascii="宋体" w:hAnsi="宋体" w:eastAsia="宋体" w:cs="宋体"/>
          <w:lang w:eastAsia="zh-CN"/>
        </w:rPr>
        <w:t>（</w:t>
      </w:r>
      <w:r>
        <w:t>Inter-Integrated Circuit</w:t>
      </w:r>
      <w:r>
        <w:rPr>
          <w:rFonts w:hint="eastAsia" w:ascii="宋体" w:hAnsi="宋体" w:eastAsia="宋体" w:cs="宋体"/>
          <w:lang w:eastAsia="zh-CN"/>
        </w:rPr>
        <w:t>）接口的电气设计、总线拓扑、上拉与负载计算、</w:t>
      </w:r>
      <w:r>
        <w:t xml:space="preserve">PCB </w:t>
      </w:r>
      <w:r>
        <w:rPr>
          <w:rFonts w:hint="eastAsia" w:ascii="宋体" w:hAnsi="宋体" w:eastAsia="宋体" w:cs="宋体"/>
          <w:lang w:eastAsia="zh-CN"/>
        </w:rPr>
        <w:t>布局、可靠性设计及测试验证要求，作为原理图设计、</w:t>
      </w:r>
      <w:r>
        <w:t xml:space="preserve">PCB </w:t>
      </w:r>
      <w:r>
        <w:rPr>
          <w:rFonts w:hint="eastAsia" w:ascii="宋体" w:hAnsi="宋体" w:eastAsia="宋体" w:cs="宋体"/>
          <w:lang w:eastAsia="zh-CN"/>
        </w:rPr>
        <w:t>设计、器件选型与整机联调的通用依据。</w:t>
      </w:r>
    </w:p>
    <w:p w14:paraId="32C974ED">
      <w:pPr>
        <w:jc w:val="both"/>
      </w:pPr>
      <w:r>
        <w:rPr>
          <w:rFonts w:hint="eastAsia" w:ascii="宋体" w:hAnsi="宋体" w:eastAsia="宋体" w:cs="宋体"/>
          <w:lang w:eastAsia="zh-CN"/>
        </w:rPr>
        <w:t>适用范围：单板内主控制器与外围器件（传感器、</w:t>
      </w:r>
      <w:r>
        <w:t>EEPROM</w:t>
      </w:r>
      <w:r>
        <w:rPr>
          <w:rFonts w:hint="eastAsia" w:ascii="宋体" w:hAnsi="宋体" w:eastAsia="宋体" w:cs="宋体"/>
          <w:lang w:eastAsia="zh-CN"/>
        </w:rPr>
        <w:t>、</w:t>
      </w:r>
      <w:r>
        <w:t>PMIC</w:t>
      </w:r>
      <w:r>
        <w:rPr>
          <w:rFonts w:hint="eastAsia" w:ascii="宋体" w:hAnsi="宋体" w:eastAsia="宋体" w:cs="宋体"/>
          <w:lang w:eastAsia="zh-CN"/>
        </w:rPr>
        <w:t>、</w:t>
      </w:r>
      <w:r>
        <w:t>RTC</w:t>
      </w:r>
      <w:r>
        <w:rPr>
          <w:rFonts w:hint="eastAsia" w:ascii="宋体" w:hAnsi="宋体" w:eastAsia="宋体" w:cs="宋体"/>
          <w:lang w:eastAsia="zh-CN"/>
        </w:rPr>
        <w:t>、</w:t>
      </w:r>
      <w:r>
        <w:t xml:space="preserve">IO </w:t>
      </w:r>
      <w:r>
        <w:rPr>
          <w:rFonts w:hint="eastAsia" w:ascii="宋体" w:hAnsi="宋体" w:eastAsia="宋体" w:cs="宋体"/>
          <w:lang w:eastAsia="zh-CN"/>
        </w:rPr>
        <w:t>扩展、</w:t>
      </w:r>
      <w:r>
        <w:t xml:space="preserve">codec </w:t>
      </w:r>
      <w:r>
        <w:rPr>
          <w:rFonts w:hint="eastAsia" w:ascii="宋体" w:hAnsi="宋体" w:eastAsia="宋体" w:cs="宋体"/>
          <w:lang w:eastAsia="zh-CN"/>
        </w:rPr>
        <w:t>等）之间的</w:t>
      </w:r>
      <w:r>
        <w:t xml:space="preserve"> I2C </w:t>
      </w:r>
      <w:r>
        <w:rPr>
          <w:rFonts w:hint="eastAsia" w:ascii="宋体" w:hAnsi="宋体" w:eastAsia="宋体" w:cs="宋体"/>
          <w:lang w:eastAsia="zh-CN"/>
        </w:rPr>
        <w:t>互连设计。跨板长距离传输不在本文档范围内，应改用差分总线或中继缓冲方案。</w:t>
      </w:r>
    </w:p>
    <w:p w14:paraId="07491D78">
      <w:pPr>
        <w:pStyle w:val="00000a"/>
        <w:spacing w:line="312" w:lineRule="auto"/>
      </w:pPr>
      <w:bookmarkStart w:id="3" w:name="section-2"/>
      <w:bookmarkEnd w:id="3"/>
      <w:bookmarkStart w:id="4" w:name="_Toc_section_2"/>
      <w:r>
        <w:rPr>
          <w:rFonts w:hint="eastAsia" w:ascii="宋体" w:hAnsi="宋体" w:eastAsia="宋体" w:cs="宋体"/>
          <w:b w:val="1"/>
          <w:color w:val="1F3864"/>
          <w:sz w:val="30"/>
          <w:lang w:eastAsia="zh-CN"/>
        </w:rPr>
        <w:t>二、接口概述</w:t>
      </w:r>
      <w:bookmarkEnd w:id="4"/>
    </w:p>
    <w:p w14:paraId="7A49EFF8">
      <w:pPr>
        <w:jc w:val="both"/>
      </w:pPr>
      <w:r>
        <w:t xml:space="preserve">I2C </w:t>
      </w:r>
      <w:r>
        <w:rPr>
          <w:rFonts w:hint="eastAsia" w:ascii="宋体" w:hAnsi="宋体" w:eastAsia="宋体" w:cs="宋体"/>
          <w:lang w:eastAsia="zh-CN"/>
        </w:rPr>
        <w:t>是由</w:t>
      </w:r>
      <w:r>
        <w:t xml:space="preserve"> Philips</w:t>
      </w:r>
      <w:r>
        <w:rPr>
          <w:rFonts w:hint="eastAsia" w:ascii="宋体" w:hAnsi="宋体" w:eastAsia="宋体" w:cs="宋体"/>
          <w:lang w:eastAsia="zh-CN"/>
        </w:rPr>
        <w:t>（现</w:t>
      </w:r>
      <w:r>
        <w:t xml:space="preserve"> NXP</w:t>
      </w:r>
      <w:r>
        <w:rPr>
          <w:rFonts w:hint="eastAsia" w:ascii="宋体" w:hAnsi="宋体" w:eastAsia="宋体" w:cs="宋体"/>
          <w:lang w:eastAsia="zh-CN"/>
        </w:rPr>
        <w:t>）定义的双线制同步串行总线，核心特征如下：</w:t>
      </w:r>
    </w:p>
    <w:p w14:paraId="07DCDE26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两线制</w:t>
      </w:r>
      <w:r>
        <w:rPr>
          <w:rFonts w:hint="eastAsia" w:ascii="宋体" w:hAnsi="宋体" w:eastAsia="宋体" w:cs="宋体"/>
          <w:lang w:eastAsia="zh-CN"/>
        </w:rPr>
        <w:t>：串行数据线</w:t>
      </w:r>
      <w:r>
        <w:t xml:space="preserve"> SDA</w:t>
      </w:r>
      <w:r>
        <w:rPr>
          <w:rFonts w:hint="eastAsia" w:ascii="宋体" w:hAnsi="宋体" w:eastAsia="宋体" w:cs="宋体"/>
          <w:lang w:eastAsia="zh-CN"/>
        </w:rPr>
        <w:t>、串行时钟线</w:t>
      </w:r>
      <w:r>
        <w:t xml:space="preserve"> SCL</w:t>
      </w:r>
      <w:r>
        <w:rPr>
          <w:rFonts w:hint="eastAsia" w:ascii="宋体" w:hAnsi="宋体" w:eastAsia="宋体" w:cs="宋体"/>
          <w:lang w:eastAsia="zh-CN"/>
        </w:rPr>
        <w:t>，均为双向。</w:t>
      </w:r>
    </w:p>
    <w:p w14:paraId="12AF8B15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半双工同步</w:t>
      </w:r>
      <w:r>
        <w:rPr>
          <w:rFonts w:hint="eastAsia" w:ascii="宋体" w:hAnsi="宋体" w:eastAsia="宋体" w:cs="宋体"/>
          <w:lang w:eastAsia="zh-CN"/>
        </w:rPr>
        <w:t>：同一时刻只有一个方向的数据流，时钟由主机提供。</w:t>
      </w:r>
    </w:p>
    <w:p w14:paraId="47B6F79A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开漏输出</w:t>
      </w:r>
      <w:r>
        <w:rPr>
          <w:rFonts w:hint="eastAsia" w:ascii="宋体" w:hAnsi="宋体" w:eastAsia="宋体" w:cs="宋体"/>
          <w:lang w:eastAsia="zh-CN"/>
        </w:rPr>
        <w:t>：所有器件的</w:t>
      </w:r>
      <w:r>
        <w:t xml:space="preserve"> SDA/SCL </w:t>
      </w:r>
      <w:r>
        <w:rPr>
          <w:rFonts w:hint="eastAsia" w:ascii="宋体" w:hAnsi="宋体" w:eastAsia="宋体" w:cs="宋体"/>
          <w:lang w:eastAsia="zh-CN"/>
        </w:rPr>
        <w:t>引脚必须为开漏（</w:t>
      </w:r>
      <w:r>
        <w:t>Open-Drain</w:t>
      </w:r>
      <w:r>
        <w:rPr>
          <w:rFonts w:hint="eastAsia" w:ascii="宋体" w:hAnsi="宋体" w:eastAsia="宋体" w:cs="宋体"/>
          <w:lang w:eastAsia="zh-CN"/>
        </w:rPr>
        <w:t>）或开集（</w:t>
      </w:r>
      <w:r>
        <w:t>Open-Collector</w:t>
      </w:r>
      <w:r>
        <w:rPr>
          <w:rFonts w:hint="eastAsia" w:ascii="宋体" w:hAnsi="宋体" w:eastAsia="宋体" w:cs="宋体"/>
          <w:lang w:eastAsia="zh-CN"/>
        </w:rPr>
        <w:t>）输出，配合外部上拉电阻实现</w:t>
      </w:r>
      <w:r>
        <w:t>"</w:t>
      </w:r>
      <w:r>
        <w:rPr>
          <w:rFonts w:hint="eastAsia" w:ascii="宋体" w:hAnsi="宋体" w:eastAsia="宋体" w:cs="宋体"/>
          <w:lang w:eastAsia="zh-CN"/>
        </w:rPr>
        <w:t>线与</w:t>
      </w:r>
      <w:r>
        <w:t>"</w:t>
      </w:r>
      <w:r>
        <w:rPr>
          <w:rFonts w:hint="eastAsia" w:ascii="宋体" w:hAnsi="宋体" w:eastAsia="宋体" w:cs="宋体"/>
          <w:lang w:eastAsia="zh-CN"/>
        </w:rPr>
        <w:t>逻辑。</w:t>
      </w:r>
    </w:p>
    <w:p w14:paraId="6549B140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多主多从</w:t>
      </w:r>
      <w:r>
        <w:rPr>
          <w:rFonts w:hint="eastAsia" w:ascii="宋体" w:hAnsi="宋体" w:eastAsia="宋体" w:cs="宋体"/>
          <w:lang w:eastAsia="zh-CN"/>
        </w:rPr>
        <w:t>：支持总线仲裁与时钟同步，任一时刻只能有一个主设备占用总线。</w:t>
      </w:r>
    </w:p>
    <w:p w14:paraId="3C6DEAFE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地址寻址</w:t>
      </w:r>
      <w:r>
        <w:rPr>
          <w:rFonts w:hint="eastAsia" w:ascii="宋体" w:hAnsi="宋体" w:eastAsia="宋体" w:cs="宋体"/>
          <w:lang w:eastAsia="zh-CN"/>
        </w:rPr>
        <w:t>：每个从设备有唯一地址，标准模式为</w:t>
      </w:r>
      <w:r>
        <w:t xml:space="preserve"> 7 </w:t>
      </w:r>
      <w:r>
        <w:rPr>
          <w:rFonts w:hint="eastAsia" w:ascii="宋体" w:hAnsi="宋体" w:eastAsia="宋体" w:cs="宋体"/>
          <w:lang w:eastAsia="zh-CN"/>
        </w:rPr>
        <w:t>位地址，扩展支持</w:t>
      </w:r>
      <w:r>
        <w:t xml:space="preserve"> 10 </w:t>
      </w:r>
      <w:r>
        <w:rPr>
          <w:rFonts w:hint="eastAsia" w:ascii="宋体" w:hAnsi="宋体" w:eastAsia="宋体" w:cs="宋体"/>
          <w:lang w:eastAsia="zh-CN"/>
        </w:rPr>
        <w:t>位地址。</w:t>
      </w:r>
    </w:p>
    <w:p w14:paraId="365B5668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速率等级</w:t>
      </w:r>
      <w:r>
        <w:rPr>
          <w:rFonts w:hint="eastAsia" w:ascii="宋体" w:hAnsi="宋体" w:eastAsia="宋体" w:cs="宋体"/>
          <w:lang w:eastAsia="zh-CN"/>
        </w:rPr>
        <w:t>：标准</w:t>
      </w:r>
      <w:r>
        <w:t xml:space="preserve"> 100kbps</w:t>
      </w:r>
      <w:r>
        <w:rPr>
          <w:rFonts w:hint="eastAsia" w:ascii="宋体" w:hAnsi="宋体" w:eastAsia="宋体" w:cs="宋体"/>
          <w:lang w:eastAsia="zh-CN"/>
        </w:rPr>
        <w:t>、快速</w:t>
      </w:r>
      <w:r>
        <w:t xml:space="preserve"> 400kbps</w:t>
      </w:r>
      <w:r>
        <w:rPr>
          <w:rFonts w:hint="eastAsia" w:ascii="宋体" w:hAnsi="宋体" w:eastAsia="宋体" w:cs="宋体"/>
          <w:lang w:eastAsia="zh-CN"/>
        </w:rPr>
        <w:t>、快速增强</w:t>
      </w:r>
      <w:r>
        <w:t xml:space="preserve"> 1Mbps</w:t>
      </w:r>
      <w:r>
        <w:rPr>
          <w:rFonts w:hint="eastAsia" w:ascii="宋体" w:hAnsi="宋体" w:eastAsia="宋体" w:cs="宋体"/>
          <w:lang w:eastAsia="zh-CN"/>
        </w:rPr>
        <w:t>、高速</w:t>
      </w:r>
      <w:r>
        <w:t xml:space="preserve"> 3.4Mbps</w:t>
      </w:r>
      <w:r>
        <w:rPr>
          <w:rFonts w:hint="eastAsia" w:ascii="宋体" w:hAnsi="宋体" w:eastAsia="宋体" w:cs="宋体"/>
          <w:lang w:eastAsia="zh-CN"/>
        </w:rPr>
        <w:t>、超快</w:t>
      </w:r>
      <w:r>
        <w:t xml:space="preserve"> 5Mbps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206FE31E">
      <w:pPr>
        <w:jc w:val="both"/>
      </w:pPr>
      <w:r>
        <w:t xml:space="preserve">I2C </w:t>
      </w:r>
      <w:r>
        <w:rPr>
          <w:rFonts w:hint="eastAsia" w:ascii="宋体" w:hAnsi="宋体" w:eastAsia="宋体" w:cs="宋体"/>
          <w:lang w:eastAsia="zh-CN"/>
        </w:rPr>
        <w:t>的优势在于引脚占用极少、支持多设备挂接；代价是速率较低、通信距离短、总线电容受限。</w:t>
      </w:r>
    </w:p>
    <w:p w14:paraId="16CE9BDA">
      <w:pPr>
        <w:pStyle w:val="00000a"/>
        <w:spacing w:line="312" w:lineRule="auto"/>
      </w:pPr>
      <w:bookmarkStart w:id="5" w:name="section-3"/>
      <w:bookmarkEnd w:id="5"/>
      <w:bookmarkStart w:id="6" w:name="_Toc_section_3"/>
      <w:r>
        <w:rPr>
          <w:rFonts w:hint="eastAsia" w:ascii="宋体" w:hAnsi="宋体" w:eastAsia="宋体" w:cs="宋体"/>
          <w:b w:val="1"/>
          <w:color w:val="1F3864"/>
          <w:sz w:val="30"/>
          <w:lang w:eastAsia="zh-CN"/>
        </w:rPr>
        <w:t>三、物理层设计</w:t>
      </w:r>
      <w:bookmarkEnd w:id="6"/>
    </w:p>
    <w:p w14:paraId="20805FBC">
      <w:pPr>
        <w:jc w:val="both"/>
      </w:pPr>
      <w:r>
        <w:rPr>
          <w:rFonts w:hint="eastAsia" w:ascii="宋体" w:hAnsi="宋体" w:eastAsia="宋体" w:cs="宋体"/>
          <w:lang w:eastAsia="zh-CN"/>
        </w:rPr>
        <w:t>物理层设计直接决定总线的电气可靠性，主要包括总线结构、速率等级选择、上拉电阻与总线电容计算，以及多电压域共存时的电平转换处理。</w:t>
      </w:r>
    </w:p>
    <w:p w14:paraId="6C5C5667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（一）总线结构与引脚</w:t>
      </w:r>
    </w:p>
    <w:p w14:paraId="36651945">
      <w:pPr>
        <w:jc w:val="both"/>
      </w:pPr>
      <w:r>
        <w:rPr>
          <w:rFonts w:hint="eastAsia" w:ascii="宋体" w:hAnsi="宋体" w:eastAsia="宋体" w:cs="宋体"/>
          <w:lang w:eastAsia="zh-CN"/>
        </w:rPr>
        <w:t>总线由</w:t>
      </w:r>
      <w:r>
        <w:t xml:space="preserve"> SDA</w:t>
      </w:r>
      <w:r>
        <w:rPr>
          <w:rFonts w:hint="eastAsia" w:ascii="宋体" w:hAnsi="宋体" w:eastAsia="宋体" w:cs="宋体"/>
          <w:lang w:eastAsia="zh-CN"/>
        </w:rPr>
        <w:t>、</w:t>
      </w:r>
      <w:r>
        <w:t xml:space="preserve">SCL </w:t>
      </w:r>
      <w:r>
        <w:rPr>
          <w:rFonts w:hint="eastAsia" w:ascii="宋体" w:hAnsi="宋体" w:eastAsia="宋体" w:cs="宋体"/>
          <w:lang w:eastAsia="zh-CN"/>
        </w:rPr>
        <w:t>两条信号线加一根共地</w:t>
      </w:r>
      <w:r>
        <w:t xml:space="preserve"> GND </w:t>
      </w:r>
      <w:r>
        <w:rPr>
          <w:rFonts w:hint="eastAsia" w:ascii="宋体" w:hAnsi="宋体" w:eastAsia="宋体" w:cs="宋体"/>
          <w:lang w:eastAsia="zh-CN"/>
        </w:rPr>
        <w:t>构成。所有器件的</w:t>
      </w:r>
      <w:r>
        <w:t xml:space="preserve"> SDA </w:t>
      </w:r>
      <w:r>
        <w:rPr>
          <w:rFonts w:hint="eastAsia" w:ascii="宋体" w:hAnsi="宋体" w:eastAsia="宋体" w:cs="宋体"/>
          <w:lang w:eastAsia="zh-CN"/>
        </w:rPr>
        <w:t>并联到</w:t>
      </w:r>
      <w:r>
        <w:t xml:space="preserve"> SDA </w:t>
      </w:r>
      <w:r>
        <w:rPr>
          <w:rFonts w:hint="eastAsia" w:ascii="宋体" w:hAnsi="宋体" w:eastAsia="宋体" w:cs="宋体"/>
          <w:lang w:eastAsia="zh-CN"/>
        </w:rPr>
        <w:t>总线，</w:t>
      </w:r>
      <w:r>
        <w:t xml:space="preserve">SCL </w:t>
      </w:r>
      <w:r>
        <w:rPr>
          <w:rFonts w:hint="eastAsia" w:ascii="宋体" w:hAnsi="宋体" w:eastAsia="宋体" w:cs="宋体"/>
          <w:lang w:eastAsia="zh-CN"/>
        </w:rPr>
        <w:t>并联到</w:t>
      </w:r>
      <w:r>
        <w:t xml:space="preserve"> SCL </w:t>
      </w:r>
      <w:r>
        <w:rPr>
          <w:rFonts w:hint="eastAsia" w:ascii="宋体" w:hAnsi="宋体" w:eastAsia="宋体" w:cs="宋体"/>
          <w:lang w:eastAsia="zh-CN"/>
        </w:rPr>
        <w:t>总线。开漏结构决定了总线只能被拉低，无法主动拉高，因此必须为每条线配置上拉电阻。</w:t>
      </w:r>
    </w:p>
    <w:p w14:paraId="3D32647F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（二）速率模式与电气参数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5DAF7BD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模式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CFB07FB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速率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B83A7A1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备注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95D0E3D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标准模式  Standard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BC9BD1D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100 kbps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F5695B5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兼容性最好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7AFDCEB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快速模式  Fast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058CA48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400 kbps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97673C0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最常用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27B489D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快速增强  Fast-mode Plus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1B26591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1 Mbps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C4A6D00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要求更强的下拉驱动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8E506B3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高速模式  Hs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AB697A0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3.4 Mbps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11F5E54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需额外的高速主设备代码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EBD3C4A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超快模式  UFm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D7C61AE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5 Mbps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8CB7165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单向、推挽，极少用</w:t>
            </w:r>
          </w:p>
        </w:tc>
      </w:tr>
    </w:tbl>
    <w:p w14:paraId="2072771D">
      <w:pPr>
        <w:jc w:val="both"/>
      </w:pPr>
      <w:r>
        <w:rPr>
          <w:rFonts w:hint="eastAsia" w:ascii="宋体" w:hAnsi="宋体" w:eastAsia="宋体" w:cs="宋体"/>
          <w:lang w:eastAsia="zh-CN"/>
        </w:rPr>
        <w:t>逻辑电平门限（以</w:t>
      </w:r>
      <w:r>
        <w:t xml:space="preserve"> 3.3V </w:t>
      </w:r>
      <w:r>
        <w:rPr>
          <w:rFonts w:hint="eastAsia" w:ascii="宋体" w:hAnsi="宋体" w:eastAsia="宋体" w:cs="宋体"/>
          <w:lang w:eastAsia="zh-CN"/>
        </w:rPr>
        <w:t>系统为例）：输入低电平上限约</w:t>
      </w:r>
      <w:r>
        <w:t xml:space="preserve"> 0.3×VDD</w:t>
      </w:r>
      <w:r>
        <w:rPr>
          <w:rFonts w:hint="eastAsia" w:ascii="宋体" w:hAnsi="宋体" w:eastAsia="宋体" w:cs="宋体"/>
          <w:lang w:eastAsia="zh-CN"/>
        </w:rPr>
        <w:t>，输入高电平下限约</w:t>
      </w:r>
      <w:r>
        <w:t xml:space="preserve"> 0.7×VDD</w:t>
      </w:r>
      <w:r>
        <w:rPr>
          <w:rFonts w:hint="eastAsia" w:ascii="宋体" w:hAnsi="宋体" w:eastAsia="宋体" w:cs="宋体"/>
          <w:lang w:eastAsia="zh-CN"/>
        </w:rPr>
        <w:t>。设计时应以器件数据手册的</w:t>
      </w:r>
      <w:r>
        <w:t xml:space="preserve"> VIH/VIL </w:t>
      </w:r>
      <w:r>
        <w:rPr>
          <w:rFonts w:hint="eastAsia" w:ascii="宋体" w:hAnsi="宋体" w:eastAsia="宋体" w:cs="宋体"/>
          <w:lang w:eastAsia="zh-CN"/>
        </w:rPr>
        <w:t>实测值为准。</w:t>
      </w:r>
    </w:p>
    <w:p w14:paraId="6B2B1E84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（三）总线电容与上拉电阻计算</w:t>
      </w:r>
    </w:p>
    <w:p w14:paraId="210380F4">
      <w:pPr>
        <w:jc w:val="both"/>
      </w:pPr>
      <w:r>
        <w:rPr>
          <w:rFonts w:hint="eastAsia" w:ascii="宋体" w:hAnsi="宋体" w:eastAsia="宋体" w:cs="宋体"/>
          <w:lang w:eastAsia="zh-CN"/>
        </w:rPr>
        <w:t>规范限定总线总电容</w:t>
      </w:r>
      <w:r>
        <w:rPr>
          <w:rFonts w:hint="eastAsia" w:ascii="宋体" w:hAnsi="宋体" w:eastAsia="宋体" w:cs="宋体"/>
          <w:b w:val="1"/>
          <w:lang w:eastAsia="zh-CN"/>
        </w:rPr>
        <w:t>不超过 400 pF</w:t>
      </w:r>
      <w:r>
        <w:rPr>
          <w:rFonts w:hint="eastAsia" w:ascii="宋体" w:hAnsi="宋体" w:eastAsia="宋体" w:cs="宋体"/>
          <w:lang w:eastAsia="zh-CN"/>
        </w:rPr>
        <w:t>（快速模式）。总电容由各器件引脚电容、</w:t>
      </w:r>
      <w:r>
        <w:t xml:space="preserve">PCB </w:t>
      </w:r>
      <w:r>
        <w:rPr>
          <w:rFonts w:hint="eastAsia" w:ascii="宋体" w:hAnsi="宋体" w:eastAsia="宋体" w:cs="宋体"/>
          <w:lang w:eastAsia="zh-CN"/>
        </w:rPr>
        <w:t>走线寄生电容与连接器电容累加而成，应在器件选型阶段即完成估算。</w:t>
      </w:r>
    </w:p>
    <w:p w14:paraId="0549A93D">
      <w:pPr>
        <w:jc w:val="both"/>
      </w:pPr>
      <w:r>
        <w:rPr>
          <w:rFonts w:hint="eastAsia" w:ascii="宋体" w:hAnsi="宋体" w:eastAsia="宋体" w:cs="宋体"/>
          <w:lang w:eastAsia="zh-CN"/>
        </w:rPr>
        <w:t>上拉电阻</w:t>
      </w:r>
      <w:r>
        <w:t xml:space="preserve"> Rp </w:t>
      </w:r>
      <w:r>
        <w:rPr>
          <w:rFonts w:hint="eastAsia" w:ascii="宋体" w:hAnsi="宋体" w:eastAsia="宋体" w:cs="宋体"/>
          <w:lang w:eastAsia="zh-CN"/>
        </w:rPr>
        <w:t>的设计受两个边界约束：</w:t>
      </w:r>
    </w:p>
    <w:p w14:paraId="79BEC44B">
      <w:pPr>
        <w:pStyle w:val="000032"/>
        <w:numPr>
          <w:ilvl w:val="0"/>
          <w:numId w:val="1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最小值（由灌电流决定）</w:t>
      </w:r>
      <w:r>
        <w:rPr>
          <w:rFonts w:hint="eastAsia" w:ascii="宋体" w:hAnsi="宋体" w:eastAsia="宋体" w:cs="宋体"/>
          <w:lang w:eastAsia="zh-CN"/>
        </w:rPr>
        <w:t>：保证输出低电平时，器件能可靠拉低到</w:t>
      </w:r>
      <w:r>
        <w:t xml:space="preserve"> VOL </w:t>
      </w:r>
      <w:r>
        <w:rPr>
          <w:rFonts w:hint="eastAsia" w:ascii="宋体" w:hAnsi="宋体" w:eastAsia="宋体" w:cs="宋体"/>
          <w:lang w:eastAsia="zh-CN"/>
        </w:rPr>
        <w:t>以下。</w:t>
      </w:r>
    </w:p>
    <w:p w14:paraId="4F93C1B1">
      <w:pPr>
        <w:pStyle w:val="000032"/>
        <w:numPr>
          <w:ilvl w:val="0"/>
          <w:numId w:val="1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最大值（由上升时间决定）</w:t>
      </w:r>
      <w:r>
        <w:rPr>
          <w:rFonts w:hint="eastAsia" w:ascii="宋体" w:hAnsi="宋体" w:eastAsia="宋体" w:cs="宋体"/>
          <w:lang w:eastAsia="zh-CN"/>
        </w:rPr>
        <w:t>：保证上升沿在规定时间内完成。</w:t>
      </w:r>
    </w:p>
    <w:p w14:paraId="2DFC0878">
      <w:pPr>
        <w:pBdr>
          <w:left w:val="single" w:color="1F3864" w:sz="18" w:space="0"/>
        </w:pBdr>
        <w:shd w:val="clear" w:color="auto" w:fill="EEF2F8"/>
        <w:spacing w:after="176"/>
        <w:jc w:val="both"/>
      </w:pPr>
      <w:r>
        <w:rPr>
          <w:rFonts w:ascii="Courier New" w:hAnsi="Courier New"/>
          <w:color w:val="1A1A1A"/>
          <w:sz w:val="22"/>
        </w:rPr>
        <w:t>  Rp(min) = ( VDD − VOL(max) ) / IOL</w:t>
      </w:r>
    </w:p>
    <w:p w14:paraId="0AB25C7A">
      <w:pPr>
        <w:pBdr>
          <w:left w:val="single" w:color="1F3864" w:sz="18" w:space="0"/>
        </w:pBdr>
        <w:shd w:val="clear" w:color="auto" w:fill="EEF2F8"/>
        <w:spacing w:after="176"/>
        <w:jc w:val="both"/>
      </w:pPr>
      <w:r>
        <w:rPr>
          <w:rFonts w:ascii="Courier New" w:hAnsi="Courier New"/>
          <w:color w:val="1A1A1A"/>
          <w:sz w:val="22"/>
        </w:rPr>
        <w:t>  Rp(max) = tr / ( 0.8473 × Cb )</w:t>
      </w:r>
    </w:p>
    <w:p w14:paraId="7733CC1A">
      <w:pPr>
        <w:jc w:val="both"/>
      </w:pPr>
      <w:r>
        <w:rPr>
          <w:rFonts w:hint="eastAsia" w:ascii="宋体" w:hAnsi="宋体" w:eastAsia="宋体" w:cs="宋体"/>
          <w:lang w:eastAsia="zh-CN"/>
        </w:rPr>
        <w:t>工程常用取值：</w:t>
      </w:r>
      <w:r>
        <w:t>400kbps</w:t>
      </w:r>
      <w:r>
        <w:rPr>
          <w:rFonts w:hint="eastAsia" w:ascii="宋体" w:hAnsi="宋体" w:eastAsia="宋体" w:cs="宋体"/>
          <w:lang w:eastAsia="zh-CN"/>
        </w:rPr>
        <w:t>、总线电容约</w:t>
      </w:r>
      <w:r>
        <w:t xml:space="preserve"> 100~200pF </w:t>
      </w:r>
      <w:r>
        <w:rPr>
          <w:rFonts w:hint="eastAsia" w:ascii="宋体" w:hAnsi="宋体" w:eastAsia="宋体" w:cs="宋体"/>
          <w:lang w:eastAsia="zh-CN"/>
        </w:rPr>
        <w:t>时，</w:t>
      </w:r>
      <w:r>
        <w:t xml:space="preserve">3.3V </w:t>
      </w:r>
      <w:r>
        <w:rPr>
          <w:rFonts w:hint="eastAsia" w:ascii="宋体" w:hAnsi="宋体" w:eastAsia="宋体" w:cs="宋体"/>
          <w:lang w:eastAsia="zh-CN"/>
        </w:rPr>
        <w:t>系统典型上拉为</w:t>
      </w:r>
      <w:r>
        <w:t xml:space="preserve"> </w:t>
      </w:r>
      <w:r>
        <w:rPr>
          <w:b w:val="1"/>
        </w:rPr>
        <w:t>2.2kΩ~4.7kΩ</w:t>
      </w:r>
      <w:r>
        <w:rPr>
          <w:rFonts w:hint="eastAsia" w:ascii="宋体" w:hAnsi="宋体" w:eastAsia="宋体" w:cs="宋体"/>
          <w:lang w:eastAsia="zh-CN"/>
        </w:rPr>
        <w:t>；</w:t>
      </w:r>
      <w:r>
        <w:t xml:space="preserve">100kbps </w:t>
      </w:r>
      <w:r>
        <w:rPr>
          <w:rFonts w:hint="eastAsia" w:ascii="宋体" w:hAnsi="宋体" w:eastAsia="宋体" w:cs="宋体"/>
          <w:lang w:eastAsia="zh-CN"/>
        </w:rPr>
        <w:t>场合可放宽到</w:t>
      </w:r>
      <w:r>
        <w:t xml:space="preserve"> 4.7kΩ~10kΩ</w:t>
      </w:r>
      <w:r>
        <w:rPr>
          <w:rFonts w:hint="eastAsia" w:ascii="宋体" w:hAnsi="宋体" w:eastAsia="宋体" w:cs="宋体"/>
          <w:lang w:eastAsia="zh-CN"/>
        </w:rPr>
        <w:t>。速率越高、总线电容越大，上拉电阻应越小。</w:t>
      </w:r>
    </w:p>
    <w:p w14:paraId="256D2109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（四）电平转换设计</w:t>
      </w:r>
    </w:p>
    <w:p w14:paraId="09488B65">
      <w:pPr>
        <w:jc w:val="both"/>
      </w:pPr>
      <w:r>
        <w:rPr>
          <w:rFonts w:hint="eastAsia" w:ascii="宋体" w:hAnsi="宋体" w:eastAsia="宋体" w:cs="宋体"/>
          <w:lang w:eastAsia="zh-CN"/>
        </w:rPr>
        <w:t>当总线上存在不同电压域（如</w:t>
      </w:r>
      <w:r>
        <w:t xml:space="preserve"> 1.8V </w:t>
      </w:r>
      <w:r>
        <w:rPr>
          <w:rFonts w:hint="eastAsia" w:ascii="宋体" w:hAnsi="宋体" w:eastAsia="宋体" w:cs="宋体"/>
          <w:lang w:eastAsia="zh-CN"/>
        </w:rPr>
        <w:t>与</w:t>
      </w:r>
      <w:r>
        <w:t xml:space="preserve"> 3.3V </w:t>
      </w:r>
      <w:r>
        <w:rPr>
          <w:rFonts w:hint="eastAsia" w:ascii="宋体" w:hAnsi="宋体" w:eastAsia="宋体" w:cs="宋体"/>
          <w:lang w:eastAsia="zh-CN"/>
        </w:rPr>
        <w:t>器件混挂）时，应使用专用双向电平转换器件或由</w:t>
      </w:r>
      <w:r>
        <w:t xml:space="preserve"> NMOS </w:t>
      </w:r>
      <w:r>
        <w:rPr>
          <w:rFonts w:hint="eastAsia" w:ascii="宋体" w:hAnsi="宋体" w:eastAsia="宋体" w:cs="宋体"/>
          <w:lang w:eastAsia="zh-CN"/>
        </w:rPr>
        <w:t>管构成的双向电平移位电路，禁止通过电阻分压简单处理。上拉电阻应分别接到各自电压域对应的电源。</w:t>
      </w:r>
    </w:p>
    <w:p w14:paraId="7BAEABD0">
      <w:pPr>
        <w:pStyle w:val="00000a"/>
        <w:spacing w:line="312" w:lineRule="auto"/>
      </w:pPr>
      <w:bookmarkStart w:id="7" w:name="section-4"/>
      <w:bookmarkEnd w:id="7"/>
      <w:bookmarkStart w:id="8" w:name="_Toc_section_4"/>
      <w:r>
        <w:rPr>
          <w:rFonts w:hint="eastAsia" w:ascii="宋体" w:hAnsi="宋体" w:eastAsia="宋体" w:cs="宋体"/>
          <w:b w:val="1"/>
          <w:color w:val="1F3864"/>
          <w:sz w:val="30"/>
          <w:lang w:eastAsia="zh-CN"/>
        </w:rPr>
        <w:t>四、协议层设计</w:t>
      </w:r>
      <w:bookmarkEnd w:id="8"/>
    </w:p>
    <w:p w14:paraId="73331416">
      <w:pPr>
        <w:jc w:val="both"/>
      </w:pPr>
      <w:r>
        <w:rPr>
          <w:rFonts w:hint="eastAsia" w:ascii="宋体" w:hAnsi="宋体" w:eastAsia="宋体" w:cs="宋体"/>
          <w:lang w:eastAsia="zh-CN"/>
        </w:rPr>
        <w:t>协议层定义了总线的帧结构与传输规则，是保证多设备共存、数据正确性与异常可恢复的基础，设计时必须完整落实以下各项机制。</w:t>
      </w:r>
    </w:p>
    <w:p w14:paraId="4791DFAE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（一）起始与停止条件</w:t>
      </w:r>
    </w:p>
    <w:p w14:paraId="774F81C4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起始条件 S</w:t>
      </w:r>
      <w:r>
        <w:rPr>
          <w:rFonts w:hint="eastAsia" w:ascii="宋体" w:hAnsi="宋体" w:eastAsia="宋体" w:cs="宋体"/>
          <w:lang w:eastAsia="zh-CN"/>
        </w:rPr>
        <w:t>：</w:t>
      </w:r>
      <w:r>
        <w:t xml:space="preserve">SCL </w:t>
      </w:r>
      <w:r>
        <w:rPr>
          <w:rFonts w:hint="eastAsia" w:ascii="宋体" w:hAnsi="宋体" w:eastAsia="宋体" w:cs="宋体"/>
          <w:lang w:eastAsia="zh-CN"/>
        </w:rPr>
        <w:t>为高电平时，</w:t>
      </w:r>
      <w:r>
        <w:t xml:space="preserve">SDA </w:t>
      </w:r>
      <w:r>
        <w:rPr>
          <w:rFonts w:hint="eastAsia" w:ascii="宋体" w:hAnsi="宋体" w:eastAsia="宋体" w:cs="宋体"/>
          <w:lang w:eastAsia="zh-CN"/>
        </w:rPr>
        <w:t>由高变低。</w:t>
      </w:r>
    </w:p>
    <w:p w14:paraId="2700E817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停止条件 P</w:t>
      </w:r>
      <w:r>
        <w:rPr>
          <w:rFonts w:hint="eastAsia" w:ascii="宋体" w:hAnsi="宋体" w:eastAsia="宋体" w:cs="宋体"/>
          <w:lang w:eastAsia="zh-CN"/>
        </w:rPr>
        <w:t>：</w:t>
      </w:r>
      <w:r>
        <w:t xml:space="preserve">SCL </w:t>
      </w:r>
      <w:r>
        <w:rPr>
          <w:rFonts w:hint="eastAsia" w:ascii="宋体" w:hAnsi="宋体" w:eastAsia="宋体" w:cs="宋体"/>
          <w:lang w:eastAsia="zh-CN"/>
        </w:rPr>
        <w:t>为高电平时，</w:t>
      </w:r>
      <w:r>
        <w:t xml:space="preserve">SDA </w:t>
      </w:r>
      <w:r>
        <w:rPr>
          <w:rFonts w:hint="eastAsia" w:ascii="宋体" w:hAnsi="宋体" w:eastAsia="宋体" w:cs="宋体"/>
          <w:lang w:eastAsia="zh-CN"/>
        </w:rPr>
        <w:t>由低变高。</w:t>
      </w:r>
    </w:p>
    <w:p w14:paraId="0BC99A99">
      <w:pPr>
        <w:jc w:val="both"/>
      </w:pPr>
      <w:r>
        <w:rPr>
          <w:rFonts w:hint="eastAsia" w:ascii="宋体" w:hAnsi="宋体" w:eastAsia="宋体" w:cs="宋体"/>
          <w:lang w:eastAsia="zh-CN"/>
        </w:rPr>
        <w:t>起始与停止条件由主机产生，总线在二者之间处于</w:t>
      </w:r>
      <w:r>
        <w:t>"</w:t>
      </w:r>
      <w:r>
        <w:rPr>
          <w:rFonts w:hint="eastAsia" w:ascii="宋体" w:hAnsi="宋体" w:eastAsia="宋体" w:cs="宋体"/>
          <w:lang w:eastAsia="zh-CN"/>
        </w:rPr>
        <w:t>忙</w:t>
      </w:r>
      <w:r>
        <w:t>"</w:t>
      </w:r>
      <w:r>
        <w:rPr>
          <w:rFonts w:hint="eastAsia" w:ascii="宋体" w:hAnsi="宋体" w:eastAsia="宋体" w:cs="宋体"/>
          <w:lang w:eastAsia="zh-CN"/>
        </w:rPr>
        <w:t>状态。</w:t>
      </w:r>
    </w:p>
    <w:p w14:paraId="1B2D45D9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（二）数据有效性</w:t>
      </w:r>
    </w:p>
    <w:p w14:paraId="0380B1F5">
      <w:pPr>
        <w:jc w:val="both"/>
      </w:pPr>
      <w:r>
        <w:t xml:space="preserve">SDA </w:t>
      </w:r>
      <w:r>
        <w:rPr>
          <w:rFonts w:hint="eastAsia" w:ascii="宋体" w:hAnsi="宋体" w:eastAsia="宋体" w:cs="宋体"/>
          <w:lang w:eastAsia="zh-CN"/>
        </w:rPr>
        <w:t>上的数据必须在</w:t>
      </w:r>
      <w:r>
        <w:t xml:space="preserve"> SCL </w:t>
      </w:r>
      <w:r>
        <w:rPr>
          <w:rFonts w:hint="eastAsia" w:ascii="宋体" w:hAnsi="宋体" w:eastAsia="宋体" w:cs="宋体"/>
          <w:lang w:eastAsia="zh-CN"/>
        </w:rPr>
        <w:t>高电平期间保持稳定，仅允许在</w:t>
      </w:r>
      <w:r>
        <w:t xml:space="preserve"> SCL </w:t>
      </w:r>
      <w:r>
        <w:rPr>
          <w:rFonts w:hint="eastAsia" w:ascii="宋体" w:hAnsi="宋体" w:eastAsia="宋体" w:cs="宋体"/>
          <w:lang w:eastAsia="zh-CN"/>
        </w:rPr>
        <w:t>低电平期间改变。每个时钟脉冲传输一位数据，高位（</w:t>
      </w:r>
      <w:r>
        <w:t>MSB</w:t>
      </w:r>
      <w:r>
        <w:rPr>
          <w:rFonts w:hint="eastAsia" w:ascii="宋体" w:hAnsi="宋体" w:eastAsia="宋体" w:cs="宋体"/>
          <w:lang w:eastAsia="zh-CN"/>
        </w:rPr>
        <w:t>）先行。</w:t>
      </w:r>
    </w:p>
    <w:p w14:paraId="7D387C69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（三）寻址格式</w:t>
      </w:r>
    </w:p>
    <w:p w14:paraId="4F80B588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7 位地址</w:t>
      </w:r>
      <w:r>
        <w:rPr>
          <w:rFonts w:hint="eastAsia" w:ascii="宋体" w:hAnsi="宋体" w:eastAsia="宋体" w:cs="宋体"/>
          <w:lang w:eastAsia="zh-CN"/>
        </w:rPr>
        <w:t>：首字节为</w:t>
      </w:r>
      <w:r>
        <w:t xml:space="preserve"> 7 </w:t>
      </w:r>
      <w:r>
        <w:rPr>
          <w:rFonts w:hint="eastAsia" w:ascii="宋体" w:hAnsi="宋体" w:eastAsia="宋体" w:cs="宋体"/>
          <w:lang w:eastAsia="zh-CN"/>
        </w:rPr>
        <w:t>位从机地址</w:t>
      </w:r>
      <w:r>
        <w:t xml:space="preserve"> + 1 </w:t>
      </w:r>
      <w:r>
        <w:rPr>
          <w:rFonts w:hint="eastAsia" w:ascii="宋体" w:hAnsi="宋体" w:eastAsia="宋体" w:cs="宋体"/>
          <w:lang w:eastAsia="zh-CN"/>
        </w:rPr>
        <w:t>位读写方向位（</w:t>
      </w:r>
      <w:r>
        <w:t xml:space="preserve">0 </w:t>
      </w:r>
      <w:r>
        <w:rPr>
          <w:rFonts w:hint="eastAsia" w:ascii="宋体" w:hAnsi="宋体" w:eastAsia="宋体" w:cs="宋体"/>
          <w:lang w:eastAsia="zh-CN"/>
        </w:rPr>
        <w:t>写</w:t>
      </w:r>
      <w:r>
        <w:t xml:space="preserve"> / 1 </w:t>
      </w:r>
      <w:r>
        <w:rPr>
          <w:rFonts w:hint="eastAsia" w:ascii="宋体" w:hAnsi="宋体" w:eastAsia="宋体" w:cs="宋体"/>
          <w:lang w:eastAsia="zh-CN"/>
        </w:rPr>
        <w:t>读），共</w:t>
      </w:r>
      <w:r>
        <w:t xml:space="preserve"> 128 </w:t>
      </w:r>
      <w:r>
        <w:rPr>
          <w:rFonts w:hint="eastAsia" w:ascii="宋体" w:hAnsi="宋体" w:eastAsia="宋体" w:cs="宋体"/>
          <w:lang w:eastAsia="zh-CN"/>
        </w:rPr>
        <w:t>个地址，其中若干为保留地址。</w:t>
      </w:r>
    </w:p>
    <w:p w14:paraId="3A80C8B8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10 位地址</w:t>
      </w:r>
      <w:r>
        <w:rPr>
          <w:rFonts w:hint="eastAsia" w:ascii="宋体" w:hAnsi="宋体" w:eastAsia="宋体" w:cs="宋体"/>
          <w:lang w:eastAsia="zh-CN"/>
        </w:rPr>
        <w:t>：以特定前缀字节扩展，支持</w:t>
      </w:r>
      <w:r>
        <w:t xml:space="preserve"> 1024 </w:t>
      </w:r>
      <w:r>
        <w:rPr>
          <w:rFonts w:hint="eastAsia" w:ascii="宋体" w:hAnsi="宋体" w:eastAsia="宋体" w:cs="宋体"/>
          <w:lang w:eastAsia="zh-CN"/>
        </w:rPr>
        <w:t>个地址，用于地址资源紧张的场景。</w:t>
      </w:r>
    </w:p>
    <w:p w14:paraId="3537F53C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（四）应答机制</w:t>
      </w:r>
    </w:p>
    <w:p w14:paraId="2200C0D8">
      <w:pPr>
        <w:jc w:val="both"/>
      </w:pPr>
      <w:r>
        <w:rPr>
          <w:rFonts w:hint="eastAsia" w:ascii="宋体" w:hAnsi="宋体" w:eastAsia="宋体" w:cs="宋体"/>
          <w:lang w:eastAsia="zh-CN"/>
        </w:rPr>
        <w:t>每传输完一个字节（</w:t>
      </w:r>
      <w:r>
        <w:t xml:space="preserve">8 </w:t>
      </w:r>
      <w:r>
        <w:rPr>
          <w:rFonts w:hint="eastAsia" w:ascii="宋体" w:hAnsi="宋体" w:eastAsia="宋体" w:cs="宋体"/>
          <w:lang w:eastAsia="zh-CN"/>
        </w:rPr>
        <w:t>位），接收方必须在第</w:t>
      </w:r>
      <w:r>
        <w:t xml:space="preserve"> 9 </w:t>
      </w:r>
      <w:r>
        <w:rPr>
          <w:rFonts w:hint="eastAsia" w:ascii="宋体" w:hAnsi="宋体" w:eastAsia="宋体" w:cs="宋体"/>
          <w:lang w:eastAsia="zh-CN"/>
        </w:rPr>
        <w:t>个时钟周期拉低</w:t>
      </w:r>
      <w:r>
        <w:t xml:space="preserve"> SDA </w:t>
      </w:r>
      <w:r>
        <w:rPr>
          <w:rFonts w:hint="eastAsia" w:ascii="宋体" w:hAnsi="宋体" w:eastAsia="宋体" w:cs="宋体"/>
          <w:lang w:eastAsia="zh-CN"/>
        </w:rPr>
        <w:t>作为应答（</w:t>
      </w:r>
      <w:r>
        <w:t>ACK</w:t>
      </w:r>
      <w:r>
        <w:rPr>
          <w:rFonts w:hint="eastAsia" w:ascii="宋体" w:hAnsi="宋体" w:eastAsia="宋体" w:cs="宋体"/>
          <w:lang w:eastAsia="zh-CN"/>
        </w:rPr>
        <w:t>）；若保持高电平则为非应答（</w:t>
      </w:r>
      <w:r>
        <w:t>NACK</w:t>
      </w:r>
      <w:r>
        <w:rPr>
          <w:rFonts w:hint="eastAsia" w:ascii="宋体" w:hAnsi="宋体" w:eastAsia="宋体" w:cs="宋体"/>
          <w:lang w:eastAsia="zh-CN"/>
        </w:rPr>
        <w:t>）。主机读操作读取最后一个字节后应返回</w:t>
      </w:r>
      <w:r>
        <w:t xml:space="preserve"> NACK</w:t>
      </w:r>
      <w:r>
        <w:rPr>
          <w:rFonts w:hint="eastAsia" w:ascii="宋体" w:hAnsi="宋体" w:eastAsia="宋体" w:cs="宋体"/>
          <w:lang w:eastAsia="zh-CN"/>
        </w:rPr>
        <w:t>，通知从机结束传输。</w:t>
      </w:r>
    </w:p>
    <w:p w14:paraId="5425F439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（五）重复起始条件</w:t>
      </w:r>
    </w:p>
    <w:p w14:paraId="012C3B62">
      <w:pPr>
        <w:jc w:val="both"/>
      </w:pPr>
      <w:r>
        <w:rPr>
          <w:rFonts w:hint="eastAsia" w:ascii="宋体" w:hAnsi="宋体" w:eastAsia="宋体" w:cs="宋体"/>
          <w:lang w:eastAsia="zh-CN"/>
        </w:rPr>
        <w:t>主机在不发送停止条件的情况下再次发送起始条件，用于在不释放总线的情况下切换读写方向或切换目标从机。典型应用于</w:t>
      </w:r>
      <w:r>
        <w:t>"</w:t>
      </w:r>
      <w:r>
        <w:rPr>
          <w:rFonts w:hint="eastAsia" w:ascii="宋体" w:hAnsi="宋体" w:eastAsia="宋体" w:cs="宋体"/>
          <w:lang w:eastAsia="zh-CN"/>
        </w:rPr>
        <w:t>写寄存器地址</w:t>
      </w:r>
      <w:r>
        <w:t xml:space="preserve"> → </w:t>
      </w:r>
      <w:r>
        <w:rPr>
          <w:rFonts w:hint="eastAsia" w:ascii="宋体" w:hAnsi="宋体" w:eastAsia="宋体" w:cs="宋体"/>
          <w:lang w:eastAsia="zh-CN"/>
        </w:rPr>
        <w:t>读寄存器数据</w:t>
      </w:r>
      <w:r>
        <w:t>"</w:t>
      </w:r>
      <w:r>
        <w:rPr>
          <w:rFonts w:hint="eastAsia" w:ascii="宋体" w:hAnsi="宋体" w:eastAsia="宋体" w:cs="宋体"/>
          <w:lang w:eastAsia="zh-CN"/>
        </w:rPr>
        <w:t>的组合操作。</w:t>
      </w:r>
    </w:p>
    <w:p w14:paraId="5539A41F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（六）时钟同步与仲裁</w:t>
      </w:r>
    </w:p>
    <w:p w14:paraId="5EE6EFC4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时钟同步</w:t>
      </w:r>
      <w:r>
        <w:rPr>
          <w:rFonts w:hint="eastAsia" w:ascii="宋体" w:hAnsi="宋体" w:eastAsia="宋体" w:cs="宋体"/>
          <w:lang w:eastAsia="zh-CN"/>
        </w:rPr>
        <w:t>：多个主设备同时驱动</w:t>
      </w:r>
      <w:r>
        <w:t xml:space="preserve"> SCL </w:t>
      </w:r>
      <w:r>
        <w:rPr>
          <w:rFonts w:hint="eastAsia" w:ascii="宋体" w:hAnsi="宋体" w:eastAsia="宋体" w:cs="宋体"/>
          <w:lang w:eastAsia="zh-CN"/>
        </w:rPr>
        <w:t>时，总线表现为所有时钟的</w:t>
      </w:r>
      <w:r>
        <w:t>"</w:t>
      </w:r>
      <w:r>
        <w:rPr>
          <w:rFonts w:hint="eastAsia" w:ascii="宋体" w:hAnsi="宋体" w:eastAsia="宋体" w:cs="宋体"/>
          <w:lang w:eastAsia="zh-CN"/>
        </w:rPr>
        <w:t>与</w:t>
      </w:r>
      <w:r>
        <w:t>"</w:t>
      </w:r>
      <w:r>
        <w:rPr>
          <w:rFonts w:hint="eastAsia" w:ascii="宋体" w:hAnsi="宋体" w:eastAsia="宋体" w:cs="宋体"/>
          <w:lang w:eastAsia="zh-CN"/>
        </w:rPr>
        <w:t>，即由最长的低电平决定实际时钟。</w:t>
      </w:r>
    </w:p>
    <w:p w14:paraId="2D356CFD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总线仲裁</w:t>
      </w:r>
      <w:r>
        <w:rPr>
          <w:rFonts w:hint="eastAsia" w:ascii="宋体" w:hAnsi="宋体" w:eastAsia="宋体" w:cs="宋体"/>
          <w:lang w:eastAsia="zh-CN"/>
        </w:rPr>
        <w:t>：多主竞争时，各主机在发送数据的同时监测</w:t>
      </w:r>
      <w:r>
        <w:t xml:space="preserve"> SDA</w:t>
      </w:r>
      <w:r>
        <w:rPr>
          <w:rFonts w:hint="eastAsia" w:ascii="宋体" w:hAnsi="宋体" w:eastAsia="宋体" w:cs="宋体"/>
          <w:lang w:eastAsia="zh-CN"/>
        </w:rPr>
        <w:t>。当某主机发送高电平却检测到总线为低时，立即退出竞争并转为从机接收模式，仲裁失败方不丢失数据完整性。</w:t>
      </w:r>
    </w:p>
    <w:p w14:paraId="1BF60841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（七）时钟延展</w:t>
      </w:r>
    </w:p>
    <w:p w14:paraId="186478DB">
      <w:pPr>
        <w:jc w:val="both"/>
      </w:pPr>
      <w:r>
        <w:rPr>
          <w:rFonts w:hint="eastAsia" w:ascii="宋体" w:hAnsi="宋体" w:eastAsia="宋体" w:cs="宋体"/>
          <w:lang w:eastAsia="zh-CN"/>
        </w:rPr>
        <w:t>从设备若需要更多处理时间，可在接收完字节后将</w:t>
      </w:r>
      <w:r>
        <w:t xml:space="preserve"> SCL </w:t>
      </w:r>
      <w:r>
        <w:rPr>
          <w:rFonts w:hint="eastAsia" w:ascii="宋体" w:hAnsi="宋体" w:eastAsia="宋体" w:cs="宋体"/>
          <w:lang w:eastAsia="zh-CN"/>
        </w:rPr>
        <w:t>拉低保持，迫使主机进入等待状态，直到从机释放</w:t>
      </w:r>
      <w:r>
        <w:t xml:space="preserve"> SCL</w:t>
      </w:r>
      <w:r>
        <w:rPr>
          <w:rFonts w:hint="eastAsia" w:ascii="宋体" w:hAnsi="宋体" w:eastAsia="宋体" w:cs="宋体"/>
          <w:lang w:eastAsia="zh-CN"/>
        </w:rPr>
        <w:t>。主机软件或</w:t>
      </w:r>
      <w:r>
        <w:t xml:space="preserve"> I2C </w:t>
      </w:r>
      <w:r>
        <w:rPr>
          <w:rFonts w:hint="eastAsia" w:ascii="宋体" w:hAnsi="宋体" w:eastAsia="宋体" w:cs="宋体"/>
          <w:lang w:eastAsia="zh-CN"/>
        </w:rPr>
        <w:t>控制器必须支持该特性，否则与慢速器件通信会失败。</w:t>
      </w:r>
    </w:p>
    <w:p w14:paraId="284E036E">
      <w:pPr>
        <w:pStyle w:val="00000a"/>
        <w:spacing w:line="312" w:lineRule="auto"/>
      </w:pPr>
      <w:bookmarkStart w:id="9" w:name="section-5"/>
      <w:bookmarkEnd w:id="9"/>
      <w:bookmarkStart w:id="10" w:name="_Toc_section_5"/>
      <w:r>
        <w:rPr>
          <w:rFonts w:hint="eastAsia" w:ascii="宋体" w:hAnsi="宋体" w:eastAsia="宋体" w:cs="宋体"/>
          <w:b w:val="1"/>
          <w:color w:val="1F3864"/>
          <w:sz w:val="30"/>
          <w:lang w:eastAsia="zh-CN"/>
        </w:rPr>
        <w:t>五、读写操作时序</w:t>
      </w:r>
      <w:bookmarkEnd w:id="10"/>
    </w:p>
    <w:p w14:paraId="76EA9159">
      <w:pPr>
        <w:jc w:val="both"/>
      </w:pPr>
      <w:r>
        <w:rPr>
          <w:rFonts w:hint="eastAsia" w:ascii="宋体" w:hAnsi="宋体" w:eastAsia="宋体" w:cs="宋体"/>
          <w:lang w:eastAsia="zh-CN"/>
        </w:rPr>
        <w:t>绝大多数传感器与存储类器件采用</w:t>
      </w:r>
      <w:r>
        <w:t>"</w:t>
      </w:r>
      <w:r>
        <w:rPr>
          <w:rFonts w:hint="eastAsia" w:ascii="宋体" w:hAnsi="宋体" w:eastAsia="宋体" w:cs="宋体"/>
          <w:lang w:eastAsia="zh-CN"/>
        </w:rPr>
        <w:t>寄存器地址</w:t>
      </w:r>
      <w:r>
        <w:t xml:space="preserve"> + </w:t>
      </w:r>
      <w:r>
        <w:rPr>
          <w:rFonts w:hint="eastAsia" w:ascii="宋体" w:hAnsi="宋体" w:eastAsia="宋体" w:cs="宋体"/>
          <w:lang w:eastAsia="zh-CN"/>
        </w:rPr>
        <w:t>数据</w:t>
      </w:r>
      <w:r>
        <w:t>"</w:t>
      </w:r>
      <w:r>
        <w:rPr>
          <w:rFonts w:hint="eastAsia" w:ascii="宋体" w:hAnsi="宋体" w:eastAsia="宋体" w:cs="宋体"/>
          <w:lang w:eastAsia="zh-CN"/>
        </w:rPr>
        <w:t>的访问模型，需通过重复起始条件完成先写后读的切换。</w:t>
      </w:r>
    </w:p>
    <w:p w14:paraId="4565F6D2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（一）写操作</w:t>
      </w:r>
    </w:p>
    <w:p w14:paraId="3B32E42E">
      <w:pPr>
        <w:jc w:val="both"/>
      </w:pPr>
      <w:r>
        <w:rPr>
          <w:rFonts w:hint="eastAsia" w:ascii="宋体" w:hAnsi="宋体" w:eastAsia="宋体" w:cs="宋体"/>
          <w:lang w:eastAsia="zh-CN"/>
        </w:rPr>
        <w:t>起始条件</w:t>
      </w:r>
      <w:r>
        <w:t xml:space="preserve"> → </w:t>
      </w:r>
      <w:r>
        <w:rPr>
          <w:rFonts w:hint="eastAsia" w:ascii="宋体" w:hAnsi="宋体" w:eastAsia="宋体" w:cs="宋体"/>
          <w:lang w:eastAsia="zh-CN"/>
        </w:rPr>
        <w:t>发送从机地址（写）</w:t>
      </w:r>
      <w:r>
        <w:t xml:space="preserve"> → </w:t>
      </w:r>
      <w:r>
        <w:rPr>
          <w:rFonts w:hint="eastAsia" w:ascii="宋体" w:hAnsi="宋体" w:eastAsia="宋体" w:cs="宋体"/>
          <w:lang w:eastAsia="zh-CN"/>
        </w:rPr>
        <w:t>等待</w:t>
      </w:r>
      <w:r>
        <w:t xml:space="preserve"> ACK → </w:t>
      </w:r>
      <w:r>
        <w:rPr>
          <w:rFonts w:hint="eastAsia" w:ascii="宋体" w:hAnsi="宋体" w:eastAsia="宋体" w:cs="宋体"/>
          <w:lang w:eastAsia="zh-CN"/>
        </w:rPr>
        <w:t>发送寄存器地址</w:t>
      </w:r>
      <w:r>
        <w:t xml:space="preserve"> → </w:t>
      </w:r>
      <w:r>
        <w:rPr>
          <w:rFonts w:hint="eastAsia" w:ascii="宋体" w:hAnsi="宋体" w:eastAsia="宋体" w:cs="宋体"/>
          <w:lang w:eastAsia="zh-CN"/>
        </w:rPr>
        <w:t>等待</w:t>
      </w:r>
      <w:r>
        <w:t xml:space="preserve"> ACK → </w:t>
      </w:r>
      <w:r>
        <w:rPr>
          <w:rFonts w:hint="eastAsia" w:ascii="宋体" w:hAnsi="宋体" w:eastAsia="宋体" w:cs="宋体"/>
          <w:lang w:eastAsia="zh-CN"/>
        </w:rPr>
        <w:t>连续发送数据字节</w:t>
      </w:r>
      <w:r>
        <w:t xml:space="preserve"> → </w:t>
      </w:r>
      <w:r>
        <w:rPr>
          <w:rFonts w:hint="eastAsia" w:ascii="宋体" w:hAnsi="宋体" w:eastAsia="宋体" w:cs="宋体"/>
          <w:lang w:eastAsia="zh-CN"/>
        </w:rPr>
        <w:t>每字节等待</w:t>
      </w:r>
      <w:r>
        <w:t xml:space="preserve"> ACK → </w:t>
      </w:r>
      <w:r>
        <w:rPr>
          <w:rFonts w:hint="eastAsia" w:ascii="宋体" w:hAnsi="宋体" w:eastAsia="宋体" w:cs="宋体"/>
          <w:lang w:eastAsia="zh-CN"/>
        </w:rPr>
        <w:t>停止条件。</w:t>
      </w:r>
    </w:p>
    <w:p w14:paraId="08B1A3D0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（二）读操作</w:t>
      </w:r>
    </w:p>
    <w:p w14:paraId="30871255">
      <w:pPr>
        <w:jc w:val="both"/>
      </w:pPr>
      <w:r>
        <w:rPr>
          <w:rFonts w:hint="eastAsia" w:ascii="宋体" w:hAnsi="宋体" w:eastAsia="宋体" w:cs="宋体"/>
          <w:lang w:eastAsia="zh-CN"/>
        </w:rPr>
        <w:t>对</w:t>
      </w:r>
      <w:r>
        <w:t xml:space="preserve"> EEPROM</w:t>
      </w:r>
      <w:r>
        <w:rPr>
          <w:rFonts w:hint="eastAsia" w:ascii="宋体" w:hAnsi="宋体" w:eastAsia="宋体" w:cs="宋体"/>
          <w:lang w:eastAsia="zh-CN"/>
        </w:rPr>
        <w:t>、传感器等带寄存器地址映射的器件，标准流程为：起始条件</w:t>
      </w:r>
      <w:r>
        <w:t xml:space="preserve"> → </w:t>
      </w:r>
      <w:r>
        <w:rPr>
          <w:rFonts w:hint="eastAsia" w:ascii="宋体" w:hAnsi="宋体" w:eastAsia="宋体" w:cs="宋体"/>
          <w:lang w:eastAsia="zh-CN"/>
        </w:rPr>
        <w:t>写器件地址</w:t>
      </w:r>
      <w:r>
        <w:t xml:space="preserve"> → </w:t>
      </w:r>
      <w:r>
        <w:rPr>
          <w:rFonts w:hint="eastAsia" w:ascii="宋体" w:hAnsi="宋体" w:eastAsia="宋体" w:cs="宋体"/>
          <w:lang w:eastAsia="zh-CN"/>
        </w:rPr>
        <w:t>写寄存器地址</w:t>
      </w:r>
      <w:r>
        <w:t xml:space="preserve"> → </w:t>
      </w:r>
      <w:r>
        <w:rPr>
          <w:rFonts w:hint="eastAsia" w:ascii="宋体" w:hAnsi="宋体" w:eastAsia="宋体" w:cs="宋体"/>
          <w:b w:val="1"/>
          <w:lang w:eastAsia="zh-CN"/>
        </w:rPr>
        <w:t>重复起始条件</w:t>
      </w:r>
      <w:r>
        <w:t xml:space="preserve"> → </w:t>
      </w:r>
      <w:r>
        <w:rPr>
          <w:rFonts w:hint="eastAsia" w:ascii="宋体" w:hAnsi="宋体" w:eastAsia="宋体" w:cs="宋体"/>
          <w:lang w:eastAsia="zh-CN"/>
        </w:rPr>
        <w:t>读器件地址</w:t>
      </w:r>
      <w:r>
        <w:t xml:space="preserve"> → </w:t>
      </w:r>
      <w:r>
        <w:rPr>
          <w:rFonts w:hint="eastAsia" w:ascii="宋体" w:hAnsi="宋体" w:eastAsia="宋体" w:cs="宋体"/>
          <w:lang w:eastAsia="zh-CN"/>
        </w:rPr>
        <w:t>连续读取数据字节</w:t>
      </w:r>
      <w:r>
        <w:t xml:space="preserve"> → </w:t>
      </w:r>
      <w:r>
        <w:rPr>
          <w:rFonts w:hint="eastAsia" w:ascii="宋体" w:hAnsi="宋体" w:eastAsia="宋体" w:cs="宋体"/>
          <w:lang w:eastAsia="zh-CN"/>
        </w:rPr>
        <w:t>最后字节返回</w:t>
      </w:r>
      <w:r>
        <w:t xml:space="preserve"> NACK → </w:t>
      </w:r>
      <w:r>
        <w:rPr>
          <w:rFonts w:hint="eastAsia" w:ascii="宋体" w:hAnsi="宋体" w:eastAsia="宋体" w:cs="宋体"/>
          <w:lang w:eastAsia="zh-CN"/>
        </w:rPr>
        <w:t>停止条件。</w:t>
      </w:r>
    </w:p>
    <w:p w14:paraId="59871323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（三）页写限制与写周期等待</w:t>
      </w:r>
    </w:p>
    <w:p w14:paraId="4E8F77A3">
      <w:pPr>
        <w:jc w:val="both"/>
      </w:pPr>
      <w:r>
        <w:t xml:space="preserve">EEPROM </w:t>
      </w:r>
      <w:r>
        <w:rPr>
          <w:rFonts w:hint="eastAsia" w:ascii="宋体" w:hAnsi="宋体" w:eastAsia="宋体" w:cs="宋体"/>
          <w:lang w:eastAsia="zh-CN"/>
        </w:rPr>
        <w:t>类器件存在页写边界（典型</w:t>
      </w:r>
      <w:r>
        <w:t xml:space="preserve"> 8~64 </w:t>
      </w:r>
      <w:r>
        <w:rPr>
          <w:rFonts w:hint="eastAsia" w:ascii="宋体" w:hAnsi="宋体" w:eastAsia="宋体" w:cs="宋体"/>
          <w:lang w:eastAsia="zh-CN"/>
        </w:rPr>
        <w:t>字节）与内部写周期（典型</w:t>
      </w:r>
      <w:r>
        <w:t xml:space="preserve"> 5~10ms</w:t>
      </w:r>
      <w:r>
        <w:rPr>
          <w:rFonts w:hint="eastAsia" w:ascii="宋体" w:hAnsi="宋体" w:eastAsia="宋体" w:cs="宋体"/>
          <w:lang w:eastAsia="zh-CN"/>
        </w:rPr>
        <w:t>）。跨页写入会发生地址回卷，写周期内器件不应答，须采用轮询应答方式确认写完成。</w:t>
      </w:r>
    </w:p>
    <w:p w14:paraId="5EB15F10">
      <w:pPr>
        <w:pStyle w:val="00000a"/>
        <w:spacing w:line="312" w:lineRule="auto"/>
      </w:pPr>
      <w:bookmarkStart w:id="11" w:name="section-6"/>
      <w:bookmarkEnd w:id="11"/>
      <w:bookmarkStart w:id="12" w:name="_Toc_section_6"/>
      <w:r>
        <w:rPr>
          <w:rFonts w:hint="eastAsia" w:ascii="宋体" w:hAnsi="宋体" w:eastAsia="宋体" w:cs="宋体"/>
          <w:b w:val="1"/>
          <w:color w:val="1F3864"/>
          <w:sz w:val="30"/>
          <w:lang w:eastAsia="zh-CN"/>
        </w:rPr>
        <w:t>六、硬件设计要点</w:t>
      </w:r>
      <w:bookmarkEnd w:id="12"/>
    </w:p>
    <w:p w14:paraId="24BF44D7">
      <w:pPr>
        <w:pStyle w:val="000032"/>
        <w:numPr>
          <w:ilvl w:val="0"/>
          <w:numId w:val="2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上拉电阻配置</w:t>
      </w:r>
      <w:r>
        <w:rPr>
          <w:rFonts w:hint="eastAsia" w:ascii="宋体" w:hAnsi="宋体" w:eastAsia="宋体" w:cs="宋体"/>
          <w:lang w:eastAsia="zh-CN"/>
        </w:rPr>
        <w:t>：每条总线仅需一组上拉（</w:t>
      </w:r>
      <w:r>
        <w:t>SDA</w:t>
      </w:r>
      <w:r>
        <w:rPr>
          <w:rFonts w:hint="eastAsia" w:ascii="宋体" w:hAnsi="宋体" w:eastAsia="宋体" w:cs="宋体"/>
          <w:lang w:eastAsia="zh-CN"/>
        </w:rPr>
        <w:t>、</w:t>
      </w:r>
      <w:r>
        <w:t xml:space="preserve">SCL </w:t>
      </w:r>
      <w:r>
        <w:rPr>
          <w:rFonts w:hint="eastAsia" w:ascii="宋体" w:hAnsi="宋体" w:eastAsia="宋体" w:cs="宋体"/>
          <w:lang w:eastAsia="zh-CN"/>
        </w:rPr>
        <w:t>各一个），禁止在每个器件上重复放置上拉，避免并联导致等效阻值过小、灌电流超标。</w:t>
      </w:r>
    </w:p>
    <w:p w14:paraId="23DE79FF">
      <w:pPr>
        <w:pStyle w:val="000032"/>
        <w:numPr>
          <w:ilvl w:val="0"/>
          <w:numId w:val="2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总线扩展</w:t>
      </w:r>
      <w:r>
        <w:rPr>
          <w:rFonts w:hint="eastAsia" w:ascii="宋体" w:hAnsi="宋体" w:eastAsia="宋体" w:cs="宋体"/>
          <w:lang w:eastAsia="zh-CN"/>
        </w:rPr>
        <w:t>：当挂载器件过多导致电容超标时，应使用</w:t>
      </w:r>
      <w:r>
        <w:t xml:space="preserve"> I2C </w:t>
      </w:r>
      <w:r>
        <w:rPr>
          <w:rFonts w:hint="eastAsia" w:ascii="宋体" w:hAnsi="宋体" w:eastAsia="宋体" w:cs="宋体"/>
          <w:lang w:eastAsia="zh-CN"/>
        </w:rPr>
        <w:t>缓冲器</w:t>
      </w:r>
      <w:r>
        <w:t>/</w:t>
      </w:r>
      <w:r>
        <w:rPr>
          <w:rFonts w:hint="eastAsia" w:ascii="宋体" w:hAnsi="宋体" w:eastAsia="宋体" w:cs="宋体"/>
          <w:lang w:eastAsia="zh-CN"/>
        </w:rPr>
        <w:t>中继器（如</w:t>
      </w:r>
      <w:r>
        <w:t xml:space="preserve"> PCA9515 </w:t>
      </w:r>
      <w:r>
        <w:rPr>
          <w:rFonts w:hint="eastAsia" w:ascii="宋体" w:hAnsi="宋体" w:eastAsia="宋体" w:cs="宋体"/>
          <w:lang w:eastAsia="zh-CN"/>
        </w:rPr>
        <w:t>类）分段隔离，或选用</w:t>
      </w:r>
      <w:r>
        <w:t xml:space="preserve"> I2C </w:t>
      </w:r>
      <w:r>
        <w:rPr>
          <w:rFonts w:hint="eastAsia" w:ascii="宋体" w:hAnsi="宋体" w:eastAsia="宋体" w:cs="宋体"/>
          <w:lang w:eastAsia="zh-CN"/>
        </w:rPr>
        <w:t>多路复用器（如</w:t>
      </w:r>
      <w:r>
        <w:t xml:space="preserve"> PCA9548 </w:t>
      </w:r>
      <w:r>
        <w:rPr>
          <w:rFonts w:hint="eastAsia" w:ascii="宋体" w:hAnsi="宋体" w:eastAsia="宋体" w:cs="宋体"/>
          <w:lang w:eastAsia="zh-CN"/>
        </w:rPr>
        <w:t>类）分时复用。</w:t>
      </w:r>
    </w:p>
    <w:p w14:paraId="37037B18">
      <w:pPr>
        <w:pStyle w:val="000032"/>
        <w:numPr>
          <w:ilvl w:val="0"/>
          <w:numId w:val="2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总线隔离与热插拔</w:t>
      </w:r>
      <w:r>
        <w:rPr>
          <w:rFonts w:hint="eastAsia" w:ascii="宋体" w:hAnsi="宋体" w:eastAsia="宋体" w:cs="宋体"/>
          <w:lang w:eastAsia="zh-CN"/>
        </w:rPr>
        <w:t>：支持热插拔的接口应使用带总线缓冲的隔离器件，避免插拔瞬间锁定总线。</w:t>
      </w:r>
    </w:p>
    <w:p w14:paraId="169F6F9D">
      <w:pPr>
        <w:pStyle w:val="000032"/>
        <w:numPr>
          <w:ilvl w:val="0"/>
          <w:numId w:val="2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ESD 防护</w:t>
      </w:r>
      <w:r>
        <w:rPr>
          <w:rFonts w:hint="eastAsia" w:ascii="宋体" w:hAnsi="宋体" w:eastAsia="宋体" w:cs="宋体"/>
          <w:lang w:eastAsia="zh-CN"/>
        </w:rPr>
        <w:t>：对外引出的</w:t>
      </w:r>
      <w:r>
        <w:t xml:space="preserve"> I2C </w:t>
      </w:r>
      <w:r>
        <w:rPr>
          <w:rFonts w:hint="eastAsia" w:ascii="宋体" w:hAnsi="宋体" w:eastAsia="宋体" w:cs="宋体"/>
          <w:lang w:eastAsia="zh-CN"/>
        </w:rPr>
        <w:t>需配置</w:t>
      </w:r>
      <w:r>
        <w:t xml:space="preserve"> ESD </w:t>
      </w:r>
      <w:r>
        <w:rPr>
          <w:rFonts w:hint="eastAsia" w:ascii="宋体" w:hAnsi="宋体" w:eastAsia="宋体" w:cs="宋体"/>
          <w:lang w:eastAsia="zh-CN"/>
        </w:rPr>
        <w:t>保护器件，选型时注意保护器件的结电容不得使总线电容超标。</w:t>
      </w:r>
    </w:p>
    <w:p w14:paraId="1F278362">
      <w:pPr>
        <w:pStyle w:val="000032"/>
        <w:numPr>
          <w:ilvl w:val="0"/>
          <w:numId w:val="2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PCB 布局</w:t>
      </w:r>
      <w:r>
        <w:rPr>
          <w:rFonts w:hint="eastAsia" w:ascii="宋体" w:hAnsi="宋体" w:eastAsia="宋体" w:cs="宋体"/>
          <w:lang w:eastAsia="zh-CN"/>
        </w:rPr>
        <w:t>：</w:t>
      </w:r>
      <w:r>
        <w:t xml:space="preserve">SDA </w:t>
      </w:r>
      <w:r>
        <w:rPr>
          <w:rFonts w:hint="eastAsia" w:ascii="宋体" w:hAnsi="宋体" w:eastAsia="宋体" w:cs="宋体"/>
          <w:lang w:eastAsia="zh-CN"/>
        </w:rPr>
        <w:t>与</w:t>
      </w:r>
      <w:r>
        <w:t xml:space="preserve"> SCL </w:t>
      </w:r>
      <w:r>
        <w:rPr>
          <w:rFonts w:hint="eastAsia" w:ascii="宋体" w:hAnsi="宋体" w:eastAsia="宋体" w:cs="宋体"/>
          <w:lang w:eastAsia="zh-CN"/>
        </w:rPr>
        <w:t>应平行走线、长度尽量一致并避免跨分割；远离高频、大电流与开关电源节点；走线尽可能短以控制寄生电容；必要时加包地保护。</w:t>
      </w:r>
    </w:p>
    <w:p w14:paraId="34E5DF48">
      <w:pPr>
        <w:pStyle w:val="000032"/>
        <w:numPr>
          <w:ilvl w:val="0"/>
          <w:numId w:val="2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串联保护电阻</w:t>
      </w:r>
      <w:r>
        <w:rPr>
          <w:rFonts w:hint="eastAsia" w:ascii="宋体" w:hAnsi="宋体" w:eastAsia="宋体" w:cs="宋体"/>
          <w:lang w:eastAsia="zh-CN"/>
        </w:rPr>
        <w:t>：在从机</w:t>
      </w:r>
      <w:r>
        <w:t xml:space="preserve"> SDA/SCL </w:t>
      </w:r>
      <w:r>
        <w:rPr>
          <w:rFonts w:hint="eastAsia" w:ascii="宋体" w:hAnsi="宋体" w:eastAsia="宋体" w:cs="宋体"/>
          <w:lang w:eastAsia="zh-CN"/>
        </w:rPr>
        <w:t>引脚处可串联小阻值电阻（典型</w:t>
      </w:r>
      <w:r>
        <w:t xml:space="preserve"> 10~100Ω</w:t>
      </w:r>
      <w:r>
        <w:rPr>
          <w:rFonts w:hint="eastAsia" w:ascii="宋体" w:hAnsi="宋体" w:eastAsia="宋体" w:cs="宋体"/>
          <w:lang w:eastAsia="zh-CN"/>
        </w:rPr>
        <w:t>），抑制振铃并限制插拔浪涌，但需评估对上升时间的影响。</w:t>
      </w:r>
    </w:p>
    <w:p w14:paraId="574AC32B">
      <w:pPr>
        <w:pStyle w:val="000032"/>
        <w:numPr>
          <w:ilvl w:val="0"/>
          <w:numId w:val="2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电源与地址去耦</w:t>
      </w:r>
      <w:r>
        <w:rPr>
          <w:rFonts w:hint="eastAsia" w:ascii="宋体" w:hAnsi="宋体" w:eastAsia="宋体" w:cs="宋体"/>
          <w:lang w:eastAsia="zh-CN"/>
        </w:rPr>
        <w:t>：每个从机就近放置去耦电容；多器件同地址时，优先通过地址引脚配置区分，避免依赖软件分时。</w:t>
      </w:r>
    </w:p>
    <w:p w14:paraId="67B80B5F">
      <w:pPr>
        <w:pStyle w:val="00000a"/>
        <w:spacing w:line="312" w:lineRule="auto"/>
      </w:pPr>
      <w:bookmarkStart w:id="13" w:name="section-7"/>
      <w:bookmarkEnd w:id="13"/>
      <w:bookmarkStart w:id="14" w:name="_Toc_section_7"/>
      <w:r>
        <w:rPr>
          <w:rFonts w:hint="eastAsia" w:ascii="宋体" w:hAnsi="宋体" w:eastAsia="宋体" w:cs="宋体"/>
          <w:b w:val="1"/>
          <w:color w:val="1F3864"/>
          <w:sz w:val="30"/>
          <w:lang w:eastAsia="zh-CN"/>
        </w:rPr>
        <w:t>七、典型应用场景</w:t>
      </w:r>
      <w:bookmarkEnd w:id="14"/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C031AB2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应用对象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2DAC2D9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典型器件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54A4146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设计关注点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9F641CC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参数存储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34FC6B4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EEPROM （ 24Cxx  系列）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A581E11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写周期等待、页写边界、 WP  写保护引脚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ED806EA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环境感知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EDC91CC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温湿度 / 加速度 / 陀螺仪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9ACAB57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采样率与转换时间的等待策略、中断引脚配合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D349420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电源管理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E872C09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PMIC/ 充电管理  IC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C9C91EB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电压域匹配、上电时序、电流检测精度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014B160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实时时钟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97BB8A8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RTC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A81EFB2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备份电源切换、 32.768kHz  晶振布局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AF6E03C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IO  扩展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707F676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GPIO  扩展芯片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AD8099D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中断输出聚合、端口驱动能力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E480931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人机接口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7781827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触摸  IC 、背光驱动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30132DD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中断线走线、刷新率对总线占用率的计算</w:t>
            </w:r>
          </w:p>
        </w:tc>
      </w:tr>
    </w:tbl>
    <w:p w14:paraId="380151A7">
      <w:pPr>
        <w:pStyle w:val="00000a"/>
        <w:spacing w:line="312" w:lineRule="auto"/>
      </w:pPr>
      <w:bookmarkStart w:id="15" w:name="section-8"/>
      <w:bookmarkEnd w:id="15"/>
      <w:bookmarkStart w:id="16" w:name="_Toc_section_8"/>
      <w:r>
        <w:rPr>
          <w:rFonts w:hint="eastAsia" w:ascii="宋体" w:hAnsi="宋体" w:eastAsia="宋体" w:cs="宋体"/>
          <w:b w:val="1"/>
          <w:color w:val="1F3864"/>
          <w:sz w:val="30"/>
          <w:lang w:eastAsia="zh-CN"/>
        </w:rPr>
        <w:t>八、可靠性与测试验证</w:t>
      </w:r>
      <w:bookmarkEnd w:id="16"/>
    </w:p>
    <w:p w14:paraId="4FE3AE54">
      <w:pPr>
        <w:jc w:val="both"/>
      </w:pPr>
      <w:r>
        <w:t xml:space="preserve">I2C </w:t>
      </w:r>
      <w:r>
        <w:rPr>
          <w:rFonts w:hint="eastAsia" w:ascii="宋体" w:hAnsi="宋体" w:eastAsia="宋体" w:cs="宋体"/>
          <w:lang w:eastAsia="zh-CN"/>
        </w:rPr>
        <w:t>的工程问题大多集中在电气裕量不足与总线锁定两类，应在设计阶段建立典型故障模式清单，并在调试与测试阶段逐条验证。</w:t>
      </w:r>
    </w:p>
    <w:p w14:paraId="7D02DDC5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（一）常见故障模式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055AA4C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故障现象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695812E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可能原因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D24ACE1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排查建议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B073B16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通信完全无响应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DDE4A88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地址错误、上拉缺失、器件未上电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963E84C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核对器件地址与读写位；确认上拉电阻已焊接；测量器件供电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94AE0FE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偶发通信失败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514BE20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上拉过大、总线电容超标、时序裕量不足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BD8FE05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减小上拉阻值；分段加缓冲器；降低通信速率验证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A2D52A1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总线死锁（ SDA  常低）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F83C339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从机异常拉住总线、上电时序异常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5E7CE14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主机发送  9  个以上时钟脉冲尝试释放；复位从机；必要时硬件复位从机电源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406BD0D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多器件互相干扰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4254C21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地址冲突、 NACK  处理不当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5930159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核对地址表；修正软件对  NACK  的处理逻辑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79DADF6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高速下波形畸变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956B11D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上升沿过缓、反射、走线过长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2110311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观测上升时间是否满足规范；缩短走线、优化上拉</w:t>
            </w:r>
          </w:p>
        </w:tc>
      </w:tr>
    </w:tbl>
    <w:p w14:paraId="0ECA72FE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（二）测试要点</w:t>
      </w:r>
    </w:p>
    <w:p w14:paraId="1807761C">
      <w:pPr>
        <w:pStyle w:val="000032"/>
        <w:numPr>
          <w:ilvl w:val="0"/>
          <w:numId w:val="3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电气参数测量</w:t>
      </w:r>
      <w:r>
        <w:rPr>
          <w:rFonts w:hint="eastAsia" w:ascii="宋体" w:hAnsi="宋体" w:eastAsia="宋体" w:cs="宋体"/>
          <w:lang w:eastAsia="zh-CN"/>
        </w:rPr>
        <w:t>：使用示波器测量</w:t>
      </w:r>
      <w:r>
        <w:t xml:space="preserve"> SCL </w:t>
      </w:r>
      <w:r>
        <w:rPr>
          <w:rFonts w:hint="eastAsia" w:ascii="宋体" w:hAnsi="宋体" w:eastAsia="宋体" w:cs="宋体"/>
          <w:lang w:eastAsia="zh-CN"/>
        </w:rPr>
        <w:t>频率、</w:t>
      </w:r>
      <w:r>
        <w:t xml:space="preserve">SDA/SCL </w:t>
      </w:r>
      <w:r>
        <w:rPr>
          <w:rFonts w:hint="eastAsia" w:ascii="宋体" w:hAnsi="宋体" w:eastAsia="宋体" w:cs="宋体"/>
          <w:lang w:eastAsia="zh-CN"/>
        </w:rPr>
        <w:t>上升下降时间、低电平</w:t>
      </w:r>
      <w:r>
        <w:t xml:space="preserve"> VOL</w:t>
      </w:r>
      <w:r>
        <w:rPr>
          <w:rFonts w:hint="eastAsia" w:ascii="宋体" w:hAnsi="宋体" w:eastAsia="宋体" w:cs="宋体"/>
          <w:lang w:eastAsia="zh-CN"/>
        </w:rPr>
        <w:t>，确认全部满足所选速率模式的规范要求。</w:t>
      </w:r>
    </w:p>
    <w:p w14:paraId="7448D050">
      <w:pPr>
        <w:pStyle w:val="000032"/>
        <w:numPr>
          <w:ilvl w:val="0"/>
          <w:numId w:val="3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总线空闲电平</w:t>
      </w:r>
      <w:r>
        <w:rPr>
          <w:rFonts w:hint="eastAsia" w:ascii="宋体" w:hAnsi="宋体" w:eastAsia="宋体" w:cs="宋体"/>
          <w:lang w:eastAsia="zh-CN"/>
        </w:rPr>
        <w:t>：空闲时</w:t>
      </w:r>
      <w:r>
        <w:t xml:space="preserve"> SDA</w:t>
      </w:r>
      <w:r>
        <w:rPr>
          <w:rFonts w:hint="eastAsia" w:ascii="宋体" w:hAnsi="宋体" w:eastAsia="宋体" w:cs="宋体"/>
          <w:lang w:eastAsia="zh-CN"/>
        </w:rPr>
        <w:t>、</w:t>
      </w:r>
      <w:r>
        <w:t xml:space="preserve">SCL </w:t>
      </w:r>
      <w:r>
        <w:rPr>
          <w:rFonts w:hint="eastAsia" w:ascii="宋体" w:hAnsi="宋体" w:eastAsia="宋体" w:cs="宋体"/>
          <w:lang w:eastAsia="zh-CN"/>
        </w:rPr>
        <w:t>均应稳定为高电平。</w:t>
      </w:r>
    </w:p>
    <w:p w14:paraId="7958D530">
      <w:pPr>
        <w:pStyle w:val="000032"/>
        <w:numPr>
          <w:ilvl w:val="0"/>
          <w:numId w:val="3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时序裕量</w:t>
      </w:r>
      <w:r>
        <w:rPr>
          <w:rFonts w:hint="eastAsia" w:ascii="宋体" w:hAnsi="宋体" w:eastAsia="宋体" w:cs="宋体"/>
          <w:lang w:eastAsia="zh-CN"/>
        </w:rPr>
        <w:t>：在高低温、极限电压条件下重复测量，确认建立保持时间与上升时间的裕量充足。</w:t>
      </w:r>
    </w:p>
    <w:p w14:paraId="49634FD4">
      <w:pPr>
        <w:pStyle w:val="000032"/>
        <w:numPr>
          <w:ilvl w:val="0"/>
          <w:numId w:val="3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压力测试</w:t>
      </w:r>
      <w:r>
        <w:rPr>
          <w:rFonts w:hint="eastAsia" w:ascii="宋体" w:hAnsi="宋体" w:eastAsia="宋体" w:cs="宋体"/>
          <w:lang w:eastAsia="zh-CN"/>
        </w:rPr>
        <w:t>：连续读写循环应覆盖写周期等待、跨页写、重复起始等关键路径，统计误码与重试次数。</w:t>
      </w:r>
    </w:p>
    <w:p w14:paraId="3B485A05">
      <w:pPr>
        <w:pStyle w:val="000032"/>
        <w:numPr>
          <w:ilvl w:val="0"/>
          <w:numId w:val="3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异常恢复</w:t>
      </w:r>
      <w:r>
        <w:rPr>
          <w:rFonts w:hint="eastAsia" w:ascii="宋体" w:hAnsi="宋体" w:eastAsia="宋体" w:cs="宋体"/>
          <w:lang w:eastAsia="zh-CN"/>
        </w:rPr>
        <w:t>：人为制造总线锁定，验证主机的总线恢复机制（时钟脉冲恢复或从机电源复位）是否有效。</w:t>
      </w:r>
    </w:p>
    <w:p w14:paraId="4B6E72B8">
      <w:pPr>
        <w:pStyle w:val="00000a"/>
        <w:spacing w:line="312" w:lineRule="auto"/>
      </w:pPr>
      <w:bookmarkStart w:id="17" w:name="section-9"/>
      <w:bookmarkEnd w:id="17"/>
      <w:bookmarkStart w:id="18" w:name="_Toc_section_9"/>
      <w:r>
        <w:rPr>
          <w:rFonts w:hint="eastAsia" w:ascii="宋体" w:hAnsi="宋体" w:eastAsia="宋体" w:cs="宋体"/>
          <w:b w:val="1"/>
          <w:color w:val="1F3864"/>
          <w:sz w:val="30"/>
          <w:lang w:eastAsia="zh-CN"/>
        </w:rPr>
        <w:t>九、设计检查清单</w:t>
      </w:r>
      <w:bookmarkEnd w:id="18"/>
    </w:p>
    <w:p w14:paraId="372A1378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已确认总线上所有器件均支持目标速率模式。</w:t>
      </w:r>
    </w:p>
    <w:p w14:paraId="012AF5B5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已完成总线电容估算并确认不超过</w:t>
      </w:r>
      <w:r>
        <w:t xml:space="preserve"> 400pF</w:t>
      </w:r>
      <w:r>
        <w:rPr>
          <w:rFonts w:hint="eastAsia" w:ascii="宋体" w:hAnsi="宋体" w:eastAsia="宋体" w:cs="宋体"/>
          <w:lang w:eastAsia="zh-CN"/>
        </w:rPr>
        <w:t>，余量充足。</w:t>
      </w:r>
    </w:p>
    <w:p w14:paraId="0D5E9777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已按公式计算并确认上拉电阻落在</w:t>
      </w:r>
      <w:r>
        <w:t xml:space="preserve"> Rp(min) </w:t>
      </w:r>
      <w:r>
        <w:rPr>
          <w:rFonts w:hint="eastAsia" w:ascii="宋体" w:hAnsi="宋体" w:eastAsia="宋体" w:cs="宋体"/>
          <w:lang w:eastAsia="zh-CN"/>
        </w:rPr>
        <w:t>与</w:t>
      </w:r>
      <w:r>
        <w:t xml:space="preserve"> Rp(max) </w:t>
      </w:r>
      <w:r>
        <w:rPr>
          <w:rFonts w:hint="eastAsia" w:ascii="宋体" w:hAnsi="宋体" w:eastAsia="宋体" w:cs="宋体"/>
          <w:lang w:eastAsia="zh-CN"/>
        </w:rPr>
        <w:t>之间。</w:t>
      </w:r>
    </w:p>
    <w:p w14:paraId="2D6A0658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全总线仅一组上拉电阻，无重复上拉。</w:t>
      </w:r>
    </w:p>
    <w:p w14:paraId="70CB72D3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已核对全部从机地址无冲突，地址引脚配置已固化。</w:t>
      </w:r>
    </w:p>
    <w:p w14:paraId="1F016B11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存在电平转换需求时已采用专用电平转换器件。</w:t>
      </w:r>
    </w:p>
    <w:p w14:paraId="4F4E91E8">
      <w:pPr>
        <w:pStyle w:val="00002c"/>
        <w:spacing w:after="72"/>
      </w:pPr>
      <w:r>
        <w:t xml:space="preserve">SDA/SCL </w:t>
      </w:r>
      <w:r>
        <w:rPr>
          <w:rFonts w:hint="eastAsia" w:ascii="宋体" w:hAnsi="宋体" w:eastAsia="宋体" w:cs="宋体"/>
          <w:lang w:eastAsia="zh-CN"/>
        </w:rPr>
        <w:t>走线短、平行、远离干扰源，未跨分割。</w:t>
      </w:r>
    </w:p>
    <w:p w14:paraId="1213267C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对外引出接口已配置</w:t>
      </w:r>
      <w:r>
        <w:t xml:space="preserve"> ESD </w:t>
      </w:r>
      <w:r>
        <w:rPr>
          <w:rFonts w:hint="eastAsia" w:ascii="宋体" w:hAnsi="宋体" w:eastAsia="宋体" w:cs="宋体"/>
          <w:lang w:eastAsia="zh-CN"/>
        </w:rPr>
        <w:t>防护且结电容合格。</w:t>
      </w:r>
    </w:p>
    <w:p w14:paraId="395A0726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主机侧软件支持时钟延展与</w:t>
      </w:r>
      <w:r>
        <w:t xml:space="preserve"> NACK </w:t>
      </w:r>
      <w:r>
        <w:rPr>
          <w:rFonts w:hint="eastAsia" w:ascii="宋体" w:hAnsi="宋体" w:eastAsia="宋体" w:cs="宋体"/>
          <w:lang w:eastAsia="zh-CN"/>
        </w:rPr>
        <w:t>处理。</w:t>
      </w:r>
    </w:p>
    <w:p w14:paraId="1E14C50E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已定义总线锁定场景的恢复策略。</w:t>
      </w:r>
    </w:p>
    <w:p w14:paraId="1BBCDCEA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已完成高低温与极限电压下的时序裕量验证。</w:t>
      </w:r>
    </w:p>
    <w:p w14:paraId="58944603">
      <w:pPr>
        <w:spacing w:after="0"/>
        <w:jc w:val="both"/>
      </w:pPr>
      <w:r>
        <w:rPr>
          <w:rFonts w:hint="eastAsia" w:ascii="宋体" w:hAnsi="宋体" w:eastAsia="宋体" w:cs="宋体"/>
          <w:lang w:eastAsia="zh-CN"/>
        </w:rPr>
        <w:t>注：本文为</w:t>
      </w:r>
      <w:r>
        <w:t xml:space="preserve"> I2C </w:t>
      </w:r>
      <w:r>
        <w:rPr>
          <w:rFonts w:hint="eastAsia" w:ascii="宋体" w:hAnsi="宋体" w:eastAsia="宋体" w:cs="宋体"/>
          <w:lang w:eastAsia="zh-CN"/>
        </w:rPr>
        <w:t>接口的通用设计说明，具体项目的电气参数最终以所用主控制器与从器件的数据手册为准，上拉电阻应在样板阶段通过实测微调确定。</w:t>
      </w:r>
    </w:p>
    <w:sectPr w:rsidRPr="0006063C" w:rsidR="00FC693F" w:rsidSect="00034616">
      <w:footerReference r:id="rId5" w:type="default"/>
      <w:pgSz w:w="11906" w:h="16838"/>
      <w:pgMar w:top="1440" w:right="1797" w:bottom="1440" w:left="1797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7194472A">
    <w:pPr>
      <w:pStyle w:val="000006"/>
      <w:tabs>
        <w:tab w:val="center" w:pos="4156"/>
        <w:tab w:val="right" w:pos="8312"/>
      </w:tabs>
    </w:pPr>
    <w:r>
      <w:tab/>
    </w:r>
    <w:r>
      <w:fldChar w:fldCharType="begin" w:fldLock="0" w:dirty="0"/>
    </w:r>
    <w:r>
      <w:instrText>PAGE</w:instrText>
    </w:r>
    <w:r>
      <w:fldChar w:fldCharType="separate" w:fldLock="0" w:dirty="0"/>
    </w:r>
    <w:r>
      <w:fldChar w:fldCharType="end" w:fldLock="0" w:dirty="0"/>
    </w:r>
    <w:r>
      <w:tab/>
    </w:r>
  </w:p>
</w:ftr>
</file>

<file path=word/numbering.xml><?xml version="1.0" encoding="utf-8"?>
<w:numbering xmlns:w="http://schemas.openxmlformats.org/wordprocessingml/2006/main">
  <w:abstractNum w:abstractNumId="0">
    <w:nsid w:val="FFFFFF89"/>
    <w:multiLevelType w:val="singleLevel"/>
    <w:tmpl w:val="29761A62"/>
    <w:lvl w:ilvl="0">
      <w:start w:val="1"/>
      <w:numFmt w:val="bullet"/>
      <w:pStyle w:val="00002c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>
    <w:nsid w:val="FFFFFF82"/>
    <w:multiLevelType w:val="singleLevel"/>
    <w:tmpl w:val="F3EAFDEC"/>
    <w:lvl w:ilvl="0">
      <w:start w:val="1"/>
      <w:numFmt w:val="bullet"/>
      <w:pStyle w:val="0000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2">
    <w:nsid w:val="FFFFFF7F"/>
    <w:multiLevelType w:val="singleLevel"/>
    <w:tmpl w:val="38441652"/>
    <w:lvl w:ilvl="0">
      <w:start w:val="1"/>
      <w:numFmt w:val="decimal"/>
      <w:pStyle w:val="000034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>
    <w:nsid w:val="FFFFFF83"/>
    <w:multiLevelType w:val="singleLevel"/>
    <w:tmpl w:val="3D1EFFD4"/>
    <w:lvl w:ilvl="0">
      <w:start w:val="1"/>
      <w:numFmt w:val="bullet"/>
      <w:pStyle w:val="00002e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D0A62B40"/>
    <w:lvl w:ilvl="0">
      <w:start w:val="1"/>
      <w:numFmt w:val="decimal"/>
      <w:pStyle w:val="00003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nsid w:val="FFFFFF7E"/>
    <w:multiLevelType w:val="singleLevel"/>
    <w:tmpl w:val="FB12693A"/>
    <w:lvl w:ilvl="0">
      <w:start w:val="1"/>
      <w:numFmt w:val="decimal"/>
      <w:pStyle w:val="000036"/>
      <w:lvlText w:val="%1."/>
      <w:lvlJc w:val="left"/>
      <w:pPr>
        <w:tabs>
          <w:tab w:val="num" w:pos="1080"/>
        </w:tabs>
        <w:ind w:left="1080" w:hanging="360"/>
      </w:pPr>
    </w:lvl>
  </w:abstractNum>
  <w:num w:numId="1">
    <w:abstractNumId w:val="4"/>
    <w:lvlOverride w:ilvl="0">
      <w:startOverride w:val="1"/>
    </w:lvlOverride>
  </w:num>
  <w:num w:numId="4">
    <w:abstractNumId w:val="0"/>
  </w:num>
  <w:num w:numId="3">
    <w:abstractNumId w:val="4"/>
    <w:lvlOverride w:ilvl="0">
      <w:startOverride w:val="1"/>
    </w:lvlOverride>
  </w:num>
  <w:num w:numId="8">
    <w:abstractNumId w:val="4"/>
  </w:num>
  <w:num w:numId="7">
    <w:abstractNumId w:val="5"/>
  </w:num>
  <w:num w:numId="9">
    <w:abstractNumId w:val="1"/>
  </w:num>
  <w:num w:numId="6">
    <w:abstractNumId w:val="3"/>
  </w:num>
  <w:num w:numId="2">
    <w:abstractNumId w:val="4"/>
    <w:lvlOverride w:ilvl="0">
      <w:startOverride w:val="1"/>
    </w:lvlOverride>
  </w:num>
  <w:num w:numId="5">
    <w:abstractNumId w:val="2"/>
  </w:num>
</w:numbering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updateFields w:val="1"/>
  <w:compat>
    <w:useFELayout w:val="1"/>
    <w:compatSetting w:name="compatibilityMode" w:uri="http://schemas.microsoft.com/office/word" w:val="14"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Medium Grid 2 Accent 5" w:uiPriority="68" w:semiHidden="0" w:unhideWhenUsed="0"/>
    <w:lsdException w:name="List Paragraph" w:uiPriority="34" w:semiHidden="0" w:unhideWhenUsed="0" w:qFormat="1"/>
    <w:lsdException w:name="toc 3" w:uiPriority="39"/>
    <w:lsdException w:name="heading 6" w:uiPriority="9" w:qFormat="1"/>
    <w:lsdException w:name="Title" w:uiPriority="10" w:semiHidden="0" w:unhideWhenUsed="0" w:qFormat="1"/>
    <w:lsdException w:name="heading 7" w:uiPriority="9" w:qFormat="1"/>
    <w:lsdException w:name="Medium Grid 1 Accent 2" w:uiPriority="67" w:semiHidden="0" w:unhideWhenUsed="0"/>
    <w:lsdException w:name="Colorful Shading Accent 5" w:uiPriority="71" w:semiHidden="0" w:unhideWhenUsed="0"/>
    <w:lsdException w:name="heading 1" w:uiPriority="9" w:semiHidden="0" w:unhideWhenUsed="0" w:qFormat="1"/>
    <w:lsdException w:name="Medium Grid 1 Accent 3" w:uiPriority="67" w:semiHidden="0" w:unhideWhenUsed="0"/>
    <w:lsdException w:name="toc 8" w:uiPriority="39"/>
    <w:lsdException w:name="Medium Grid 3 Accent 2" w:uiPriority="69" w:semiHidden="0" w:unhideWhenUsed="0"/>
    <w:lsdException w:name="Light Shading Accent 3" w:uiPriority="60" w:semiHidden="0" w:unhideWhenUsed="0"/>
    <w:lsdException w:name="Colorful Grid Accent 3" w:uiPriority="73" w:semiHidden="0" w:unhideWhenUsed="0"/>
    <w:lsdException w:name="Colorful Grid Accent 4" w:uiPriority="73" w:semiHidden="0" w:unhideWhenUsed="0"/>
    <w:lsdException w:name="Colorful Shading Accent 2" w:uiPriority="71" w:semiHidden="0" w:unhideWhenUsed="0"/>
    <w:lsdException w:name="Dark List Accent 1" w:uiPriority="70" w:semiHidden="0" w:unhideWhenUsed="0"/>
    <w:lsdException w:name="Colorful Shading Accent 6" w:uiPriority="71" w:semiHidden="0" w:unhideWhenUsed="0"/>
    <w:lsdException w:name="Light Grid Accent 2" w:uiPriority="62" w:semiHidden="0" w:unhideWhenUsed="0"/>
    <w:lsdException w:name="Light Grid Accent 3" w:uiPriority="62" w:semiHidden="0" w:unhideWhenUsed="0"/>
    <w:lsdException w:name="Light Grid" w:uiPriority="62" w:semiHidden="0" w:unhideWhenUsed="0"/>
    <w:lsdException w:name="Colorful Grid Accent 5" w:uiPriority="73" w:semiHidden="0" w:unhideWhenUsed="0"/>
    <w:lsdException w:name="Light Grid Accent 5" w:uiPriority="62" w:semiHidden="0" w:unhideWhenUsed="0"/>
    <w:lsdException w:name="toc 4" w:uiPriority="39"/>
    <w:lsdException w:name="Medium Shading 1 Accent 4" w:uiPriority="63" w:semiHidden="0" w:unhideWhenUsed="0"/>
    <w:lsdException w:name="toc 1" w:uiPriority="39"/>
    <w:lsdException w:name="caption" w:uiPriority="35" w:qFormat="1"/>
    <w:lsdException w:name="Light List" w:uiPriority="61" w:semiHidden="0" w:unhideWhenUsed="0"/>
    <w:lsdException w:name="Medium Shading 1 Accent 3" w:uiPriority="63" w:semiHidden="0" w:unhideWhenUsed="0"/>
    <w:lsdException w:name="toc 9" w:uiPriority="39"/>
    <w:lsdException w:name="Dark List Accent 2" w:uiPriority="70" w:semiHidden="0" w:unhideWhenUsed="0"/>
    <w:lsdException w:name="toc 5" w:uiPriority="39"/>
    <w:lsdException w:name="Medium Grid 3" w:uiPriority="69" w:semiHidden="0" w:unhideWhenUsed="0"/>
    <w:lsdException w:name="Light List Accent 1" w:uiPriority="61" w:semiHidden="0" w:unhideWhenUsed="0"/>
    <w:lsdException w:name="Dark List" w:uiPriority="70" w:semiHidden="0" w:unhideWhenUsed="0"/>
    <w:lsdException w:name="toc 6" w:uiPriority="39"/>
    <w:lsdException w:name="Strong" w:uiPriority="22" w:semiHidden="0" w:unhideWhenUsed="0" w:qFormat="1"/>
    <w:lsdException w:name="Medium Grid 1 Accent 5" w:uiPriority="67" w:semiHidden="0" w:unhideWhenUsed="0"/>
    <w:lsdException w:name="Light List Accent 4" w:uiPriority="61" w:semiHidden="0" w:unhideWhenUsed="0"/>
    <w:lsdException w:name="Subtitle" w:uiPriority="11" w:semiHidden="0" w:unhideWhenUsed="0" w:qFormat="1"/>
    <w:lsdException w:name="Colorful Shading Accent 4" w:uiPriority="71" w:semiHidden="0" w:unhideWhenUsed="0"/>
    <w:lsdException w:name="Medium Shading 2 Accent 1" w:uiPriority="64" w:semiHidden="0" w:unhideWhenUsed="0"/>
    <w:lsdException w:name="Placeholder Text" w:unhideWhenUsed="0"/>
    <w:lsdException w:name="Medium Shading 1 Accent 5" w:uiPriority="63" w:semiHidden="0" w:unhideWhenUsed="0"/>
    <w:lsdException w:name="Dark List Accent 4" w:uiPriority="70" w:semiHidden="0" w:unhideWhenUsed="0"/>
    <w:lsdException w:name="Normal" w:uiPriority="0" w:semiHidden="0" w:unhideWhenUsed="0" w:qFormat="1"/>
    <w:lsdException w:name="Colorful Shading Accent 1" w:uiPriority="71" w:semiHidden="0" w:unhideWhenUsed="0"/>
    <w:lsdException w:name="Light Shading" w:uiPriority="60" w:semiHidden="0" w:unhideWhenUsed="0"/>
    <w:lsdException w:name="Medium Shading 2 Accent 6" w:uiPriority="64" w:semiHidden="0" w:unhideWhenUsed="0"/>
    <w:lsdException w:name="Quote" w:uiPriority="29" w:semiHidden="0" w:unhideWhenUsed="0" w:qFormat="1"/>
    <w:lsdException w:name="Light Shading Accent 4" w:uiPriority="60" w:semiHidden="0" w:unhideWhenUsed="0"/>
    <w:lsdException w:name="Dark List Accent 3" w:uiPriority="70" w:semiHidden="0" w:unhideWhenUsed="0"/>
    <w:lsdException w:name="Medium Grid 2" w:uiPriority="68" w:semiHidden="0" w:unhideWhenUsed="0"/>
    <w:lsdException w:name="heading 5" w:uiPriority="9" w:qFormat="1"/>
    <w:lsdException w:name="TOC Heading" w:uiPriority="39" w:qFormat="1"/>
    <w:lsdException w:name="Subtle Emphasis" w:uiPriority="19" w:semiHidden="0" w:unhideWhenUsed="0" w:qFormat="1"/>
    <w:lsdException w:name="Intense Reference" w:uiPriority="32" w:semiHidden="0" w:unhideWhenUsed="0" w:qFormat="1"/>
    <w:lsdException w:name="Light List Accent 2" w:uiPriority="61" w:semiHidden="0" w:unhideWhenUsed="0"/>
    <w:lsdException w:name="Light List Accent 6" w:uiPriority="61" w:semiHidden="0" w:unhideWhenUsed="0"/>
    <w:lsdException w:name="toc 7" w:uiPriority="39"/>
    <w:lsdException w:name="Table Grid" w:uiPriority="59" w:semiHidden="0" w:unhideWhenUsed="0"/>
    <w:lsdException w:name="Default Paragraph Font" w:uiPriority="1"/>
    <w:lsdException w:name="No Spacing" w:uiPriority="1" w:semiHidden="0" w:unhideWhenUsed="0" w:qFormat="1"/>
    <w:lsdException w:name="Light List Accent 5" w:uiPriority="61" w:semiHidden="0" w:unhideWhenUsed="0"/>
    <w:lsdException w:name="Medium Grid 2 Accent 4" w:uiPriority="68" w:semiHidden="0" w:unhideWhenUsed="0"/>
    <w:lsdException w:name="Medium List 1 Accent 1" w:uiPriority="65" w:semiHidden="0" w:unhideWhenUsed="0"/>
    <w:lsdException w:name="Medium Shading 1 Accent 6" w:uiPriority="63" w:semiHidden="0" w:unhideWhenUsed="0"/>
    <w:lsdException w:name="Colorful List Accent 1" w:uiPriority="72" w:semiHidden="0" w:unhideWhenUsed="0"/>
    <w:lsdException w:name="Medium List 1 Accent 2" w:uiPriority="65" w:semiHidden="0" w:unhideWhenUsed="0"/>
    <w:lsdException w:name="Medium Grid 3 Accent 5" w:uiPriority="69" w:semiHidden="0" w:unhideWhenUsed="0"/>
    <w:lsdException w:name="Medium Grid 1 Accent 6" w:uiPriority="67" w:semiHidden="0" w:unhideWhenUsed="0"/>
    <w:lsdException w:name="Revision" w:unhideWhenUsed="0"/>
    <w:lsdException w:name="Medium Grid 2 Accent 1" w:uiPriority="68" w:semiHidden="0" w:unhideWhenUsed="0"/>
    <w:lsdException w:name="Colorful List Accent 5" w:uiPriority="72" w:semiHidden="0" w:unhideWhenUsed="0"/>
    <w:lsdException w:name="Medium List 1 Accent 4" w:uiPriority="65" w:semiHidden="0" w:unhideWhenUsed="0"/>
    <w:lsdException w:name="Light Grid Accent 1" w:uiPriority="62" w:semiHidden="0" w:unhideWhenUsed="0"/>
    <w:lsdException w:name="Medium List 1" w:uiPriority="65" w:semiHidden="0" w:unhideWhenUsed="0"/>
    <w:lsdException w:name="heading 2" w:uiPriority="9" w:qFormat="1"/>
    <w:lsdException w:name="Book Title" w:uiPriority="33" w:semiHidden="0" w:unhideWhenUsed="0" w:qFormat="1"/>
    <w:lsdException w:name="Colorful List Accent 6" w:uiPriority="72" w:semiHidden="0" w:unhideWhenUsed="0"/>
    <w:lsdException w:name="Medium Grid 1" w:uiPriority="67" w:semiHidden="0" w:unhideWhenUsed="0"/>
    <w:lsdException w:name="Medium Grid 1 Accent 1" w:uiPriority="67" w:semiHidden="0" w:unhideWhenUsed="0"/>
    <w:lsdException w:name="Medium List 1 Accent 5" w:uiPriority="65" w:semiHidden="0" w:unhideWhenUsed="0"/>
    <w:lsdException w:name="Colorful List Accent 2" w:uiPriority="72" w:semiHidden="0" w:unhideWhenUsed="0"/>
    <w:lsdException w:name="Light Grid Accent 4" w:uiPriority="62" w:semiHidden="0" w:unhideWhenUsed="0"/>
    <w:lsdException w:name="Medium Grid 3 Accent 1" w:uiPriority="69" w:semiHidden="0" w:unhideWhenUsed="0"/>
    <w:lsdException w:name="Medium Shading 2 Accent 3" w:uiPriority="64" w:semiHidden="0" w:unhideWhenUsed="0"/>
    <w:lsdException w:name="Dark List Accent 5" w:uiPriority="70" w:semiHidden="0" w:unhideWhenUsed="0"/>
    <w:lsdException w:name="Medium List 1 Accent 3" w:uiPriority="65" w:semiHidden="0" w:unhideWhenUsed="0"/>
    <w:lsdException w:name="heading 8" w:uiPriority="9" w:qFormat="1"/>
    <w:lsdException w:name="Colorful List" w:uiPriority="72" w:semiHidden="0" w:unhideWhenUsed="0"/>
    <w:lsdException w:name="Colorful Shading" w:uiPriority="71" w:semiHidden="0" w:unhideWhenUsed="0"/>
    <w:lsdException w:name="Medium List 2 Accent 1" w:uiPriority="66" w:semiHidden="0" w:unhideWhenUsed="0"/>
    <w:lsdException w:name="Medium List 2 Accent 5" w:uiPriority="66" w:semiHidden="0" w:unhideWhenUsed="0"/>
    <w:lsdException w:name="heading 3" w:uiPriority="9" w:qFormat="1"/>
    <w:lsdException w:name="Colorful List Accent 3" w:uiPriority="72" w:semiHidden="0" w:unhideWhenUsed="0"/>
    <w:lsdException w:name="Medium List 2 Accent 4" w:uiPriority="66" w:semiHidden="0" w:unhideWhenUsed="0"/>
    <w:lsdException w:name="Light List Accent 3" w:uiPriority="61" w:semiHidden="0" w:unhideWhenUsed="0"/>
    <w:lsdException w:name="Subtle Reference" w:uiPriority="31" w:semiHidden="0" w:unhideWhenUsed="0" w:qFormat="1"/>
    <w:lsdException w:name="Medium Grid 2 Accent 3" w:uiPriority="68" w:semiHidden="0" w:unhideWhenUsed="0"/>
    <w:lsdException w:name="Medium Grid 3 Accent 4" w:uiPriority="69" w:semiHidden="0" w:unhideWhenUsed="0"/>
    <w:lsdException w:name="Medium List 2 Accent 3" w:uiPriority="66" w:semiHidden="0" w:unhideWhenUsed="0"/>
    <w:lsdException w:name="Medium Grid 3 Accent 6" w:uiPriority="69" w:semiHidden="0" w:unhideWhenUsed="0"/>
    <w:lsdException w:name="Medium List 2" w:uiPriority="66" w:semiHidden="0" w:unhideWhenUsed="0"/>
    <w:lsdException w:name="Light Grid Accent 6" w:uiPriority="62" w:semiHidden="0" w:unhideWhenUsed="0"/>
    <w:lsdException w:name="Medium Grid 1 Accent 4" w:uiPriority="67" w:semiHidden="0" w:unhideWhenUsed="0"/>
    <w:lsdException w:name="Medium Grid 3 Accent 3" w:uiPriority="69" w:semiHidden="0" w:unhideWhenUsed="0"/>
    <w:lsdException w:name="Medium Shading 2" w:uiPriority="64" w:semiHidden="0" w:unhideWhenUsed="0"/>
    <w:lsdException w:name="Medium Shading 2 Accent 2" w:uiPriority="64" w:semiHidden="0" w:unhideWhenUsed="0"/>
    <w:lsdException w:name="Emphasis" w:uiPriority="20" w:semiHidden="0" w:unhideWhenUsed="0" w:qFormat="1"/>
    <w:lsdException w:name="Intense Emphasis" w:uiPriority="21" w:semiHidden="0" w:unhideWhenUsed="0" w:qFormat="1"/>
    <w:lsdException w:name="Dark List Accent 6" w:uiPriority="70" w:semiHidden="0" w:unhideWhenUsed="0"/>
    <w:lsdException w:name="toc 2" w:uiPriority="39"/>
    <w:lsdException w:name="Colorful Shading Accent 3" w:uiPriority="71" w:semiHidden="0" w:unhideWhenUsed="0"/>
    <w:lsdException w:name="Medium Shading 1" w:uiPriority="63" w:semiHidden="0" w:unhideWhenUsed="0"/>
    <w:lsdException w:name="Intense Quote" w:uiPriority="30" w:semiHidden="0" w:unhideWhenUsed="0" w:qFormat="1"/>
    <w:lsdException w:name="Medium Shading 1 Accent 1" w:uiPriority="63" w:semiHidden="0" w:unhideWhenUsed="0"/>
    <w:lsdException w:name="Colorful Grid" w:uiPriority="73" w:semiHidden="0" w:unhideWhenUsed="0"/>
    <w:lsdException w:name="Medium List 2 Accent 2" w:uiPriority="66" w:semiHidden="0" w:unhideWhenUsed="0"/>
    <w:lsdException w:name="Medium List 2 Accent 6" w:uiPriority="66" w:semiHidden="0" w:unhideWhenUsed="0"/>
    <w:lsdException w:name="Medium Grid 2 Accent 6" w:uiPriority="68" w:semiHidden="0" w:unhideWhenUsed="0"/>
    <w:lsdException w:name="heading 9" w:uiPriority="9" w:qFormat="1"/>
    <w:lsdException w:name="Light Shading Accent 1" w:uiPriority="60" w:semiHidden="0" w:unhideWhenUsed="0"/>
    <w:lsdException w:name="Colorful Grid Accent 1" w:uiPriority="73" w:semiHidden="0" w:unhideWhenUsed="0"/>
    <w:lsdException w:name="Medium Shading 2 Accent 5" w:uiPriority="64" w:semiHidden="0" w:unhideWhenUsed="0"/>
    <w:lsdException w:name="Light Shading Accent 5" w:uiPriority="60" w:semiHidden="0" w:unhideWhenUsed="0"/>
    <w:lsdException w:name="Colorful List Accent 4" w:uiPriority="72" w:semiHidden="0" w:unhideWhenUsed="0"/>
    <w:lsdException w:name="Medium Shading 2 Accent 4" w:uiPriority="64" w:semiHidden="0" w:unhideWhenUsed="0"/>
    <w:lsdException w:name="Bibliography" w:uiPriority="37"/>
    <w:lsdException w:name="heading 4" w:uiPriority="9" w:qFormat="1"/>
    <w:lsdException w:name="Light Shading Accent 6" w:uiPriority="60" w:semiHidden="0" w:unhideWhenUsed="0"/>
    <w:lsdException w:name="Colorful Grid Accent 6" w:uiPriority="73" w:semiHidden="0" w:unhideWhenUsed="0"/>
    <w:lsdException w:name="Colorful Grid Accent 2" w:uiPriority="73" w:semiHidden="0" w:unhideWhenUsed="0"/>
    <w:lsdException w:name="Light Shading Accent 2" w:uiPriority="60" w:semiHidden="0" w:unhideWhenUsed="0"/>
    <w:lsdException w:name="Medium Shading 1 Accent 2" w:uiPriority="63" w:semiHidden="0" w:unhideWhenUsed="0"/>
    <w:lsdException w:name="Medium Grid 2 Accent 2" w:uiPriority="68" w:semiHidden="0" w:unhideWhenUsed="0"/>
    <w:lsdException w:name="Medium List 1 Accent 6" w:uiPriority="65" w:semiHidden="0" w:unhideWhenUsed="0"/>
  </w:latentStyles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tbl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 w:val="1"/>
        <w:bCs w:val="1"/>
      </w:rPr>
    </w:tblStyle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shd w:val="clear" w:color="auto" w:fill="BFB1D0" w:themeFill="accent4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F2DBDB" w:themeFill="accent2" w:themeFillTint="33"/>
      </w:tcPr>
    </w:tblStylePr>
    <w:tblStylePr w:type="firstCol">
      <w:rPr>
        <w:b w:val="1"/>
        <w:bCs w:val="1"/>
      </w:rPr>
    </w:tblStyle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FDE9D9" w:themeFill="accent6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</w:style>
  <w:style w:type="numbering" w:styleId="00001b" w:default="1">
    <w:name w:val="No List"/>
    <w:uiPriority w:val="99"/>
    <w:semiHidden w:val="1"/>
    <w:unhideWhenUsed w:val="1"/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</w:rPr>
    </w:tblStylePr>
  </w:style>
  <w:style w:type="character" w:styleId="000025" w:customStyle="1">
    <w:name w:val="Body Text 2 Char"/>
    <w:basedOn w:val="000005"/>
    <w:link w:val="000024"/>
    <w:uiPriority w:val="99"/>
    <w:rsid w:val="00AA1D8D"/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</w:style>
  <w:style w:type="character" w:styleId="000005" w:default="1">
    <w:name w:val="Default Paragraph Font"/>
    <w:uiPriority w:val="1"/>
    <w:semiHidden w:val="1"/>
    <w:unhideWhenUsed w:val="1"/>
  </w:style>
  <w:style w:type="character" w:styleId="000004" w:customStyle="1">
    <w:name w:val="Header Char"/>
    <w:basedOn w:val="000005"/>
    <w:link w:val="000003"/>
    <w:uiPriority w:val="99"/>
    <w:rsid w:val="00E618BF"/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2EAF1" w:themeFill="accent5" w:themeFillTint="3F"/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336" w:after="192" w:line="265" w:lineRule="auto"/>
      <w:outlineLvl w:val="1"/>
    </w:pPr>
    <w:rPr>
      <w:rFonts w:ascii="黑体" w:hAnsi="黑体" w:eastAsia="黑体"/>
      <w:b w:val="1"/>
      <w:bCs w:val="1"/>
      <w:color w:val="1F3864"/>
      <w:sz w:val="30"/>
      <w:szCs w:val="26"/>
    </w:r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4"/>
      </w:numPr>
      <w:contextualSpacing w:val="1"/>
    </w:p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336" w:after="192" w:line="265" w:lineRule="auto"/>
      <w:outlineLvl w:val="2"/>
    </w:pPr>
    <w:rPr>
      <w:rFonts w:ascii="黑体" w:hAnsi="黑体" w:eastAsia="黑体"/>
      <w:b w:val="1"/>
      <w:bCs w:val="1"/>
      <w:color w:val="1F3864"/>
      <w:sz w:val="26"/>
    </w:r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5"/>
      </w:numPr>
      <w:contextualSpacing w:val="1"/>
    </w:p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Col">
      <w:rPr>
        <w:b w:val="1"/>
        <w:bCs w:val="1"/>
      </w:rPr>
    </w:tblStylePr>
    <w:tblStylePr w:type="band1Horz">
      <w:tblPr/>
      <w:tcPr>
        <w:shd w:val="clear" w:color="auto" w:fill="DBE5F1" w:themeFill="accent1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AEEF3" w:themeFill="accent5" w:themeFillTint="33"/>
      </w:tcPr>
    </w:tblStyle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 w:val="1"/>
        <w:bCs w:val="1"/>
      </w:r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6"/>
      </w:numPr>
      <w:contextualSpacing w:val="1"/>
    </w:p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Col">
      <w:rPr>
        <w:b w:val="1"/>
        <w:bCs w:val="1"/>
      </w:rPr>
    </w:tblStyle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7"/>
      </w:numPr>
      <w:contextualSpacing w:val="1"/>
    </w:p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</w:style>
  <w:style w:type="paragraph" w:styleId="000002" w:default="1">
    <w:name w:val="Normal"/>
    <w:qFormat w:val="1"/>
    <w:rsid w:val="00FC693F"/>
    <w:pPr>
      <w:spacing w:after="192" w:line="326" w:lineRule="auto"/>
      <w:jc w:val="both"/>
    </w:pPr>
    <w:rPr>
      <w:rFonts w:ascii="宋体" w:hAnsi="宋体" w:eastAsia="宋体"/>
      <w:color w:val="1A1A1A"/>
      <w:sz w:val="22"/>
    </w:r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8"/>
      </w:numPr>
      <w:contextualSpacing w:val="1"/>
    </w:p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firstCol">
      <w:rPr>
        <w:b w:val="1"/>
        <w:bCs w:val="1"/>
      </w:rPr>
    </w:tblStyle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neCell">
      <w:rPr>
        <w:color w:val="000000" w:themeColor="text1"/>
      </w:rPr>
    </w:tblStylePr>
    <w:tblStylePr w:type="band1Vert"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firstRow">
      <w:rPr>
        <w:b w:val="1"/>
        <w:bCs w:val="1"/>
      </w:rPr>
    </w:tblStyle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808080" w:themeFill="text1" w:themeFillTint="7F"/>
      </w:tcPr>
    </w:tblStyle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Horz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E3BC" w:themeFill="accent3" w:themeFillTint="66"/>
      </w:tcPr>
    </w:tblStyle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nwCell">
      <w:rPr>
        <w:color w:val="000000" w:themeColor="text1"/>
      </w:rPr>
    </w:tblStylePr>
    <w:tblStylePr w:type="band1Vert">
      <w:tblPr/>
      <w:tcPr>
        <w:shd w:val="clear" w:color="auto" w:fill="CCC0D9" w:themeFill="accent4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neCell">
      <w:rPr>
        <w:color w:val="000000" w:themeColor="text1"/>
      </w:rPr>
    </w:tblStyle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Horz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band1Vert">
      <w:tblPr/>
      <w:tcPr>
        <w:shd w:val="clear" w:color="auto" w:fill="999999" w:themeFill="text1" w:themeFillTint="66"/>
      </w:tcPr>
    </w:tblStyle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336" w:after="192" w:line="265" w:lineRule="auto"/>
      <w:outlineLvl w:val="3"/>
    </w:pPr>
    <w:rPr>
      <w:rFonts w:ascii="黑体" w:hAnsi="黑体" w:eastAsia="黑体"/>
      <w:b w:val="1"/>
      <w:bCs w:val="1"/>
      <w:i w:val="1"/>
      <w:iCs w:val="1"/>
      <w:color w:val="1F3864"/>
      <w:sz w:val="24"/>
    </w:r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CCCCCC" w:themeFill="text1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shd w:val="clear" w:color="auto" w:fill="A7BFDE" w:themeFill="accent1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swCell">
      <w:tblPr/>
      <w:tcPr>
        <w:tcBorders>
          <w:top w:val="nil"/>
        </w:tcBorders>
      </w:tcPr>
    </w:tblStyle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band1Horz">
      <w:tblPr/>
      <w:tcPr>
        <w:shd w:val="clear" w:color="auto" w:fill="EAF1DD" w:themeFill="accent3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band1Horz">
      <w:tblPr/>
      <w:tcPr>
        <w:shd w:val="clear" w:color="auto" w:fill="E5DFEC" w:themeFill="accent4" w:themeFillTint="33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</w:style>
  <w:style w:type="character" w:styleId="000007" w:customStyle="1">
    <w:name w:val="Footer Char"/>
    <w:basedOn w:val="000005"/>
    <w:link w:val="000006"/>
    <w:uiPriority w:val="99"/>
    <w:rsid w:val="00E618BF"/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336" w:after="192" w:line="265" w:lineRule="auto"/>
      <w:outlineLvl w:val="0"/>
    </w:pPr>
    <w:rPr>
      <w:rFonts w:ascii="黑体" w:hAnsi="黑体" w:eastAsia="黑体"/>
      <w:b w:val="1"/>
      <w:bCs w:val="1"/>
      <w:color w:val="1F3864"/>
      <w:sz w:val="52"/>
      <w:szCs w:val="28"/>
    </w:r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E6EED5" w:themeFill="accent3" w:themeFillTint="3F"/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000023" w:customStyle="1">
    <w:name w:val="Body Text Char"/>
    <w:basedOn w:val="000005"/>
    <w:link w:val="000022"/>
    <w:uiPriority w:val="99"/>
    <w:rsid w:val="00AA1D8D"/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band1Vert">
      <w:tblPr/>
      <w:tcPr>
        <w:shd w:val="clear" w:color="auto" w:fill="A5D5E2" w:themeFill="accent5" w:themeFillTint="7F"/>
      </w:tcPr>
    </w:tblStyle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FBD4B4" w:themeFill="accent6" w:themeFillTint="66"/>
      </w:tcPr>
    </w:tblStyle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9"/>
      </w:numPr>
      <w:contextualSpacing w:val="1"/>
    </w:p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4" Type="http://schemas.openxmlformats.org/officeDocument/2006/relationships/numbering" Target="numbering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5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2026-10-07T23:22:24Z</dcterms:created>
  <dcterms:modified xsi:type="dcterms:W3CDTF">2026-10-07T23:22:24Z</dcterms:modified>
</cp:coreProperties>
</file>