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rPr/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rFonts w:ascii="微软雅黑" w:hAnsi="微软雅黑" w:cs="微软雅黑"/>
          <w:b/>
          <w:bCs/>
          <w:color w:val="1F4E79"/>
          <w:sz w:val="56"/>
          <w:szCs w:val="56"/>
        </w:rPr>
        <w:t>晶振器件选型要点</w:t>
      </w:r>
    </w:p>
    <w:p>
      <w:pPr>
        <w:pStyle w:val="Normal"/>
        <w:spacing w:before="0" w:after="100"/>
        <w:jc w:val="center"/>
        <w:rPr/>
      </w:pPr>
      <w:r>
        <w:rPr>
          <w:rFonts w:eastAsia="微软雅黑" w:cs="微软雅黑"/>
          <w:color w:val="2E75B6"/>
          <w:sz w:val="26"/>
          <w:szCs w:val="26"/>
        </w:rPr>
        <w:t>Crystal Oscillator Selection Guide</w:t>
      </w:r>
    </w:p>
    <w:p>
      <w:pPr>
        <w:pStyle w:val="Normal"/>
        <w:pBdr>
          <w:top w:val="single" w:sz="12" w:space="8" w:color="2E75B6"/>
        </w:pBdr>
        <w:spacing w:before="100" w:after="400"/>
        <w:jc w:val="center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ascii="微软雅黑" w:hAnsi="微软雅黑" w:cs="微软雅黑"/>
          <w:color w:val="595959"/>
          <w:sz w:val="22"/>
          <w:szCs w:val="22"/>
        </w:rPr>
        <w:t xml:space="preserve">选型参数详解 </w:t>
      </w:r>
      <w:r>
        <w:rPr>
          <w:rFonts w:eastAsia="微软雅黑" w:cs="微软雅黑"/>
          <w:color w:val="595959"/>
          <w:sz w:val="22"/>
          <w:szCs w:val="22"/>
        </w:rPr>
        <w:t xml:space="preserve">· </w:t>
      </w:r>
      <w:r>
        <w:rPr>
          <w:rFonts w:ascii="微软雅黑" w:hAnsi="微软雅黑" w:cs="微软雅黑"/>
          <w:color w:val="595959"/>
          <w:sz w:val="22"/>
          <w:szCs w:val="22"/>
        </w:rPr>
        <w:t xml:space="preserve">器件类型对比 </w:t>
      </w:r>
      <w:r>
        <w:rPr>
          <w:rFonts w:eastAsia="微软雅黑" w:cs="微软雅黑"/>
          <w:color w:val="595959"/>
          <w:sz w:val="22"/>
          <w:szCs w:val="22"/>
        </w:rPr>
        <w:t xml:space="preserve">· </w:t>
      </w:r>
      <w:r>
        <w:rPr>
          <w:rFonts w:ascii="微软雅黑" w:hAnsi="微软雅黑" w:cs="微软雅黑"/>
          <w:color w:val="595959"/>
          <w:sz w:val="22"/>
          <w:szCs w:val="22"/>
        </w:rPr>
        <w:t xml:space="preserve">选型流程与检查清单 </w:t>
      </w:r>
      <w:r>
        <w:rPr>
          <w:rFonts w:eastAsia="微软雅黑" w:cs="微软雅黑"/>
          <w:color w:val="595959"/>
          <w:sz w:val="22"/>
          <w:szCs w:val="22"/>
        </w:rPr>
        <w:t xml:space="preserve">· </w:t>
      </w:r>
      <w:r>
        <w:rPr>
          <w:rFonts w:ascii="微软雅黑" w:hAnsi="微软雅黑" w:cs="微软雅黑"/>
          <w:color w:val="595959"/>
          <w:sz w:val="22"/>
          <w:szCs w:val="22"/>
        </w:rPr>
        <w:t>常见问题与避坑</w:t>
      </w:r>
    </w:p>
    <w:p>
      <w:pPr>
        <w:pStyle w:val="Normal"/>
        <w:spacing w:before="1400" w:after="60"/>
        <w:jc w:val="center"/>
        <w:rPr/>
      </w:pPr>
      <w:r>
        <w:rPr>
          <w:rFonts w:ascii="微软雅黑" w:hAnsi="微软雅黑" w:cs="微软雅黑"/>
          <w:color w:val="808080"/>
          <w:sz w:val="20"/>
          <w:szCs w:val="20"/>
        </w:rPr>
        <w:t xml:space="preserve">适用范围：通用 </w:t>
      </w:r>
      <w:r>
        <w:rPr>
          <w:rFonts w:eastAsia="微软雅黑" w:cs="微软雅黑"/>
          <w:color w:val="808080"/>
          <w:sz w:val="20"/>
          <w:szCs w:val="20"/>
        </w:rPr>
        <w:t xml:space="preserve">/ </w:t>
      </w:r>
      <w:r>
        <w:rPr>
          <w:rFonts w:ascii="微软雅黑" w:hAnsi="微软雅黑" w:cs="微软雅黑"/>
          <w:color w:val="808080"/>
          <w:sz w:val="20"/>
          <w:szCs w:val="20"/>
        </w:rPr>
        <w:t>综合（消费电子、工业控制、通信设备、汽车电子）</w:t>
      </w:r>
    </w:p>
    <w:p>
      <w:pPr>
        <w:pStyle w:val="Normal"/>
        <w:spacing w:before="0" w:after="60"/>
        <w:jc w:val="center"/>
        <w:rPr/>
      </w:pPr>
      <w:r>
        <w:rPr>
          <w:rFonts w:ascii="微软雅黑" w:hAnsi="微软雅黑" w:cs="微软雅黑"/>
          <w:color w:val="808080"/>
          <w:sz w:val="20"/>
          <w:szCs w:val="20"/>
        </w:rPr>
        <w:t>版本：</w:t>
      </w:r>
      <w:r>
        <w:rPr>
          <w:rFonts w:eastAsia="微软雅黑" w:cs="微软雅黑"/>
          <w:color w:val="808080"/>
          <w:sz w:val="20"/>
          <w:szCs w:val="20"/>
        </w:rPr>
        <w:t xml:space="preserve">V1.0    </w:t>
      </w:r>
      <w:r>
        <w:rPr>
          <w:rFonts w:ascii="微软雅黑" w:hAnsi="微软雅黑" w:cs="微软雅黑"/>
          <w:color w:val="808080"/>
          <w:sz w:val="20"/>
          <w:szCs w:val="20"/>
        </w:rPr>
        <w:t>编制日期：</w:t>
      </w:r>
      <w:r>
        <w:rPr>
          <w:rFonts w:eastAsia="微软雅黑" w:cs="微软雅黑"/>
          <w:color w:val="808080"/>
          <w:sz w:val="20"/>
          <w:szCs w:val="20"/>
        </w:rPr>
        <w:t xml:space="preserve">2026 </w:t>
      </w:r>
      <w:r>
        <w:rPr>
          <w:rFonts w:ascii="微软雅黑" w:hAnsi="微软雅黑" w:cs="微软雅黑"/>
          <w:color w:val="808080"/>
          <w:sz w:val="20"/>
          <w:szCs w:val="20"/>
        </w:rPr>
        <w:t xml:space="preserve">年 </w:t>
      </w:r>
      <w:r>
        <w:rPr>
          <w:rFonts w:eastAsia="微软雅黑" w:cs="微软雅黑"/>
          <w:color w:val="808080"/>
          <w:sz w:val="20"/>
          <w:szCs w:val="20"/>
        </w:rPr>
        <w:t xml:space="preserve">10 </w:t>
      </w:r>
      <w:r>
        <w:rPr>
          <w:rFonts w:ascii="微软雅黑" w:hAnsi="微软雅黑" w:cs="微软雅黑"/>
          <w:color w:val="808080"/>
          <w:sz w:val="20"/>
          <w:szCs w:val="20"/>
        </w:rPr>
        <w:t>月</w:t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spacing w:before="320" w:after="180"/>
        <w:rPr/>
      </w:pPr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672_3864317689">
            <w:r>
              <w:rPr>
                <w:rStyle w:val="IndexLink"/>
              </w:rPr>
              <w:t>一、概述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74_3864317689">
            <w:r>
              <w:rPr>
                <w:rStyle w:val="IndexLink"/>
              </w:rPr>
              <w:t>二、晶振选型核心参数详解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76_3864317689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关键参数速查表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78_3864317689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频率容差与稳定度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80_3864317689">
            <w:r>
              <w:rPr>
                <w:rStyle w:val="IndexLink"/>
              </w:rPr>
              <w:t xml:space="preserve">2.3 </w:t>
            </w:r>
            <w:r>
              <w:rPr>
                <w:rStyle w:val="IndexLink"/>
              </w:rPr>
              <w:t>负载电容（</w:t>
            </w:r>
            <w:r>
              <w:rPr>
                <w:rStyle w:val="IndexLink"/>
              </w:rPr>
              <w:t>CL</w:t>
            </w:r>
            <w:r>
              <w:rPr>
                <w:rStyle w:val="IndexLink"/>
              </w:rPr>
              <w:t>）与匹配电容计算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82_3864317689">
            <w:r>
              <w:rPr>
                <w:rStyle w:val="IndexLink"/>
              </w:rPr>
              <w:t xml:space="preserve">2.4 </w:t>
            </w:r>
            <w:r>
              <w:rPr>
                <w:rStyle w:val="IndexLink"/>
              </w:rPr>
              <w:t>等效串联电阻（</w:t>
            </w:r>
            <w:r>
              <w:rPr>
                <w:rStyle w:val="IndexLink"/>
              </w:rPr>
              <w:t>ESR</w:t>
            </w:r>
            <w:r>
              <w:rPr>
                <w:rStyle w:val="IndexLink"/>
              </w:rPr>
              <w:t>）与驱动功率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84_3864317689">
            <w:r>
              <w:rPr>
                <w:rStyle w:val="IndexLink"/>
              </w:rPr>
              <w:t xml:space="preserve">2.5 </w:t>
            </w:r>
            <w:r>
              <w:rPr>
                <w:rStyle w:val="IndexLink"/>
              </w:rPr>
              <w:t>其他重要参数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86_3864317689">
            <w:r>
              <w:rPr>
                <w:rStyle w:val="IndexLink"/>
              </w:rPr>
              <w:t>三、器件类型对比与选型定位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88_3864317689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主流器件类型对比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0_3864317689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 xml:space="preserve">无源 </w:t>
            </w:r>
            <w:r>
              <w:rPr>
                <w:rStyle w:val="IndexLink"/>
              </w:rPr>
              <w:t xml:space="preserve">vs </w:t>
            </w:r>
            <w:r>
              <w:rPr>
                <w:rStyle w:val="IndexLink"/>
              </w:rPr>
              <w:t>有源：如何决断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2_3864317689">
            <w:r>
              <w:rPr>
                <w:rStyle w:val="IndexLink"/>
              </w:rPr>
              <w:t xml:space="preserve">3.3 </w:t>
            </w:r>
            <w:r>
              <w:rPr>
                <w:rStyle w:val="IndexLink"/>
              </w:rPr>
              <w:t>稳定性等级与切型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694_3864317689">
            <w:r>
              <w:rPr>
                <w:rStyle w:val="IndexLink"/>
              </w:rPr>
              <w:t>四、选型流程与检查清单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6_3864317689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六步选型流程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698_3864317689">
            <w:r>
              <w:rPr>
                <w:rStyle w:val="IndexLink"/>
              </w:rPr>
              <w:t xml:space="preserve">4.2 </w:t>
            </w:r>
            <w:r>
              <w:rPr>
                <w:rStyle w:val="IndexLink"/>
              </w:rPr>
              <w:t>选型决策检查清单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0_3864317689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常见频率与封装速查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02_3864317689">
            <w:r>
              <w:rPr>
                <w:rStyle w:val="IndexLink"/>
              </w:rPr>
              <w:t>五、常见问题与避坑指南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4_3864317689">
            <w:r>
              <w:rPr>
                <w:rStyle w:val="IndexLink"/>
              </w:rPr>
              <w:t xml:space="preserve">5.1 </w:t>
            </w:r>
            <w:r>
              <w:rPr>
                <w:rStyle w:val="IndexLink"/>
              </w:rPr>
              <w:t>起振失败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6_3864317689">
            <w:r>
              <w:rPr>
                <w:rStyle w:val="IndexLink"/>
              </w:rPr>
              <w:t xml:space="preserve">5.2 </w:t>
            </w:r>
            <w:r>
              <w:rPr>
                <w:rStyle w:val="IndexLink"/>
              </w:rPr>
              <w:t>频率系统性偏大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偏小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08_3864317689">
            <w:r>
              <w:rPr>
                <w:rStyle w:val="IndexLink"/>
              </w:rPr>
              <w:t xml:space="preserve">5.3 </w:t>
            </w:r>
            <w:r>
              <w:rPr>
                <w:rStyle w:val="IndexLink"/>
              </w:rPr>
              <w:t>功耗与驱动功率超限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0_3864317689">
            <w:r>
              <w:rPr>
                <w:rStyle w:val="IndexLink"/>
              </w:rPr>
              <w:t xml:space="preserve">5.4 PCB </w:t>
            </w:r>
            <w:r>
              <w:rPr>
                <w:rStyle w:val="IndexLink"/>
              </w:rPr>
              <w:t>布局与走线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2_3864317689">
            <w:r>
              <w:rPr>
                <w:rStyle w:val="IndexLink"/>
              </w:rPr>
              <w:t xml:space="preserve">5.5 </w:t>
            </w:r>
            <w:r>
              <w:rPr>
                <w:rStyle w:val="IndexLink"/>
              </w:rPr>
              <w:t>温度与老化问题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4_3864317689">
            <w:r>
              <w:rPr>
                <w:rStyle w:val="IndexLink"/>
              </w:rPr>
              <w:t xml:space="preserve">5.6 </w:t>
            </w:r>
            <w:r>
              <w:rPr>
                <w:rStyle w:val="IndexLink"/>
              </w:rPr>
              <w:t>封装与工艺问题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716_3864317689">
            <w:r>
              <w:rPr>
                <w:rStyle w:val="IndexLink"/>
              </w:rPr>
              <w:t xml:space="preserve">5.7 </w:t>
            </w:r>
            <w:r>
              <w:rPr>
                <w:rStyle w:val="IndexLink"/>
              </w:rPr>
              <w:t>供应链与一致性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18_3864317689">
            <w:r>
              <w:rPr>
                <w:rStyle w:val="IndexLink"/>
              </w:rPr>
              <w:t>六、总结</w:t>
            </w:r>
            <w:r>
              <w:rPr>
                <w:rStyle w:val="IndexLink"/>
              </w:rPr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exact" w:line="300" w:before="0" w:after="0"/>
        <w:jc w:val="left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80"/>
        <w:rPr/>
      </w:pPr>
      <w:bookmarkStart w:id="0" w:name="__RefHeading___Toc672_3864317689"/>
      <w:bookmarkEnd w:id="0"/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一、概述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晶振（晶体振荡器）是电子系统中提供基准时钟与频率参考的核心器件，被称为电子设备的“心脏”。其性能直接决定系统的通信质量、计时精度、功耗表现与可靠性。晶振选型看似简单，实则需要同时权衡频率精度、温度稳定性、负载匹配、驱动功率、封装尺寸、成本与供应链等十多个维度，是硬件设计中高频出错的环节之一。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本指南面向通用硬件设计场景，从参数解读、类型对比、选型流程到常见陷阱，提供一套可落地的选型方法论，帮助研发工程师快速、准确地完成晶振选型，降低设计返工与量产风险。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b/>
          <w:bCs/>
          <w:color w:val="1F4E79"/>
          <w:sz w:val="21"/>
          <w:szCs w:val="21"/>
        </w:rPr>
        <w:t>核心观点：</w:t>
      </w:r>
      <w:r>
        <w:rPr>
          <w:rFonts w:ascii="微软雅黑" w:hAnsi="微软雅黑" w:cs="微软雅黑"/>
          <w:sz w:val="21"/>
          <w:szCs w:val="21"/>
        </w:rPr>
        <w:t>晶振选型不是“挑一个频率对的就行”，而是要回答三个问题——</w:t>
      </w:r>
      <w:r>
        <w:rPr>
          <w:rFonts w:ascii="微软雅黑" w:hAnsi="微软雅黑" w:cs="微软雅黑"/>
          <w:b/>
          <w:bCs/>
          <w:sz w:val="21"/>
          <w:szCs w:val="21"/>
        </w:rPr>
        <w:t>精度够不够（频率与稳定度）</w:t>
      </w:r>
      <w:r>
        <w:rPr>
          <w:rFonts w:ascii="微软雅黑" w:hAnsi="微软雅黑" w:cs="微软雅黑"/>
          <w:sz w:val="21"/>
          <w:szCs w:val="21"/>
        </w:rPr>
        <w:t>、</w:t>
      </w:r>
      <w:r>
        <w:rPr>
          <w:rFonts w:ascii="微软雅黑" w:hAnsi="微软雅黑" w:cs="微软雅黑"/>
          <w:b/>
          <w:bCs/>
          <w:sz w:val="21"/>
          <w:szCs w:val="21"/>
        </w:rPr>
        <w:t>能不能稳定起振（电路匹配）</w:t>
      </w:r>
      <w:r>
        <w:rPr>
          <w:rFonts w:ascii="微软雅黑" w:hAnsi="微软雅黑" w:cs="微软雅黑"/>
          <w:sz w:val="21"/>
          <w:szCs w:val="21"/>
        </w:rPr>
        <w:t>、</w:t>
      </w:r>
      <w:r>
        <w:rPr>
          <w:rFonts w:ascii="微软雅黑" w:hAnsi="微软雅黑" w:cs="微软雅黑"/>
          <w:b/>
          <w:bCs/>
          <w:sz w:val="21"/>
          <w:szCs w:val="21"/>
        </w:rPr>
        <w:t>能不能长期一致（可靠性与供应链）</w:t>
      </w:r>
      <w:r>
        <w:rPr>
          <w:rFonts w:ascii="微软雅黑" w:hAnsi="微软雅黑" w:cs="微软雅黑"/>
          <w:sz w:val="21"/>
          <w:szCs w:val="21"/>
        </w:rPr>
        <w:t>。</w:t>
      </w:r>
    </w:p>
    <w:p>
      <w:pPr>
        <w:pStyle w:val="Heading1"/>
        <w:spacing w:before="320" w:after="180"/>
        <w:rPr/>
      </w:pPr>
      <w:bookmarkStart w:id="1" w:name="__RefHeading___Toc674_3864317689"/>
      <w:bookmarkEnd w:id="1"/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二、晶振选型核心参数详解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选型时必须逐项确认以下参数，任何一项被忽略都可能导致批量失效。参数按重要性分为“决定性参数”和“约束性参数”两类。</w:t>
      </w:r>
    </w:p>
    <w:p>
      <w:pPr>
        <w:pStyle w:val="Heading2"/>
        <w:spacing w:before="240" w:after="140"/>
        <w:rPr/>
      </w:pPr>
      <w:bookmarkStart w:id="2" w:name="__RefHeading___Toc676_3864317689"/>
      <w:bookmarkEnd w:id="2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2.1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关键参数速查表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900"/>
        <w:gridCol w:w="2399"/>
        <w:gridCol w:w="2300"/>
        <w:gridCol w:w="2760"/>
      </w:tblGrid>
      <w:tr>
        <w:trPr>
          <w:tblHeader w:val="true"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参数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典型取值</w:t>
            </w:r>
            <w:r>
              <w:rPr>
                <w:rFonts w:eastAsia="微软雅黑" w:cs="微软雅黑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范围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选型关注点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标称频率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器件设计中心频率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32.768 kHz ~ 200 MHz+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必须与芯片时钟输入需求精确匹配；常见 </w:t>
            </w:r>
            <w:r>
              <w:rPr>
                <w:rFonts w:eastAsia="微软雅黑" w:cs="微软雅黑"/>
                <w:sz w:val="19"/>
                <w:szCs w:val="19"/>
              </w:rPr>
              <w:t>8/12/16/24/25/26/32 MHz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频率容差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25℃ </w:t>
            </w:r>
            <w:r>
              <w:rPr>
                <w:rFonts w:ascii="微软雅黑" w:hAnsi="微软雅黑" w:cs="微软雅黑"/>
                <w:sz w:val="19"/>
                <w:szCs w:val="19"/>
              </w:rPr>
              <w:t>下相对标称频率的最大偏差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±10 ppm ~ ±50 ppm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常温精度基准，消费类常取 </w:t>
            </w:r>
            <w:r>
              <w:rPr>
                <w:rFonts w:eastAsia="微软雅黑" w:cs="微软雅黑"/>
                <w:sz w:val="19"/>
                <w:szCs w:val="19"/>
              </w:rPr>
              <w:t>±20 ppm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频率稳定度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全温度范围内频率漂移量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±10 ppm ~ ±100 ppm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工业</w:t>
            </w:r>
            <w:r>
              <w:rPr>
                <w:rFonts w:eastAsia="微软雅黑" w:cs="微软雅黑"/>
                <w:sz w:val="19"/>
                <w:szCs w:val="19"/>
              </w:rPr>
              <w:t>/</w:t>
            </w:r>
            <w:r>
              <w:rPr>
                <w:rFonts w:ascii="微软雅黑" w:hAnsi="微软雅黑" w:cs="微软雅黑"/>
                <w:sz w:val="19"/>
                <w:szCs w:val="19"/>
              </w:rPr>
              <w:t>车规要求更严，</w:t>
            </w:r>
            <w:r>
              <w:rPr>
                <w:rFonts w:eastAsia="微软雅黑" w:cs="微软雅黑"/>
                <w:sz w:val="19"/>
                <w:szCs w:val="19"/>
              </w:rPr>
              <w:t xml:space="preserve">-40~+85℃ </w:t>
            </w:r>
            <w:r>
              <w:rPr>
                <w:rFonts w:ascii="微软雅黑" w:hAnsi="微软雅黑" w:cs="微软雅黑"/>
                <w:sz w:val="19"/>
                <w:szCs w:val="19"/>
              </w:rPr>
              <w:t>常需 ≤</w:t>
            </w:r>
            <w:r>
              <w:rPr>
                <w:rFonts w:eastAsia="微软雅黑" w:cs="微软雅黑"/>
                <w:sz w:val="19"/>
                <w:szCs w:val="19"/>
              </w:rPr>
              <w:t>±30 ppm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负载电容 </w:t>
            </w:r>
            <w:r>
              <w:rPr>
                <w:rFonts w:eastAsia="微软雅黑" w:cs="微软雅黑"/>
                <w:sz w:val="19"/>
                <w:szCs w:val="19"/>
              </w:rPr>
              <w:t>CL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晶振需外接的等效电容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6 / 8 / 10 / 12 / 16 / 20 pF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必须与规格书一致，否则频率被拉偏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等效串联电阻 </w:t>
            </w:r>
            <w:r>
              <w:rPr>
                <w:rFonts w:eastAsia="微软雅黑" w:cs="微软雅黑"/>
                <w:sz w:val="19"/>
                <w:szCs w:val="19"/>
              </w:rPr>
              <w:t>ESR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谐振点阻抗，衡量起振难易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30 kΩ</w:t>
            </w:r>
            <w:r>
              <w:rPr>
                <w:rFonts w:ascii="微软雅黑" w:hAnsi="微软雅黑" w:cs="微软雅黑"/>
                <w:sz w:val="19"/>
                <w:szCs w:val="19"/>
              </w:rPr>
              <w:t>（</w:t>
            </w:r>
            <w:r>
              <w:rPr>
                <w:rFonts w:eastAsia="微软雅黑" w:cs="微软雅黑"/>
                <w:sz w:val="19"/>
                <w:szCs w:val="19"/>
              </w:rPr>
              <w:t>32.768k</w:t>
            </w:r>
            <w:r>
              <w:rPr>
                <w:rFonts w:ascii="微软雅黑" w:hAnsi="微软雅黑" w:cs="微软雅黑"/>
                <w:sz w:val="19"/>
                <w:szCs w:val="19"/>
              </w:rPr>
              <w:t>）</w:t>
            </w:r>
            <w:r>
              <w:rPr>
                <w:rFonts w:eastAsia="微软雅黑" w:cs="微软雅黑"/>
                <w:sz w:val="19"/>
                <w:szCs w:val="19"/>
              </w:rPr>
              <w:t xml:space="preserve">~ </w:t>
            </w:r>
            <w:r>
              <w:rPr>
                <w:rFonts w:ascii="微软雅黑" w:hAnsi="微软雅黑" w:cs="微软雅黑"/>
                <w:sz w:val="19"/>
                <w:szCs w:val="19"/>
              </w:rPr>
              <w:t xml:space="preserve">数十 </w:t>
            </w:r>
            <w:r>
              <w:rPr>
                <w:rFonts w:eastAsia="微软雅黑" w:cs="微软雅黑"/>
                <w:sz w:val="19"/>
                <w:szCs w:val="19"/>
              </w:rPr>
              <w:t>Ω</w:t>
            </w:r>
            <w:r>
              <w:rPr>
                <w:rFonts w:ascii="微软雅黑" w:hAnsi="微软雅黑" w:cs="微软雅黑"/>
                <w:sz w:val="19"/>
                <w:szCs w:val="19"/>
              </w:rPr>
              <w:t>（</w:t>
            </w:r>
            <w:r>
              <w:rPr>
                <w:rFonts w:eastAsia="微软雅黑" w:cs="微软雅黑"/>
                <w:sz w:val="19"/>
                <w:szCs w:val="19"/>
              </w:rPr>
              <w:t>MHz</w:t>
            </w:r>
            <w:r>
              <w:rPr>
                <w:rFonts w:ascii="微软雅黑" w:hAnsi="微软雅黑" w:cs="微软雅黑"/>
                <w:sz w:val="19"/>
                <w:szCs w:val="19"/>
              </w:rPr>
              <w:t>）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ESR </w:t>
            </w:r>
            <w:r>
              <w:rPr>
                <w:rFonts w:ascii="微软雅黑" w:hAnsi="微软雅黑" w:cs="微软雅黑"/>
                <w:sz w:val="19"/>
                <w:szCs w:val="19"/>
              </w:rPr>
              <w:t>越小越易起振；过大导致启动失败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驱动功率 </w:t>
            </w:r>
            <w:r>
              <w:rPr>
                <w:rFonts w:eastAsia="微软雅黑" w:cs="微软雅黑"/>
                <w:sz w:val="19"/>
                <w:szCs w:val="19"/>
              </w:rPr>
              <w:t>DL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晶振工作时的功耗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1 µW ~ 100 µW</w:t>
            </w:r>
            <w:r>
              <w:rPr>
                <w:rFonts w:ascii="微软雅黑" w:hAnsi="微软雅黑" w:cs="微软雅黑"/>
                <w:sz w:val="19"/>
                <w:szCs w:val="19"/>
              </w:rPr>
              <w:t>（无源）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过高会加速老化甚至损坏晶振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工作温度范围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可正常工作的环境温度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-20~+70℃ / -40~+85℃ / -40~+125℃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按最恶劣使用环境选，车规必须 </w:t>
            </w:r>
            <w:r>
              <w:rPr>
                <w:rFonts w:eastAsia="微软雅黑" w:cs="微软雅黑"/>
                <w:sz w:val="19"/>
                <w:szCs w:val="19"/>
              </w:rPr>
              <w:t>-40~+125℃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老化率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单位时间频率的长期漂移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±3 ppm/</w:t>
            </w:r>
            <w:r>
              <w:rPr>
                <w:rFonts w:ascii="微软雅黑" w:hAnsi="微软雅黑" w:cs="微软雅黑"/>
                <w:sz w:val="19"/>
                <w:szCs w:val="19"/>
              </w:rPr>
              <w:t>年（无源）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影响长期计时精度，工业级更优</w:t>
            </w:r>
          </w:p>
        </w:tc>
      </w:tr>
      <w:tr>
        <w:trPr/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封装尺寸</w:t>
            </w:r>
          </w:p>
        </w:tc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物理外形与焊盘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1612 / 2016 / 2520 / 3225 / 5032</w:t>
            </w:r>
          </w:p>
        </w:tc>
        <w:tc>
          <w:tcPr>
            <w:tcW w:w="2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空间受限选小封装，但小封装驱动力更弱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40"/>
        <w:rPr/>
      </w:pPr>
      <w:bookmarkStart w:id="3" w:name="__RefHeading___Toc678_3864317689"/>
      <w:bookmarkEnd w:id="3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2.2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频率容差与稳定度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两者常被混淆，必须明确区分：</w:t>
      </w:r>
    </w:p>
    <w:p>
      <w:pPr>
        <w:pStyle w:val="ListParagraph"/>
        <w:numPr>
          <w:ilvl w:val="0"/>
          <w:numId w:val="5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频率容差（</w:t>
      </w:r>
      <w:r>
        <w:rPr>
          <w:rFonts w:eastAsia="微软雅黑" w:cs="微软雅黑"/>
          <w:b/>
          <w:bCs/>
          <w:sz w:val="21"/>
          <w:szCs w:val="21"/>
        </w:rPr>
        <w:t>Tolerance</w:t>
      </w:r>
      <w:r>
        <w:rPr>
          <w:rFonts w:ascii="微软雅黑" w:hAnsi="微软雅黑" w:cs="微软雅黑"/>
          <w:b/>
          <w:bCs/>
          <w:sz w:val="21"/>
          <w:szCs w:val="21"/>
        </w:rPr>
        <w:t>）</w:t>
      </w:r>
      <w:r>
        <w:rPr>
          <w:rFonts w:ascii="微软雅黑" w:hAnsi="微软雅黑" w:cs="微软雅黑"/>
          <w:sz w:val="21"/>
          <w:szCs w:val="21"/>
        </w:rPr>
        <w:t xml:space="preserve">：仅指 </w:t>
      </w:r>
      <w:r>
        <w:rPr>
          <w:rFonts w:eastAsia="微软雅黑" w:cs="微软雅黑"/>
          <w:sz w:val="21"/>
          <w:szCs w:val="21"/>
        </w:rPr>
        <w:t xml:space="preserve">25℃ </w:t>
      </w:r>
      <w:r>
        <w:rPr>
          <w:rFonts w:ascii="微软雅黑" w:hAnsi="微软雅黑" w:cs="微软雅黑"/>
          <w:sz w:val="21"/>
          <w:szCs w:val="21"/>
        </w:rPr>
        <w:t>常温下的初始偏差，通常由生产调校决定。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频率稳定度（</w:t>
      </w:r>
      <w:r>
        <w:rPr>
          <w:rFonts w:eastAsia="微软雅黑" w:cs="微软雅黑"/>
          <w:b/>
          <w:bCs/>
          <w:sz w:val="21"/>
          <w:szCs w:val="21"/>
        </w:rPr>
        <w:t>Stability</w:t>
      </w:r>
      <w:r>
        <w:rPr>
          <w:rFonts w:ascii="微软雅黑" w:hAnsi="微软雅黑" w:cs="微软雅黑"/>
          <w:b/>
          <w:bCs/>
          <w:sz w:val="21"/>
          <w:szCs w:val="21"/>
        </w:rPr>
        <w:t>）</w:t>
      </w:r>
      <w:r>
        <w:rPr>
          <w:rFonts w:ascii="微软雅黑" w:hAnsi="微软雅黑" w:cs="微软雅黑"/>
          <w:sz w:val="21"/>
          <w:szCs w:val="21"/>
        </w:rPr>
        <w:t xml:space="preserve">：指在规定温度范围内（如 </w:t>
      </w:r>
      <w:r>
        <w:rPr>
          <w:rFonts w:eastAsia="微软雅黑" w:cs="微软雅黑"/>
          <w:sz w:val="21"/>
          <w:szCs w:val="21"/>
        </w:rPr>
        <w:t>-40~+85℃</w:t>
      </w:r>
      <w:r>
        <w:rPr>
          <w:rFonts w:ascii="微软雅黑" w:hAnsi="微软雅黑" w:cs="微软雅黑"/>
          <w:sz w:val="21"/>
          <w:szCs w:val="21"/>
        </w:rPr>
        <w:t xml:space="preserve">）相对 </w:t>
      </w:r>
      <w:r>
        <w:rPr>
          <w:rFonts w:eastAsia="微软雅黑" w:cs="微软雅黑"/>
          <w:sz w:val="21"/>
          <w:szCs w:val="21"/>
        </w:rPr>
        <w:t xml:space="preserve">25℃ </w:t>
      </w:r>
      <w:r>
        <w:rPr>
          <w:rFonts w:ascii="微软雅黑" w:hAnsi="微软雅黑" w:cs="微软雅黑"/>
          <w:sz w:val="21"/>
          <w:szCs w:val="21"/>
        </w:rPr>
        <w:t>的频率漂移量。无源晶振的稳定度主要取决于晶体切型（</w:t>
      </w:r>
      <w:r>
        <w:rPr>
          <w:rFonts w:eastAsia="微软雅黑" w:cs="微软雅黑"/>
          <w:sz w:val="21"/>
          <w:szCs w:val="21"/>
        </w:rPr>
        <w:t xml:space="preserve">AT </w:t>
      </w:r>
      <w:r>
        <w:rPr>
          <w:rFonts w:ascii="微软雅黑" w:hAnsi="微软雅黑" w:cs="微软雅黑"/>
          <w:sz w:val="21"/>
          <w:szCs w:val="21"/>
        </w:rPr>
        <w:t>切</w:t>
      </w:r>
      <w:r>
        <w:rPr>
          <w:rFonts w:eastAsia="微软雅黑" w:cs="微软雅黑"/>
          <w:sz w:val="21"/>
          <w:szCs w:val="21"/>
        </w:rPr>
        <w:t>/</w:t>
      </w:r>
      <w:r>
        <w:rPr>
          <w:rFonts w:ascii="微软雅黑" w:hAnsi="微软雅黑" w:cs="微软雅黑"/>
          <w:sz w:val="21"/>
          <w:szCs w:val="21"/>
        </w:rPr>
        <w:t>音叉型）。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b/>
          <w:bCs/>
          <w:sz w:val="21"/>
          <w:szCs w:val="21"/>
        </w:rPr>
        <w:t xml:space="preserve">综合精度 </w:t>
      </w:r>
      <w:r>
        <w:rPr>
          <w:rFonts w:eastAsia="微软雅黑" w:cs="微软雅黑"/>
          <w:b/>
          <w:bCs/>
          <w:sz w:val="21"/>
          <w:szCs w:val="21"/>
        </w:rPr>
        <w:t xml:space="preserve">= </w:t>
      </w:r>
      <w:r>
        <w:rPr>
          <w:rFonts w:ascii="微软雅黑" w:hAnsi="微软雅黑" w:cs="微软雅黑"/>
          <w:sz w:val="21"/>
          <w:szCs w:val="21"/>
        </w:rPr>
        <w:t xml:space="preserve">初始容差 </w:t>
      </w:r>
      <w:r>
        <w:rPr>
          <w:rFonts w:eastAsia="微软雅黑" w:cs="微软雅黑"/>
          <w:sz w:val="21"/>
          <w:szCs w:val="21"/>
        </w:rPr>
        <w:t xml:space="preserve">+ </w:t>
      </w:r>
      <w:r>
        <w:rPr>
          <w:rFonts w:ascii="微软雅黑" w:hAnsi="微软雅黑" w:cs="微软雅黑"/>
          <w:sz w:val="21"/>
          <w:szCs w:val="21"/>
        </w:rPr>
        <w:t xml:space="preserve">温度漂移 </w:t>
      </w:r>
      <w:r>
        <w:rPr>
          <w:rFonts w:eastAsia="微软雅黑" w:cs="微软雅黑"/>
          <w:sz w:val="21"/>
          <w:szCs w:val="21"/>
        </w:rPr>
        <w:t xml:space="preserve">+ </w:t>
      </w:r>
      <w:r>
        <w:rPr>
          <w:rFonts w:ascii="微软雅黑" w:hAnsi="微软雅黑" w:cs="微软雅黑"/>
          <w:sz w:val="21"/>
          <w:szCs w:val="21"/>
        </w:rPr>
        <w:t xml:space="preserve">老化 </w:t>
      </w:r>
      <w:r>
        <w:rPr>
          <w:rFonts w:eastAsia="微软雅黑" w:cs="微软雅黑"/>
          <w:sz w:val="21"/>
          <w:szCs w:val="21"/>
        </w:rPr>
        <w:t xml:space="preserve">+ </w:t>
      </w:r>
      <w:r>
        <w:rPr>
          <w:rFonts w:ascii="微软雅黑" w:hAnsi="微软雅黑" w:cs="微软雅黑"/>
          <w:sz w:val="21"/>
          <w:szCs w:val="21"/>
        </w:rPr>
        <w:t xml:space="preserve">负载偏差 </w:t>
      </w:r>
      <w:r>
        <w:rPr>
          <w:rFonts w:eastAsia="微软雅黑" w:cs="微软雅黑"/>
          <w:sz w:val="21"/>
          <w:szCs w:val="21"/>
        </w:rPr>
        <w:t xml:space="preserve">+ </w:t>
      </w:r>
      <w:r>
        <w:rPr>
          <w:rFonts w:ascii="微软雅黑" w:hAnsi="微软雅黑" w:cs="微软雅黑"/>
          <w:sz w:val="21"/>
          <w:szCs w:val="21"/>
        </w:rPr>
        <w:t>电压</w:t>
      </w:r>
      <w:r>
        <w:rPr>
          <w:rFonts w:eastAsia="微软雅黑" w:cs="微软雅黑"/>
          <w:sz w:val="21"/>
          <w:szCs w:val="21"/>
        </w:rPr>
        <w:t>/</w:t>
      </w:r>
      <w:r>
        <w:rPr>
          <w:rFonts w:ascii="微软雅黑" w:hAnsi="微软雅黑" w:cs="微软雅黑"/>
          <w:sz w:val="21"/>
          <w:szCs w:val="21"/>
        </w:rPr>
        <w:t xml:space="preserve">负载变化。工程上评估系统实际计时误差时，必须把这些分量叠加，而不是只看规格书首页的 </w:t>
      </w:r>
      <w:r>
        <w:rPr>
          <w:rFonts w:eastAsia="微软雅黑" w:cs="微软雅黑"/>
          <w:sz w:val="21"/>
          <w:szCs w:val="21"/>
        </w:rPr>
        <w:t>±20 ppm</w:t>
      </w:r>
      <w:r>
        <w:rPr>
          <w:rFonts w:ascii="微软雅黑" w:hAnsi="微软雅黑" w:cs="微软雅黑"/>
          <w:sz w:val="21"/>
          <w:szCs w:val="21"/>
        </w:rPr>
        <w:t>。</w:t>
      </w:r>
    </w:p>
    <w:p>
      <w:pPr>
        <w:pStyle w:val="Normal"/>
        <w:spacing w:lineRule="exact" w:line="300" w:before="0" w:after="120"/>
        <w:rPr/>
      </w:pPr>
      <w:r>
        <w:rPr>
          <w:rFonts w:eastAsia="微软雅黑" w:cs="微软雅黑"/>
          <w:sz w:val="21"/>
          <w:szCs w:val="21"/>
        </w:rPr>
        <w:t xml:space="preserve">32.768 kHz </w:t>
      </w:r>
      <w:r>
        <w:rPr>
          <w:rFonts w:ascii="微软雅黑" w:hAnsi="微软雅黑" w:cs="微软雅黑"/>
          <w:sz w:val="21"/>
          <w:szCs w:val="21"/>
        </w:rPr>
        <w:t xml:space="preserve">计时晶振在 </w:t>
      </w:r>
      <w:r>
        <w:rPr>
          <w:rFonts w:eastAsia="微软雅黑" w:cs="微软雅黑"/>
          <w:sz w:val="21"/>
          <w:szCs w:val="21"/>
        </w:rPr>
        <w:t xml:space="preserve">-40~+85℃ </w:t>
      </w:r>
      <w:r>
        <w:rPr>
          <w:rFonts w:ascii="微软雅黑" w:hAnsi="微软雅黑" w:cs="微软雅黑"/>
          <w:sz w:val="21"/>
          <w:szCs w:val="21"/>
        </w:rPr>
        <w:t xml:space="preserve">下的温度漂移通常可达 </w:t>
      </w:r>
      <w:r>
        <w:rPr>
          <w:rFonts w:eastAsia="微软雅黑" w:cs="微软雅黑"/>
          <w:sz w:val="21"/>
          <w:szCs w:val="21"/>
        </w:rPr>
        <w:t xml:space="preserve">-150 ppm </w:t>
      </w:r>
      <w:r>
        <w:rPr>
          <w:rFonts w:ascii="微软雅黑" w:hAnsi="微软雅黑" w:cs="微软雅黑"/>
          <w:sz w:val="21"/>
          <w:szCs w:val="21"/>
        </w:rPr>
        <w:t xml:space="preserve">量级（抛物线型），若需更优计时精度，应直接选用内置温补的 </w:t>
      </w:r>
      <w:r>
        <w:rPr>
          <w:rFonts w:eastAsia="微软雅黑" w:cs="微软雅黑"/>
          <w:sz w:val="21"/>
          <w:szCs w:val="21"/>
        </w:rPr>
        <w:t xml:space="preserve">TCXO </w:t>
      </w:r>
      <w:r>
        <w:rPr>
          <w:rFonts w:ascii="微软雅黑" w:hAnsi="微软雅黑" w:cs="微软雅黑"/>
          <w:sz w:val="21"/>
          <w:szCs w:val="21"/>
        </w:rPr>
        <w:t xml:space="preserve">或带温度补偿的 </w:t>
      </w:r>
      <w:r>
        <w:rPr>
          <w:rFonts w:eastAsia="微软雅黑" w:cs="微软雅黑"/>
          <w:sz w:val="21"/>
          <w:szCs w:val="21"/>
        </w:rPr>
        <w:t xml:space="preserve">RTC </w:t>
      </w:r>
      <w:r>
        <w:rPr>
          <w:rFonts w:ascii="微软雅黑" w:hAnsi="微软雅黑" w:cs="微软雅黑"/>
          <w:sz w:val="21"/>
          <w:szCs w:val="21"/>
        </w:rPr>
        <w:t>模组。</w:t>
      </w:r>
    </w:p>
    <w:p>
      <w:pPr>
        <w:pStyle w:val="Heading2"/>
        <w:spacing w:before="240" w:after="140"/>
        <w:rPr/>
      </w:pPr>
      <w:bookmarkStart w:id="4" w:name="__RefHeading___Toc680_3864317689"/>
      <w:bookmarkEnd w:id="4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2.3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负载电容（</w:t>
      </w:r>
      <w:r>
        <w:rPr>
          <w:rFonts w:eastAsia="微软雅黑" w:cs="微软雅黑"/>
          <w:b/>
          <w:bCs/>
          <w:color w:val="2E75B6"/>
          <w:sz w:val="25"/>
          <w:szCs w:val="25"/>
        </w:rPr>
        <w:t>CL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）与匹配电容计算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负载电容是选型中最容易出错、也最容易导致频率系统性偏高的参数。晶振规格书中给出的标称频率，是在指定负载电容下的频率；实际电路负载电容偏离，频率必然被拉偏。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8" w:space="0" w:color="2E75B6"/>
            </w:tcBorders>
            <w:shd w:fill="DCE6F1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ascii="微软雅黑" w:hAnsi="微软雅黑" w:cs="微软雅黑"/>
                <w:b/>
                <w:bCs/>
                <w:color w:val="2E75B6"/>
                <w:sz w:val="21"/>
                <w:szCs w:val="21"/>
              </w:rPr>
              <w:t>匹配电容计算公式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eastAsia="微软雅黑" w:cs="微软雅黑"/>
                <w:b/>
                <w:bCs/>
                <w:color w:val="1F4E79"/>
                <w:sz w:val="20"/>
                <w:szCs w:val="20"/>
              </w:rPr>
              <w:t>CL = (C1 × C2) / (C1 + C2) + Cstray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eastAsia="微软雅黑" w:cs="微软雅黑"/>
                <w:sz w:val="20"/>
                <w:szCs w:val="20"/>
              </w:rPr>
              <w:t>C1</w:t>
            </w:r>
            <w:r>
              <w:rPr>
                <w:rFonts w:ascii="微软雅黑" w:hAnsi="微软雅黑" w:cs="微软雅黑"/>
                <w:sz w:val="20"/>
                <w:szCs w:val="20"/>
              </w:rPr>
              <w:t>、</w:t>
            </w:r>
            <w:r>
              <w:rPr>
                <w:rFonts w:eastAsia="微软雅黑" w:cs="微软雅黑"/>
                <w:sz w:val="20"/>
                <w:szCs w:val="20"/>
              </w:rPr>
              <w:t xml:space="preserve">C2 </w:t>
            </w:r>
            <w:r>
              <w:rPr>
                <w:rFonts w:ascii="微软雅黑" w:hAnsi="微软雅黑" w:cs="微软雅黑"/>
                <w:sz w:val="20"/>
                <w:szCs w:val="20"/>
              </w:rPr>
              <w:t>为晶振两端到地的外接匹配电容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eastAsia="微软雅黑" w:cs="微软雅黑"/>
                <w:sz w:val="20"/>
                <w:szCs w:val="20"/>
              </w:rPr>
              <w:t xml:space="preserve">Cstray </w:t>
            </w:r>
            <w:r>
              <w:rPr>
                <w:rFonts w:ascii="微软雅黑" w:hAnsi="微软雅黑" w:cs="微软雅黑"/>
                <w:sz w:val="20"/>
                <w:szCs w:val="20"/>
              </w:rPr>
              <w:t xml:space="preserve">为 </w:t>
            </w:r>
            <w:r>
              <w:rPr>
                <w:rFonts w:eastAsia="微软雅黑" w:cs="微软雅黑"/>
                <w:sz w:val="20"/>
                <w:szCs w:val="20"/>
              </w:rPr>
              <w:t xml:space="preserve">PCB </w:t>
            </w:r>
            <w:r>
              <w:rPr>
                <w:rFonts w:ascii="微软雅黑" w:hAnsi="微软雅黑" w:cs="微软雅黑"/>
                <w:sz w:val="20"/>
                <w:szCs w:val="20"/>
              </w:rPr>
              <w:t xml:space="preserve">走线与芯片引脚引入的杂散电容，典型 </w:t>
            </w:r>
            <w:r>
              <w:rPr>
                <w:rFonts w:eastAsia="微软雅黑" w:cs="微软雅黑"/>
                <w:sz w:val="20"/>
                <w:szCs w:val="20"/>
              </w:rPr>
              <w:t>3~5 pF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 xml:space="preserve">当 </w:t>
            </w:r>
            <w:r>
              <w:rPr>
                <w:rFonts w:eastAsia="微软雅黑" w:cs="微软雅黑"/>
                <w:sz w:val="20"/>
                <w:szCs w:val="20"/>
              </w:rPr>
              <w:t xml:space="preserve">C1 = C2 = C </w:t>
            </w:r>
            <w:r>
              <w:rPr>
                <w:rFonts w:ascii="微软雅黑" w:hAnsi="微软雅黑" w:cs="微软雅黑"/>
                <w:sz w:val="20"/>
                <w:szCs w:val="20"/>
              </w:rPr>
              <w:t xml:space="preserve">时，简化为 </w:t>
            </w:r>
            <w:r>
              <w:rPr>
                <w:rFonts w:eastAsia="微软雅黑" w:cs="微软雅黑"/>
                <w:sz w:val="20"/>
                <w:szCs w:val="20"/>
              </w:rPr>
              <w:t>CL = C/2 + Cstray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b/>
                <w:bCs/>
                <w:color w:val="548235"/>
                <w:sz w:val="20"/>
                <w:szCs w:val="20"/>
              </w:rPr>
              <w:t xml:space="preserve">例：规格书 </w:t>
            </w:r>
            <w:r>
              <w:rPr>
                <w:rFonts w:eastAsia="微软雅黑" w:cs="微软雅黑"/>
                <w:b/>
                <w:bCs/>
                <w:color w:val="548235"/>
                <w:sz w:val="20"/>
                <w:szCs w:val="20"/>
              </w:rPr>
              <w:t>CL = 12 pF</w:t>
            </w:r>
            <w:r>
              <w:rPr>
                <w:rFonts w:ascii="微软雅黑" w:hAnsi="微软雅黑" w:cs="微软雅黑"/>
                <w:b/>
                <w:bCs/>
                <w:color w:val="548235"/>
                <w:sz w:val="20"/>
                <w:szCs w:val="20"/>
              </w:rPr>
              <w:t>，</w:t>
            </w:r>
            <w:r>
              <w:rPr>
                <w:rFonts w:eastAsia="微软雅黑" w:cs="微软雅黑"/>
                <w:b/>
                <w:bCs/>
                <w:color w:val="548235"/>
                <w:sz w:val="20"/>
                <w:szCs w:val="20"/>
              </w:rPr>
              <w:t xml:space="preserve">Cstray </w:t>
            </w:r>
            <w:r>
              <w:rPr>
                <w:rFonts w:ascii="微软雅黑" w:hAnsi="微软雅黑" w:cs="微软雅黑"/>
                <w:b/>
                <w:bCs/>
                <w:color w:val="548235"/>
                <w:sz w:val="20"/>
                <w:szCs w:val="20"/>
              </w:rPr>
              <w:t xml:space="preserve">取 </w:t>
            </w:r>
            <w:r>
              <w:rPr>
                <w:rFonts w:eastAsia="微软雅黑" w:cs="微软雅黑"/>
                <w:b/>
                <w:bCs/>
                <w:color w:val="548235"/>
                <w:sz w:val="20"/>
                <w:szCs w:val="20"/>
              </w:rPr>
              <w:t>4 pF</w:t>
            </w:r>
            <w:r>
              <w:rPr>
                <w:rFonts w:ascii="微软雅黑" w:hAnsi="微软雅黑" w:cs="微软雅黑"/>
                <w:b/>
                <w:bCs/>
                <w:color w:val="548235"/>
                <w:sz w:val="20"/>
                <w:szCs w:val="20"/>
              </w:rPr>
              <w:t xml:space="preserve">，则 </w:t>
            </w:r>
            <w:r>
              <w:rPr>
                <w:rFonts w:eastAsia="微软雅黑" w:cs="微软雅黑"/>
                <w:b/>
                <w:bCs/>
                <w:color w:val="548235"/>
                <w:sz w:val="20"/>
                <w:szCs w:val="20"/>
              </w:rPr>
              <w:t>C = (12 − 4) × 2 = 16 pF</w:t>
            </w:r>
          </w:p>
        </w:tc>
      </w:tr>
    </w:tbl>
    <w:p>
      <w:pPr>
        <w:pStyle w:val="Heading2"/>
        <w:spacing w:before="240" w:after="140"/>
        <w:rPr/>
      </w:pPr>
      <w:bookmarkStart w:id="5" w:name="__RefHeading___Toc682_3864317689"/>
      <w:bookmarkEnd w:id="5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2.4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等效串联电阻（</w:t>
      </w:r>
      <w:r>
        <w:rPr>
          <w:rFonts w:eastAsia="微软雅黑" w:cs="微软雅黑"/>
          <w:b/>
          <w:bCs/>
          <w:color w:val="2E75B6"/>
          <w:sz w:val="25"/>
          <w:szCs w:val="25"/>
        </w:rPr>
        <w:t>ESR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）与驱动功率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微软雅黑" w:cs="微软雅黑"/>
          <w:b/>
          <w:bCs/>
          <w:sz w:val="21"/>
          <w:szCs w:val="21"/>
        </w:rPr>
        <w:t xml:space="preserve">ESR </w:t>
      </w:r>
      <w:r>
        <w:rPr>
          <w:rFonts w:ascii="微软雅黑" w:hAnsi="微软雅黑" w:cs="微软雅黑"/>
          <w:b/>
          <w:bCs/>
          <w:sz w:val="21"/>
          <w:szCs w:val="21"/>
        </w:rPr>
        <w:t>决定起振难度</w:t>
      </w:r>
      <w:r>
        <w:rPr>
          <w:rFonts w:ascii="微软雅黑" w:hAnsi="微软雅黑" w:cs="微软雅黑"/>
          <w:sz w:val="21"/>
          <w:szCs w:val="21"/>
        </w:rPr>
        <w:t>：振荡电路的负阻（</w:t>
      </w:r>
      <w:r>
        <w:rPr>
          <w:rFonts w:eastAsia="微软雅黑" w:cs="微软雅黑"/>
          <w:sz w:val="21"/>
          <w:szCs w:val="21"/>
        </w:rPr>
        <w:t>Negative Resistance</w:t>
      </w:r>
      <w:r>
        <w:rPr>
          <w:rFonts w:ascii="微软雅黑" w:hAnsi="微软雅黑" w:cs="微软雅黑"/>
          <w:sz w:val="21"/>
          <w:szCs w:val="21"/>
        </w:rPr>
        <w:t xml:space="preserve">）必须显著大于晶振 </w:t>
      </w:r>
      <w:r>
        <w:rPr>
          <w:rFonts w:eastAsia="微软雅黑" w:cs="微软雅黑"/>
          <w:sz w:val="21"/>
          <w:szCs w:val="21"/>
        </w:rPr>
        <w:t>ESR</w:t>
      </w:r>
      <w:r>
        <w:rPr>
          <w:rFonts w:ascii="微软雅黑" w:hAnsi="微软雅黑" w:cs="微软雅黑"/>
          <w:sz w:val="21"/>
          <w:szCs w:val="21"/>
        </w:rPr>
        <w:t xml:space="preserve">，工程经验要求负阻 ≥ </w:t>
      </w:r>
      <w:r>
        <w:rPr>
          <w:rFonts w:eastAsia="微软雅黑" w:cs="微软雅黑"/>
          <w:sz w:val="21"/>
          <w:szCs w:val="21"/>
        </w:rPr>
        <w:t>5 × ESR</w:t>
      </w:r>
      <w:r>
        <w:rPr>
          <w:rFonts w:ascii="微软雅黑" w:hAnsi="微软雅黑" w:cs="微软雅黑"/>
          <w:sz w:val="21"/>
          <w:szCs w:val="21"/>
        </w:rPr>
        <w:t>，否则低温或电压波动时起振失败。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驱动功率必须受控</w:t>
      </w:r>
      <w:r>
        <w:rPr>
          <w:rFonts w:ascii="微软雅黑" w:hAnsi="微软雅黑" w:cs="微软雅黑"/>
          <w:sz w:val="21"/>
          <w:szCs w:val="21"/>
        </w:rPr>
        <w:t xml:space="preserve">：功率过高会导致晶体内部机械应力过大，引起频率漂移、老化加速，极端情况下晶片破裂。通常要求在规格书标称驱动功率的 </w:t>
      </w:r>
      <w:r>
        <w:rPr>
          <w:rFonts w:eastAsia="微软雅黑" w:cs="微软雅黑"/>
          <w:sz w:val="21"/>
          <w:szCs w:val="21"/>
        </w:rPr>
        <w:t xml:space="preserve">50%~80% </w:t>
      </w:r>
      <w:r>
        <w:rPr>
          <w:rFonts w:ascii="微软雅黑" w:hAnsi="微软雅黑" w:cs="微软雅黑"/>
          <w:sz w:val="21"/>
          <w:szCs w:val="21"/>
        </w:rPr>
        <w:t>区间工作。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 xml:space="preserve">若实测驱动功率超限，可通过增大串联电阻 </w:t>
      </w:r>
      <w:r>
        <w:rPr>
          <w:rFonts w:eastAsia="微软雅黑" w:cs="微软雅黑"/>
          <w:sz w:val="21"/>
          <w:szCs w:val="21"/>
        </w:rPr>
        <w:t xml:space="preserve">Rs </w:t>
      </w:r>
      <w:r>
        <w:rPr>
          <w:rFonts w:ascii="微软雅黑" w:hAnsi="微软雅黑" w:cs="微软雅黑"/>
          <w:sz w:val="21"/>
          <w:szCs w:val="21"/>
        </w:rPr>
        <w:t xml:space="preserve">来限流，但 </w:t>
      </w:r>
      <w:r>
        <w:rPr>
          <w:rFonts w:eastAsia="微软雅黑" w:cs="微软雅黑"/>
          <w:sz w:val="21"/>
          <w:szCs w:val="21"/>
        </w:rPr>
        <w:t xml:space="preserve">Rs </w:t>
      </w:r>
      <w:r>
        <w:rPr>
          <w:rFonts w:ascii="微软雅黑" w:hAnsi="微软雅黑" w:cs="微软雅黑"/>
          <w:sz w:val="21"/>
          <w:szCs w:val="21"/>
        </w:rPr>
        <w:t>过大会削弱负阻、恶化起振，需两者折中调试。</w:t>
      </w:r>
    </w:p>
    <w:p>
      <w:pPr>
        <w:pStyle w:val="Heading2"/>
        <w:spacing w:before="240" w:after="140"/>
        <w:rPr/>
      </w:pPr>
      <w:bookmarkStart w:id="6" w:name="__RefHeading___Toc684_3864317689"/>
      <w:bookmarkEnd w:id="6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2.5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其他重要参数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老化率（</w:t>
      </w:r>
      <w:r>
        <w:rPr>
          <w:rFonts w:eastAsia="微软雅黑" w:cs="微软雅黑"/>
          <w:b/>
          <w:bCs/>
          <w:sz w:val="21"/>
          <w:szCs w:val="21"/>
        </w:rPr>
        <w:t>Aging</w:t>
      </w:r>
      <w:r>
        <w:rPr>
          <w:rFonts w:ascii="微软雅黑" w:hAnsi="微软雅黑" w:cs="微软雅黑"/>
          <w:b/>
          <w:bCs/>
          <w:sz w:val="21"/>
          <w:szCs w:val="21"/>
        </w:rPr>
        <w:t>）</w:t>
      </w:r>
      <w:r>
        <w:rPr>
          <w:rFonts w:ascii="微软雅黑" w:hAnsi="微软雅黑" w:cs="微软雅黑"/>
          <w:sz w:val="21"/>
          <w:szCs w:val="21"/>
        </w:rPr>
        <w:t xml:space="preserve">：反映长期频率漂移，无源晶振典型 </w:t>
      </w:r>
      <w:r>
        <w:rPr>
          <w:rFonts w:eastAsia="微软雅黑" w:cs="微软雅黑"/>
          <w:sz w:val="21"/>
          <w:szCs w:val="21"/>
        </w:rPr>
        <w:t>±3 ppm/</w:t>
      </w:r>
      <w:r>
        <w:rPr>
          <w:rFonts w:ascii="微软雅黑" w:hAnsi="微软雅黑" w:cs="微软雅黑"/>
          <w:sz w:val="21"/>
          <w:szCs w:val="21"/>
        </w:rPr>
        <w:t>年，第一年漂移最大，之后逐年收敛。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微软雅黑" w:cs="微软雅黑"/>
          <w:b/>
          <w:bCs/>
          <w:sz w:val="21"/>
          <w:szCs w:val="21"/>
        </w:rPr>
        <w:t xml:space="preserve">shunt </w:t>
      </w:r>
      <w:r>
        <w:rPr>
          <w:rFonts w:ascii="微软雅黑" w:hAnsi="微软雅黑" w:cs="微软雅黑"/>
          <w:b/>
          <w:bCs/>
          <w:sz w:val="21"/>
          <w:szCs w:val="21"/>
        </w:rPr>
        <w:t xml:space="preserve">电容 </w:t>
      </w:r>
      <w:r>
        <w:rPr>
          <w:rFonts w:eastAsia="微软雅黑" w:cs="微软雅黑"/>
          <w:b/>
          <w:bCs/>
          <w:sz w:val="21"/>
          <w:szCs w:val="21"/>
        </w:rPr>
        <w:t xml:space="preserve">C0 / </w:t>
      </w:r>
      <w:r>
        <w:rPr>
          <w:rFonts w:ascii="微软雅黑" w:hAnsi="微软雅黑" w:cs="微软雅黑"/>
          <w:b/>
          <w:bCs/>
          <w:sz w:val="21"/>
          <w:szCs w:val="21"/>
        </w:rPr>
        <w:t xml:space="preserve">动态电容 </w:t>
      </w:r>
      <w:r>
        <w:rPr>
          <w:rFonts w:eastAsia="微软雅黑" w:cs="微软雅黑"/>
          <w:b/>
          <w:bCs/>
          <w:sz w:val="21"/>
          <w:szCs w:val="21"/>
        </w:rPr>
        <w:t>C1</w:t>
      </w:r>
      <w:r>
        <w:rPr>
          <w:rFonts w:ascii="微软雅黑" w:hAnsi="微软雅黑" w:cs="微软雅黑"/>
          <w:sz w:val="21"/>
          <w:szCs w:val="21"/>
        </w:rPr>
        <w:t>：影响频率牵引能力与振荡裕度，</w:t>
      </w:r>
      <w:r>
        <w:rPr>
          <w:rFonts w:eastAsia="微软雅黑" w:cs="微软雅黑"/>
          <w:sz w:val="21"/>
          <w:szCs w:val="21"/>
        </w:rPr>
        <w:t xml:space="preserve">VCXO </w:t>
      </w:r>
      <w:r>
        <w:rPr>
          <w:rFonts w:ascii="微软雅黑" w:hAnsi="微软雅黑" w:cs="微软雅黑"/>
          <w:sz w:val="21"/>
          <w:szCs w:val="21"/>
        </w:rPr>
        <w:t>选型时必须评估其可牵引范围（</w:t>
      </w:r>
      <w:r>
        <w:rPr>
          <w:rFonts w:eastAsia="微软雅黑" w:cs="微软雅黑"/>
          <w:sz w:val="21"/>
          <w:szCs w:val="21"/>
        </w:rPr>
        <w:t>Pulling Range</w:t>
      </w:r>
      <w:r>
        <w:rPr>
          <w:rFonts w:ascii="微软雅黑" w:hAnsi="微软雅黑" w:cs="微软雅黑"/>
          <w:sz w:val="21"/>
          <w:szCs w:val="21"/>
        </w:rPr>
        <w:t>）。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绝缘电阻与耐压</w:t>
      </w:r>
      <w:r>
        <w:rPr>
          <w:rFonts w:ascii="微软雅黑" w:hAnsi="微软雅黑" w:cs="微软雅黑"/>
          <w:sz w:val="21"/>
          <w:szCs w:val="21"/>
        </w:rPr>
        <w:t>：影响绝缘可靠性与抗干扰能力，工业</w:t>
      </w:r>
      <w:r>
        <w:rPr>
          <w:rFonts w:eastAsia="微软雅黑" w:cs="微软雅黑"/>
          <w:sz w:val="21"/>
          <w:szCs w:val="21"/>
        </w:rPr>
        <w:t>/</w:t>
      </w:r>
      <w:r>
        <w:rPr>
          <w:rFonts w:ascii="微软雅黑" w:hAnsi="微软雅黑" w:cs="微软雅黑"/>
          <w:sz w:val="21"/>
          <w:szCs w:val="21"/>
        </w:rPr>
        <w:t>汽车场景需重点关注。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封装材质与密封性</w:t>
      </w:r>
      <w:r>
        <w:rPr>
          <w:rFonts w:ascii="微软雅黑" w:hAnsi="微软雅黑" w:cs="微软雅黑"/>
          <w:sz w:val="21"/>
          <w:szCs w:val="21"/>
        </w:rPr>
        <w:t>：陶瓷封装气密性优于塑封，长期可靠性更高；高湿环境应优选陶瓷密封。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80"/>
        <w:rPr/>
      </w:pPr>
      <w:bookmarkStart w:id="7" w:name="__RefHeading___Toc686_3864317689"/>
      <w:bookmarkEnd w:id="7"/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三、器件类型对比与选型定位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晶振按工作原理可分为无源晶振（晶体谐振器）与有源晶振（晶体振荡器）两大类，后者又细分为多种补偿类型。选型的第一步，是先把“用哪一类”定下来。</w:t>
      </w:r>
    </w:p>
    <w:p>
      <w:pPr>
        <w:pStyle w:val="Heading2"/>
        <w:spacing w:before="240" w:after="140"/>
        <w:rPr/>
      </w:pPr>
      <w:bookmarkStart w:id="8" w:name="__RefHeading___Toc688_3864317689"/>
      <w:bookmarkEnd w:id="8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3.1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主流器件类型对比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500"/>
        <w:gridCol w:w="1100"/>
        <w:gridCol w:w="1499"/>
        <w:gridCol w:w="1300"/>
        <w:gridCol w:w="1501"/>
        <w:gridCol w:w="2459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类型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有无源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精度</w:t>
            </w:r>
            <w:r>
              <w:rPr>
                <w:rFonts w:eastAsia="微软雅黑" w:cs="微软雅黑"/>
                <w:b/>
                <w:bCs/>
                <w:color w:val="FFFFFF"/>
                <w:sz w:val="19"/>
                <w:szCs w:val="19"/>
              </w:rPr>
              <w:t>/</w:t>
            </w: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稳定度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功耗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成本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典型应用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无源晶振 </w:t>
            </w:r>
            <w:r>
              <w:rPr>
                <w:rFonts w:eastAsia="微软雅黑" w:cs="微软雅黑"/>
                <w:sz w:val="19"/>
                <w:szCs w:val="19"/>
              </w:rPr>
              <w:t>(</w:t>
            </w:r>
            <w:r>
              <w:rPr>
                <w:rFonts w:ascii="微软雅黑" w:hAnsi="微软雅黑" w:cs="微软雅黑"/>
                <w:sz w:val="19"/>
                <w:szCs w:val="19"/>
              </w:rPr>
              <w:t>谐振器</w:t>
            </w:r>
            <w:r>
              <w:rPr>
                <w:rFonts w:eastAsia="微软雅黑" w:cs="微软雅黑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无源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±10~50 ppm (</w:t>
            </w:r>
            <w:r>
              <w:rPr>
                <w:rFonts w:ascii="微软雅黑" w:hAnsi="微软雅黑" w:cs="微软雅黑"/>
                <w:sz w:val="19"/>
                <w:szCs w:val="19"/>
              </w:rPr>
              <w:t>含温漂较差</w:t>
            </w:r>
            <w:r>
              <w:rPr>
                <w:rFonts w:eastAsia="微软雅黑" w:cs="微软雅黑"/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极低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最低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MCU </w:t>
            </w:r>
            <w:r>
              <w:rPr>
                <w:rFonts w:ascii="微软雅黑" w:hAnsi="微软雅黑" w:cs="微软雅黑"/>
                <w:sz w:val="19"/>
                <w:szCs w:val="19"/>
              </w:rPr>
              <w:t>主时钟、</w:t>
            </w:r>
            <w:r>
              <w:rPr>
                <w:rFonts w:eastAsia="微软雅黑" w:cs="微软雅黑"/>
                <w:sz w:val="19"/>
                <w:szCs w:val="19"/>
              </w:rPr>
              <w:t>RTC</w:t>
            </w:r>
            <w:r>
              <w:rPr>
                <w:rFonts w:ascii="微软雅黑" w:hAnsi="微软雅黑" w:cs="微软雅黑"/>
                <w:sz w:val="19"/>
                <w:szCs w:val="19"/>
              </w:rPr>
              <w:t>、消费类通用时钟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普通有源晶振 </w:t>
            </w:r>
            <w:r>
              <w:rPr>
                <w:rFonts w:eastAsia="微软雅黑" w:cs="微软雅黑"/>
                <w:sz w:val="19"/>
                <w:szCs w:val="19"/>
              </w:rPr>
              <w:t>(OSC/SPXO)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有源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±20~100 ppm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中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中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需要方波输出的数字系统、</w:t>
            </w:r>
            <w:r>
              <w:rPr>
                <w:rFonts w:eastAsia="微软雅黑" w:cs="微软雅黑"/>
                <w:sz w:val="19"/>
                <w:szCs w:val="19"/>
              </w:rPr>
              <w:t xml:space="preserve">FPGA </w:t>
            </w:r>
            <w:r>
              <w:rPr>
                <w:rFonts w:ascii="微软雅黑" w:hAnsi="微软雅黑" w:cs="微软雅黑"/>
                <w:sz w:val="19"/>
                <w:szCs w:val="19"/>
              </w:rPr>
              <w:t>时钟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温补晶振 </w:t>
            </w:r>
            <w:r>
              <w:rPr>
                <w:rFonts w:eastAsia="微软雅黑" w:cs="微软雅黑"/>
                <w:sz w:val="19"/>
                <w:szCs w:val="19"/>
              </w:rPr>
              <w:t>(TCXO)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有源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±0.5~5 ppm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中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较高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通信设备、</w:t>
            </w:r>
            <w:r>
              <w:rPr>
                <w:rFonts w:eastAsia="微软雅黑" w:cs="微软雅黑"/>
                <w:sz w:val="19"/>
                <w:szCs w:val="19"/>
              </w:rPr>
              <w:t>GPS</w:t>
            </w:r>
            <w:r>
              <w:rPr>
                <w:rFonts w:ascii="微软雅黑" w:hAnsi="微软雅黑" w:cs="微软雅黑"/>
                <w:sz w:val="19"/>
                <w:szCs w:val="19"/>
              </w:rPr>
              <w:t>、基站、高精度计时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压控晶振 </w:t>
            </w:r>
            <w:r>
              <w:rPr>
                <w:rFonts w:eastAsia="微软雅黑" w:cs="微软雅黑"/>
                <w:sz w:val="19"/>
                <w:szCs w:val="19"/>
              </w:rPr>
              <w:t>(VCXO)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有源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±10~50 ppm (</w:t>
            </w:r>
            <w:r>
              <w:rPr>
                <w:rFonts w:ascii="微软雅黑" w:hAnsi="微软雅黑" w:cs="微软雅黑"/>
                <w:sz w:val="19"/>
                <w:szCs w:val="19"/>
              </w:rPr>
              <w:t>可微调</w:t>
            </w:r>
            <w:r>
              <w:rPr>
                <w:rFonts w:eastAsia="微软雅黑" w:cs="微软雅黑"/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中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较高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锁相环、频率微调、同步系统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恒温晶振 </w:t>
            </w:r>
            <w:r>
              <w:rPr>
                <w:rFonts w:eastAsia="微软雅黑" w:cs="微软雅黑"/>
                <w:sz w:val="19"/>
                <w:szCs w:val="19"/>
              </w:rPr>
              <w:t>(OCXO)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有源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±0.001~0.05 ppm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高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很高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仪器仪表、基站基准、高稳时钟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MEMS </w:t>
            </w:r>
            <w:r>
              <w:rPr>
                <w:rFonts w:ascii="微软雅黑" w:hAnsi="微软雅黑" w:cs="微软雅黑"/>
                <w:sz w:val="19"/>
                <w:szCs w:val="19"/>
              </w:rPr>
              <w:t>振荡器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有源</w:t>
            </w:r>
          </w:p>
        </w:tc>
        <w:tc>
          <w:tcPr>
            <w:tcW w:w="14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±10~50 ppm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低</w:t>
            </w:r>
          </w:p>
        </w:tc>
        <w:tc>
          <w:tcPr>
            <w:tcW w:w="15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中</w:t>
            </w:r>
          </w:p>
        </w:tc>
        <w:tc>
          <w:tcPr>
            <w:tcW w:w="24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抗冲击振动场景、消费类替代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140"/>
        <w:rPr/>
      </w:pPr>
      <w:bookmarkStart w:id="9" w:name="__RefHeading___Toc690_3864317689"/>
      <w:bookmarkEnd w:id="9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3.2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 xml:space="preserve">无源 </w:t>
      </w:r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vs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有源：如何决断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99"/>
        <w:gridCol w:w="3580"/>
        <w:gridCol w:w="358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对比维度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无源晶振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有源晶振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输出信号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正弦波，需芯片内部振荡电路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方波（</w:t>
            </w:r>
            <w:r>
              <w:rPr>
                <w:rFonts w:eastAsia="微软雅黑" w:cs="微软雅黑"/>
                <w:sz w:val="19"/>
                <w:szCs w:val="19"/>
              </w:rPr>
              <w:t>CMOS/LVDS</w:t>
            </w:r>
            <w:r>
              <w:rPr>
                <w:rFonts w:ascii="微软雅黑" w:hAnsi="微软雅黑" w:cs="微软雅黑"/>
                <w:sz w:val="19"/>
                <w:szCs w:val="19"/>
              </w:rPr>
              <w:t>等），直接可用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外围电路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需匹配电容 </w:t>
            </w:r>
            <w:r>
              <w:rPr>
                <w:rFonts w:eastAsia="微软雅黑" w:cs="微软雅黑"/>
                <w:sz w:val="19"/>
                <w:szCs w:val="19"/>
              </w:rPr>
              <w:t xml:space="preserve">+ </w:t>
            </w:r>
            <w:r>
              <w:rPr>
                <w:rFonts w:ascii="微软雅黑" w:hAnsi="微软雅黑" w:cs="微软雅黑"/>
                <w:sz w:val="19"/>
                <w:szCs w:val="19"/>
              </w:rPr>
              <w:t>起振电路，设计较复杂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接电源即可工作，设计简单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精度上限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受温度影响大，精度有限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可做到 </w:t>
            </w:r>
            <w:r>
              <w:rPr>
                <w:rFonts w:eastAsia="微软雅黑" w:cs="微软雅黑"/>
                <w:sz w:val="19"/>
                <w:szCs w:val="19"/>
              </w:rPr>
              <w:t xml:space="preserve">ppm </w:t>
            </w:r>
            <w:r>
              <w:rPr>
                <w:rFonts w:ascii="微软雅黑" w:hAnsi="微软雅黑" w:cs="微软雅黑"/>
                <w:sz w:val="19"/>
                <w:szCs w:val="19"/>
              </w:rPr>
              <w:t xml:space="preserve">甚至 </w:t>
            </w:r>
            <w:r>
              <w:rPr>
                <w:rFonts w:eastAsia="微软雅黑" w:cs="微软雅黑"/>
                <w:sz w:val="19"/>
                <w:szCs w:val="19"/>
              </w:rPr>
              <w:t xml:space="preserve">ppb </w:t>
            </w:r>
            <w:r>
              <w:rPr>
                <w:rFonts w:ascii="微软雅黑" w:hAnsi="微软雅黑" w:cs="微软雅黑"/>
                <w:sz w:val="19"/>
                <w:szCs w:val="19"/>
              </w:rPr>
              <w:t>级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功耗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极低，适合电池供电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较高，一般 ≥ 数 </w:t>
            </w:r>
            <w:r>
              <w:rPr>
                <w:rFonts w:eastAsia="微软雅黑" w:cs="微软雅黑"/>
                <w:sz w:val="19"/>
                <w:szCs w:val="19"/>
              </w:rPr>
              <w:t>mA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成本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低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高（尤其 </w:t>
            </w:r>
            <w:r>
              <w:rPr>
                <w:rFonts w:eastAsia="微软雅黑" w:cs="微软雅黑"/>
                <w:sz w:val="19"/>
                <w:szCs w:val="19"/>
              </w:rPr>
              <w:t>TCXO/OCXO</w:t>
            </w:r>
            <w:r>
              <w:rPr>
                <w:rFonts w:ascii="微软雅黑" w:hAnsi="微软雅黑" w:cs="微软雅黑"/>
                <w:sz w:val="19"/>
                <w:szCs w:val="19"/>
              </w:rPr>
              <w:t>）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典型选择</w:t>
            </w:r>
          </w:p>
        </w:tc>
        <w:tc>
          <w:tcPr>
            <w:tcW w:w="35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MCU</w:t>
            </w:r>
            <w:r>
              <w:rPr>
                <w:rFonts w:ascii="微软雅黑" w:hAnsi="微软雅黑" w:cs="微软雅黑"/>
                <w:sz w:val="19"/>
                <w:szCs w:val="19"/>
              </w:rPr>
              <w:t>、</w:t>
            </w:r>
            <w:r>
              <w:rPr>
                <w:rFonts w:eastAsia="微软雅黑" w:cs="微软雅黑"/>
                <w:sz w:val="19"/>
                <w:szCs w:val="19"/>
              </w:rPr>
              <w:t>RTC</w:t>
            </w:r>
            <w:r>
              <w:rPr>
                <w:rFonts w:ascii="微软雅黑" w:hAnsi="微软雅黑" w:cs="微软雅黑"/>
                <w:sz w:val="19"/>
                <w:szCs w:val="19"/>
              </w:rPr>
              <w:t>、成本敏感产品</w:t>
            </w:r>
          </w:p>
        </w:tc>
        <w:tc>
          <w:tcPr>
            <w:tcW w:w="35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通信、精密计时、对抖动敏感系统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b/>
          <w:bCs/>
          <w:color w:val="1F4E79"/>
          <w:sz w:val="21"/>
          <w:szCs w:val="21"/>
        </w:rPr>
        <w:t>决策口诀：</w:t>
      </w:r>
      <w:r>
        <w:rPr>
          <w:rFonts w:ascii="微软雅黑" w:hAnsi="微软雅黑" w:cs="微软雅黑"/>
          <w:sz w:val="21"/>
          <w:szCs w:val="21"/>
        </w:rPr>
        <w:t xml:space="preserve">精度要求 ≤ </w:t>
      </w:r>
      <w:r>
        <w:rPr>
          <w:rFonts w:eastAsia="微软雅黑" w:cs="微软雅黑"/>
          <w:sz w:val="21"/>
          <w:szCs w:val="21"/>
        </w:rPr>
        <w:t xml:space="preserve">±20 ppm </w:t>
      </w:r>
      <w:r>
        <w:rPr>
          <w:rFonts w:ascii="微软雅黑" w:hAnsi="微软雅黑" w:cs="微软雅黑"/>
          <w:sz w:val="21"/>
          <w:szCs w:val="21"/>
        </w:rPr>
        <w:t xml:space="preserve">且成本敏感 → 无源晶振；精度要求优于 </w:t>
      </w:r>
      <w:r>
        <w:rPr>
          <w:rFonts w:eastAsia="微软雅黑" w:cs="微软雅黑"/>
          <w:sz w:val="21"/>
          <w:szCs w:val="21"/>
        </w:rPr>
        <w:t>±5 ppm</w:t>
      </w:r>
      <w:r>
        <w:rPr>
          <w:rFonts w:ascii="微软雅黑" w:hAnsi="微软雅黑" w:cs="微软雅黑"/>
          <w:sz w:val="21"/>
          <w:szCs w:val="21"/>
        </w:rPr>
        <w:t xml:space="preserve">、或需要直接方波输出 → 有源晶振；宽温高精度 → </w:t>
      </w:r>
      <w:r>
        <w:rPr>
          <w:rFonts w:eastAsia="微软雅黑" w:cs="微软雅黑"/>
          <w:sz w:val="21"/>
          <w:szCs w:val="21"/>
        </w:rPr>
        <w:t>TCXO</w:t>
      </w:r>
      <w:r>
        <w:rPr>
          <w:rFonts w:ascii="微软雅黑" w:hAnsi="微软雅黑" w:cs="微软雅黑"/>
          <w:sz w:val="21"/>
          <w:szCs w:val="21"/>
        </w:rPr>
        <w:t xml:space="preserve">；极致稳定 → </w:t>
      </w:r>
      <w:r>
        <w:rPr>
          <w:rFonts w:eastAsia="微软雅黑" w:cs="微软雅黑"/>
          <w:sz w:val="21"/>
          <w:szCs w:val="21"/>
        </w:rPr>
        <w:t>OCXO</w:t>
      </w:r>
      <w:r>
        <w:rPr>
          <w:rFonts w:ascii="微软雅黑" w:hAnsi="微软雅黑" w:cs="微软雅黑"/>
          <w:sz w:val="21"/>
          <w:szCs w:val="21"/>
        </w:rPr>
        <w:t>。</w:t>
      </w:r>
    </w:p>
    <w:p>
      <w:pPr>
        <w:pStyle w:val="Heading2"/>
        <w:spacing w:before="240" w:after="140"/>
        <w:rPr/>
      </w:pPr>
      <w:bookmarkStart w:id="10" w:name="__RefHeading___Toc692_3864317689"/>
      <w:bookmarkEnd w:id="10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3.3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稳定性等级与切型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音叉型（</w:t>
      </w:r>
      <w:r>
        <w:rPr>
          <w:rFonts w:eastAsia="微软雅黑" w:cs="微软雅黑"/>
          <w:b/>
          <w:bCs/>
          <w:sz w:val="21"/>
          <w:szCs w:val="21"/>
        </w:rPr>
        <w:t>32.768 kHz</w:t>
      </w:r>
      <w:r>
        <w:rPr>
          <w:rFonts w:ascii="微软雅黑" w:hAnsi="微软雅黑" w:cs="微软雅黑"/>
          <w:b/>
          <w:bCs/>
          <w:sz w:val="21"/>
          <w:szCs w:val="21"/>
        </w:rPr>
        <w:t>）</w:t>
      </w:r>
      <w:r>
        <w:rPr>
          <w:rFonts w:ascii="微软雅黑" w:hAnsi="微软雅黑" w:cs="微软雅黑"/>
          <w:sz w:val="21"/>
          <w:szCs w:val="21"/>
        </w:rPr>
        <w:t xml:space="preserve">：低功耗、低频，用于 </w:t>
      </w:r>
      <w:r>
        <w:rPr>
          <w:rFonts w:eastAsia="微软雅黑" w:cs="微软雅黑"/>
          <w:sz w:val="21"/>
          <w:szCs w:val="21"/>
        </w:rPr>
        <w:t>RTC</w:t>
      </w:r>
      <w:r>
        <w:rPr>
          <w:rFonts w:ascii="微软雅黑" w:hAnsi="微软雅黑" w:cs="微软雅黑"/>
          <w:sz w:val="21"/>
          <w:szCs w:val="21"/>
        </w:rPr>
        <w:t>，但温漂呈抛物线型，</w:t>
      </w:r>
      <w:r>
        <w:rPr>
          <w:rFonts w:eastAsia="微软雅黑" w:cs="微软雅黑"/>
          <w:sz w:val="21"/>
          <w:szCs w:val="21"/>
        </w:rPr>
        <w:t xml:space="preserve">-40~+85℃ </w:t>
      </w:r>
      <w:r>
        <w:rPr>
          <w:rFonts w:ascii="微软雅黑" w:hAnsi="微软雅黑" w:cs="微软雅黑"/>
          <w:sz w:val="21"/>
          <w:szCs w:val="21"/>
        </w:rPr>
        <w:t xml:space="preserve">可达 </w:t>
      </w:r>
      <w:r>
        <w:rPr>
          <w:rFonts w:eastAsia="微软雅黑" w:cs="微软雅黑"/>
          <w:sz w:val="21"/>
          <w:szCs w:val="21"/>
        </w:rPr>
        <w:t>-150 ppm</w:t>
      </w:r>
      <w:r>
        <w:rPr>
          <w:rFonts w:ascii="微软雅黑" w:hAnsi="微软雅黑" w:cs="微软雅黑"/>
          <w:sz w:val="21"/>
          <w:szCs w:val="21"/>
        </w:rPr>
        <w:t>，精度有限。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微软雅黑" w:cs="微软雅黑"/>
          <w:b/>
          <w:bCs/>
          <w:sz w:val="21"/>
          <w:szCs w:val="21"/>
        </w:rPr>
        <w:t xml:space="preserve">AT </w:t>
      </w:r>
      <w:r>
        <w:rPr>
          <w:rFonts w:ascii="微软雅黑" w:hAnsi="微软雅黑" w:cs="微软雅黑"/>
          <w:b/>
          <w:bCs/>
          <w:sz w:val="21"/>
          <w:szCs w:val="21"/>
        </w:rPr>
        <w:t>切（</w:t>
      </w:r>
      <w:r>
        <w:rPr>
          <w:rFonts w:eastAsia="微软雅黑" w:cs="微软雅黑"/>
          <w:b/>
          <w:bCs/>
          <w:sz w:val="21"/>
          <w:szCs w:val="21"/>
        </w:rPr>
        <w:t xml:space="preserve">MHz </w:t>
      </w:r>
      <w:r>
        <w:rPr>
          <w:rFonts w:ascii="微软雅黑" w:hAnsi="微软雅黑" w:cs="微软雅黑"/>
          <w:b/>
          <w:bCs/>
          <w:sz w:val="21"/>
          <w:szCs w:val="21"/>
        </w:rPr>
        <w:t>级）</w:t>
      </w:r>
      <w:r>
        <w:rPr>
          <w:rFonts w:ascii="微软雅黑" w:hAnsi="微软雅黑" w:cs="微软雅黑"/>
          <w:sz w:val="21"/>
          <w:szCs w:val="21"/>
        </w:rPr>
        <w:t>：频率范围宽、</w:t>
      </w:r>
      <w:r>
        <w:rPr>
          <w:rFonts w:eastAsia="微软雅黑" w:cs="微软雅黑"/>
          <w:sz w:val="21"/>
          <w:szCs w:val="21"/>
        </w:rPr>
        <w:t xml:space="preserve">Q </w:t>
      </w:r>
      <w:r>
        <w:rPr>
          <w:rFonts w:ascii="微软雅黑" w:hAnsi="微软雅黑" w:cs="微软雅黑"/>
          <w:sz w:val="21"/>
          <w:szCs w:val="21"/>
        </w:rPr>
        <w:t xml:space="preserve">值高、温度特性好（三次曲线），是最主流的 </w:t>
      </w:r>
      <w:r>
        <w:rPr>
          <w:rFonts w:eastAsia="微软雅黑" w:cs="微软雅黑"/>
          <w:sz w:val="21"/>
          <w:szCs w:val="21"/>
        </w:rPr>
        <w:t xml:space="preserve">MHz </w:t>
      </w:r>
      <w:r>
        <w:rPr>
          <w:rFonts w:ascii="微软雅黑" w:hAnsi="微软雅黑" w:cs="微软雅黑"/>
          <w:sz w:val="21"/>
          <w:szCs w:val="21"/>
        </w:rPr>
        <w:t>晶振切型。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eastAsia="微软雅黑" w:cs="微软雅黑"/>
          <w:b/>
          <w:bCs/>
          <w:sz w:val="21"/>
          <w:szCs w:val="21"/>
        </w:rPr>
        <w:t xml:space="preserve">SC </w:t>
      </w:r>
      <w:r>
        <w:rPr>
          <w:rFonts w:ascii="微软雅黑" w:hAnsi="微软雅黑" w:cs="微软雅黑"/>
          <w:b/>
          <w:bCs/>
          <w:sz w:val="21"/>
          <w:szCs w:val="21"/>
        </w:rPr>
        <w:t>切</w:t>
      </w:r>
      <w:r>
        <w:rPr>
          <w:rFonts w:ascii="微软雅黑" w:hAnsi="微软雅黑" w:cs="微软雅黑"/>
          <w:sz w:val="21"/>
          <w:szCs w:val="21"/>
        </w:rPr>
        <w:t>：</w:t>
      </w:r>
      <w:r>
        <w:rPr>
          <w:rFonts w:eastAsia="微软雅黑" w:cs="微软雅黑"/>
          <w:sz w:val="21"/>
          <w:szCs w:val="21"/>
        </w:rPr>
        <w:t xml:space="preserve">Q </w:t>
      </w:r>
      <w:r>
        <w:rPr>
          <w:rFonts w:ascii="微软雅黑" w:hAnsi="微软雅黑" w:cs="微软雅黑"/>
          <w:sz w:val="21"/>
          <w:szCs w:val="21"/>
        </w:rPr>
        <w:t xml:space="preserve">值更高、老化更优，用于 </w:t>
      </w:r>
      <w:r>
        <w:rPr>
          <w:rFonts w:eastAsia="微软雅黑" w:cs="微软雅黑"/>
          <w:sz w:val="21"/>
          <w:szCs w:val="21"/>
        </w:rPr>
        <w:t xml:space="preserve">OCXO </w:t>
      </w:r>
      <w:r>
        <w:rPr>
          <w:rFonts w:ascii="微软雅黑" w:hAnsi="微软雅黑" w:cs="微软雅黑"/>
          <w:sz w:val="21"/>
          <w:szCs w:val="21"/>
        </w:rPr>
        <w:t>等高稳场景，成本高。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80"/>
        <w:rPr/>
      </w:pPr>
      <w:bookmarkStart w:id="11" w:name="__RefHeading___Toc694_3864317689"/>
      <w:bookmarkEnd w:id="11"/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四、选型流程与检查清单</w:t>
      </w:r>
    </w:p>
    <w:p>
      <w:pPr>
        <w:pStyle w:val="Heading2"/>
        <w:spacing w:before="240" w:after="140"/>
        <w:rPr/>
      </w:pPr>
      <w:bookmarkStart w:id="12" w:name="__RefHeading___Toc696_3864317689"/>
      <w:bookmarkEnd w:id="12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4.1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六步选型流程</w:t>
      </w:r>
    </w:p>
    <w:p>
      <w:pPr>
        <w:pStyle w:val="ListParagraph"/>
        <w:numPr>
          <w:ilvl w:val="0"/>
          <w:numId w:val="6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明确系统需求：</w:t>
      </w:r>
      <w:r>
        <w:rPr>
          <w:rFonts w:ascii="微软雅黑" w:hAnsi="微软雅黑" w:cs="微软雅黑"/>
          <w:sz w:val="21"/>
          <w:szCs w:val="21"/>
        </w:rPr>
        <w:t>确定所需频率、精度上限、工作温度范围、供电电压、功耗预算与输出电平类型。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确定器件类型：</w:t>
      </w:r>
      <w:r>
        <w:rPr>
          <w:rFonts w:ascii="微软雅黑" w:hAnsi="微软雅黑" w:cs="微软雅黑"/>
          <w:sz w:val="21"/>
          <w:szCs w:val="21"/>
        </w:rPr>
        <w:t xml:space="preserve">依据精度与成本，在无源 </w:t>
      </w:r>
      <w:r>
        <w:rPr>
          <w:rFonts w:eastAsia="微软雅黑" w:cs="微软雅黑"/>
          <w:sz w:val="21"/>
          <w:szCs w:val="21"/>
        </w:rPr>
        <w:t xml:space="preserve">/ SPXO / TCXO / VCXO / OCXO / MEMS </w:t>
      </w:r>
      <w:r>
        <w:rPr>
          <w:rFonts w:ascii="微软雅黑" w:hAnsi="微软雅黑" w:cs="微软雅黑"/>
          <w:sz w:val="21"/>
          <w:szCs w:val="21"/>
        </w:rPr>
        <w:t>之间定位（参见第三章）。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确认封装与尺寸：</w:t>
      </w:r>
      <w:r>
        <w:rPr>
          <w:rFonts w:ascii="微软雅黑" w:hAnsi="微软雅黑" w:cs="微软雅黑"/>
          <w:sz w:val="21"/>
          <w:szCs w:val="21"/>
        </w:rPr>
        <w:t xml:space="preserve">根据 </w:t>
      </w:r>
      <w:r>
        <w:rPr>
          <w:rFonts w:eastAsia="微软雅黑" w:cs="微软雅黑"/>
          <w:sz w:val="21"/>
          <w:szCs w:val="21"/>
        </w:rPr>
        <w:t xml:space="preserve">PCB </w:t>
      </w:r>
      <w:r>
        <w:rPr>
          <w:rFonts w:ascii="微软雅黑" w:hAnsi="微软雅黑" w:cs="微软雅黑"/>
          <w:sz w:val="21"/>
          <w:szCs w:val="21"/>
        </w:rPr>
        <w:t>空间、</w:t>
      </w:r>
      <w:r>
        <w:rPr>
          <w:rFonts w:eastAsia="微软雅黑" w:cs="微软雅黑"/>
          <w:sz w:val="21"/>
          <w:szCs w:val="21"/>
        </w:rPr>
        <w:t xml:space="preserve">SMT </w:t>
      </w:r>
      <w:r>
        <w:rPr>
          <w:rFonts w:ascii="微软雅黑" w:hAnsi="微软雅黑" w:cs="微软雅黑"/>
          <w:sz w:val="21"/>
          <w:szCs w:val="21"/>
        </w:rPr>
        <w:t>工艺能力及驱动要求选择封装（</w:t>
      </w:r>
      <w:r>
        <w:rPr>
          <w:rFonts w:eastAsia="微软雅黑" w:cs="微软雅黑"/>
          <w:sz w:val="21"/>
          <w:szCs w:val="21"/>
        </w:rPr>
        <w:t xml:space="preserve">1612~5032 </w:t>
      </w:r>
      <w:r>
        <w:rPr>
          <w:rFonts w:ascii="微软雅黑" w:hAnsi="微软雅黑" w:cs="微软雅黑"/>
          <w:sz w:val="21"/>
          <w:szCs w:val="21"/>
        </w:rPr>
        <w:t>等）。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核算电路匹配：</w:t>
      </w:r>
      <w:r>
        <w:rPr>
          <w:rFonts w:ascii="微软雅黑" w:hAnsi="微软雅黑" w:cs="微软雅黑"/>
          <w:sz w:val="21"/>
          <w:szCs w:val="21"/>
        </w:rPr>
        <w:t xml:space="preserve">计算负载电容、匹配电容 </w:t>
      </w:r>
      <w:r>
        <w:rPr>
          <w:rFonts w:eastAsia="微软雅黑" w:cs="微软雅黑"/>
          <w:sz w:val="21"/>
          <w:szCs w:val="21"/>
        </w:rPr>
        <w:t>C1/C2</w:t>
      </w:r>
      <w:r>
        <w:rPr>
          <w:rFonts w:ascii="微软雅黑" w:hAnsi="微软雅黑" w:cs="微软雅黑"/>
          <w:sz w:val="21"/>
          <w:szCs w:val="21"/>
        </w:rPr>
        <w:t xml:space="preserve">、串联电阻 </w:t>
      </w:r>
      <w:r>
        <w:rPr>
          <w:rFonts w:eastAsia="微软雅黑" w:cs="微软雅黑"/>
          <w:sz w:val="21"/>
          <w:szCs w:val="21"/>
        </w:rPr>
        <w:t>Rs</w:t>
      </w:r>
      <w:r>
        <w:rPr>
          <w:rFonts w:ascii="微软雅黑" w:hAnsi="微软雅黑" w:cs="微软雅黑"/>
          <w:sz w:val="21"/>
          <w:szCs w:val="21"/>
        </w:rPr>
        <w:t>，评估负阻裕度与驱动功率。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核对可靠性与认证：</w:t>
      </w:r>
      <w:r>
        <w:rPr>
          <w:rFonts w:ascii="微软雅黑" w:hAnsi="微软雅黑" w:cs="微软雅黑"/>
          <w:sz w:val="21"/>
          <w:szCs w:val="21"/>
        </w:rPr>
        <w:t xml:space="preserve">确认工作温区、老化率、气密性，汽车需 </w:t>
      </w:r>
      <w:r>
        <w:rPr>
          <w:rFonts w:eastAsia="微软雅黑" w:cs="微软雅黑"/>
          <w:sz w:val="21"/>
          <w:szCs w:val="21"/>
        </w:rPr>
        <w:t>AEC-Q200</w:t>
      </w:r>
      <w:r>
        <w:rPr>
          <w:rFonts w:ascii="微软雅黑" w:hAnsi="微软雅黑" w:cs="微软雅黑"/>
          <w:sz w:val="21"/>
          <w:szCs w:val="21"/>
        </w:rPr>
        <w:t>，工业需相应认证。</w:t>
      </w:r>
    </w:p>
    <w:p>
      <w:pPr>
        <w:pStyle w:val="ListParagraph"/>
        <w:numPr>
          <w:ilvl w:val="0"/>
          <w:numId w:val="2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验证供应与一致性：</w:t>
      </w:r>
      <w:r>
        <w:rPr>
          <w:rFonts w:ascii="微软雅黑" w:hAnsi="微软雅黑" w:cs="微软雅黑"/>
          <w:sz w:val="21"/>
          <w:szCs w:val="21"/>
        </w:rPr>
        <w:t>确认生命周期、供货能力、批次一致性、是否有替代料（</w:t>
      </w:r>
      <w:r>
        <w:rPr>
          <w:rFonts w:eastAsia="微软雅黑" w:cs="微软雅黑"/>
          <w:sz w:val="21"/>
          <w:szCs w:val="21"/>
        </w:rPr>
        <w:t xml:space="preserve">Pin-to-Pin </w:t>
      </w:r>
      <w:r>
        <w:rPr>
          <w:rFonts w:ascii="微软雅黑" w:hAnsi="微软雅黑" w:cs="微软雅黑"/>
          <w:sz w:val="21"/>
          <w:szCs w:val="21"/>
        </w:rPr>
        <w:t>兼容）。</w:t>
      </w:r>
    </w:p>
    <w:p>
      <w:pPr>
        <w:pStyle w:val="Heading2"/>
        <w:spacing w:before="240" w:after="140"/>
        <w:rPr/>
      </w:pPr>
      <w:bookmarkStart w:id="13" w:name="__RefHeading___Toc698_3864317689"/>
      <w:bookmarkEnd w:id="13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4.2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选型决策检查清单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完成选型前，逐项打勾确认，任何一项不能确认都应重新评估。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99"/>
        <w:gridCol w:w="5560"/>
        <w:gridCol w:w="3201"/>
      </w:tblGrid>
      <w:tr>
        <w:trPr>
          <w:tblHeader w:val="true"/>
        </w:trPr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序号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检查项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确认标准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1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频率与芯片时钟需求一致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与 </w:t>
            </w:r>
            <w:r>
              <w:rPr>
                <w:rFonts w:eastAsia="微软雅黑" w:cs="微软雅黑"/>
                <w:sz w:val="19"/>
                <w:szCs w:val="19"/>
              </w:rPr>
              <w:t xml:space="preserve">datasheet </w:t>
            </w:r>
            <w:r>
              <w:rPr>
                <w:rFonts w:ascii="微软雅黑" w:hAnsi="微软雅黑" w:cs="微软雅黑"/>
                <w:sz w:val="19"/>
                <w:szCs w:val="19"/>
              </w:rPr>
              <w:t>要求频率完全匹配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2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频率容差满足常温精度要求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综合容差 ≤ 系统允许误差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3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温度稳定度覆盖工作温区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最恶劣温度下仍在容差内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4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负载电容与电路设计匹配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C1/C2 </w:t>
            </w:r>
            <w:r>
              <w:rPr>
                <w:rFonts w:ascii="微软雅黑" w:hAnsi="微软雅黑" w:cs="微软雅黑"/>
                <w:sz w:val="19"/>
                <w:szCs w:val="19"/>
              </w:rPr>
              <w:t xml:space="preserve">按 </w:t>
            </w:r>
            <w:r>
              <w:rPr>
                <w:rFonts w:eastAsia="微软雅黑" w:cs="微软雅黑"/>
                <w:sz w:val="19"/>
                <w:szCs w:val="19"/>
              </w:rPr>
              <w:t xml:space="preserve">CL </w:t>
            </w:r>
            <w:r>
              <w:rPr>
                <w:rFonts w:ascii="微软雅黑" w:hAnsi="微软雅黑" w:cs="微软雅黑"/>
                <w:sz w:val="19"/>
                <w:szCs w:val="19"/>
              </w:rPr>
              <w:t>公式核算完毕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5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ESR </w:t>
            </w:r>
            <w:r>
              <w:rPr>
                <w:rFonts w:ascii="微软雅黑" w:hAnsi="微软雅黑" w:cs="微软雅黑"/>
                <w:sz w:val="19"/>
                <w:szCs w:val="19"/>
              </w:rPr>
              <w:t>与负阻裕度满足要求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负阻 ≥ </w:t>
            </w:r>
            <w:r>
              <w:rPr>
                <w:rFonts w:eastAsia="微软雅黑" w:cs="微软雅黑"/>
                <w:sz w:val="19"/>
                <w:szCs w:val="19"/>
              </w:rPr>
              <w:t>5 × ESR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6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驱动功率在安全区间内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标称功率的 </w:t>
            </w:r>
            <w:r>
              <w:rPr>
                <w:rFonts w:eastAsia="微软雅黑" w:cs="微软雅黑"/>
                <w:sz w:val="19"/>
                <w:szCs w:val="19"/>
              </w:rPr>
              <w:t>50%~80%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7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封装尺寸与 </w:t>
            </w:r>
            <w:r>
              <w:rPr>
                <w:rFonts w:eastAsia="微软雅黑" w:cs="微软雅黑"/>
                <w:sz w:val="19"/>
                <w:szCs w:val="19"/>
              </w:rPr>
              <w:t xml:space="preserve">SMT </w:t>
            </w:r>
            <w:r>
              <w:rPr>
                <w:rFonts w:ascii="微软雅黑" w:hAnsi="微软雅黑" w:cs="微软雅黑"/>
                <w:sz w:val="19"/>
                <w:szCs w:val="19"/>
              </w:rPr>
              <w:t>工艺兼容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焊盘设计与工艺能力匹配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8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老化率满足寿命内精度要求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寿命末期误差仍达标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9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满足行业认证要求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车规 </w:t>
            </w:r>
            <w:r>
              <w:rPr>
                <w:rFonts w:eastAsia="微软雅黑" w:cs="微软雅黑"/>
                <w:sz w:val="19"/>
                <w:szCs w:val="19"/>
              </w:rPr>
              <w:t xml:space="preserve">AEC-Q200 / </w:t>
            </w:r>
            <w:r>
              <w:rPr>
                <w:rFonts w:ascii="微软雅黑" w:hAnsi="微软雅黑" w:cs="微软雅黑"/>
                <w:sz w:val="19"/>
                <w:szCs w:val="19"/>
              </w:rPr>
              <w:t>工业级认证等</w:t>
            </w:r>
          </w:p>
        </w:tc>
      </w:tr>
      <w:tr>
        <w:trPr/>
        <w:tc>
          <w:tcPr>
            <w:tcW w:w="5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10</w:t>
            </w:r>
          </w:p>
        </w:tc>
        <w:tc>
          <w:tcPr>
            <w:tcW w:w="5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供货与替代方案确认</w:t>
            </w:r>
          </w:p>
        </w:tc>
        <w:tc>
          <w:tcPr>
            <w:tcW w:w="3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生命周期长、有兼容替代料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Heading2"/>
        <w:spacing w:before="240" w:after="140"/>
        <w:rPr/>
      </w:pPr>
      <w:bookmarkStart w:id="14" w:name="__RefHeading___Toc700_3864317689"/>
      <w:bookmarkEnd w:id="14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4.3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常见频率与封装速查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99"/>
        <w:gridCol w:w="2401"/>
        <w:gridCol w:w="2400"/>
        <w:gridCol w:w="2359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频率</w:t>
            </w:r>
          </w:p>
        </w:tc>
        <w:tc>
          <w:tcPr>
            <w:tcW w:w="2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常见用途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常选类型</w:t>
            </w:r>
          </w:p>
        </w:tc>
        <w:tc>
          <w:tcPr>
            <w:tcW w:w="23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4E79" w:val="clear"/>
            <w:vAlign w:val="center"/>
          </w:tcPr>
          <w:p>
            <w:pPr>
              <w:pStyle w:val="Normal"/>
              <w:spacing w:lineRule="exact" w:line="270" w:before="0" w:after="0"/>
              <w:jc w:val="center"/>
              <w:rPr/>
            </w:pPr>
            <w:r>
              <w:rPr>
                <w:rFonts w:ascii="微软雅黑" w:hAnsi="微软雅黑" w:cs="微软雅黑"/>
                <w:b/>
                <w:bCs/>
                <w:color w:val="FFFFFF"/>
                <w:sz w:val="19"/>
                <w:szCs w:val="19"/>
              </w:rPr>
              <w:t>典型封装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32.768 kHz</w:t>
            </w:r>
          </w:p>
        </w:tc>
        <w:tc>
          <w:tcPr>
            <w:tcW w:w="2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RTC </w:t>
            </w:r>
            <w:r>
              <w:rPr>
                <w:rFonts w:ascii="微软雅黑" w:hAnsi="微软雅黑" w:cs="微软雅黑"/>
                <w:sz w:val="19"/>
                <w:szCs w:val="19"/>
              </w:rPr>
              <w:t>实时时钟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无源音叉晶振</w:t>
            </w:r>
          </w:p>
        </w:tc>
        <w:tc>
          <w:tcPr>
            <w:tcW w:w="23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3215 / 2012 / </w:t>
            </w:r>
            <w:r>
              <w:rPr>
                <w:rFonts w:ascii="微软雅黑" w:hAnsi="微软雅黑" w:cs="微软雅黑"/>
                <w:sz w:val="19"/>
                <w:szCs w:val="19"/>
              </w:rPr>
              <w:t>贴片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8 / 12 / 16 MHz</w:t>
            </w:r>
          </w:p>
        </w:tc>
        <w:tc>
          <w:tcPr>
            <w:tcW w:w="2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MCU </w:t>
            </w:r>
            <w:r>
              <w:rPr>
                <w:rFonts w:ascii="微软雅黑" w:hAnsi="微软雅黑" w:cs="微软雅黑"/>
                <w:sz w:val="19"/>
                <w:szCs w:val="19"/>
              </w:rPr>
              <w:t>主时钟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>无源晶振</w:t>
            </w:r>
          </w:p>
        </w:tc>
        <w:tc>
          <w:tcPr>
            <w:tcW w:w="23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3225 / 5032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24 / 25 / 26 MHz</w:t>
            </w:r>
          </w:p>
        </w:tc>
        <w:tc>
          <w:tcPr>
            <w:tcW w:w="2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USB / </w:t>
            </w:r>
            <w:r>
              <w:rPr>
                <w:rFonts w:ascii="微软雅黑" w:hAnsi="微软雅黑" w:cs="微软雅黑"/>
                <w:sz w:val="19"/>
                <w:szCs w:val="19"/>
              </w:rPr>
              <w:t xml:space="preserve">通信 </w:t>
            </w:r>
            <w:r>
              <w:rPr>
                <w:rFonts w:eastAsia="微软雅黑" w:cs="微软雅黑"/>
                <w:sz w:val="19"/>
                <w:szCs w:val="19"/>
              </w:rPr>
              <w:t xml:space="preserve">/ </w:t>
            </w:r>
            <w:r>
              <w:rPr>
                <w:rFonts w:ascii="微软雅黑" w:hAnsi="微软雅黑" w:cs="微软雅黑"/>
                <w:sz w:val="19"/>
                <w:szCs w:val="19"/>
              </w:rPr>
              <w:t>以太网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无源或 </w:t>
            </w:r>
            <w:r>
              <w:rPr>
                <w:rFonts w:eastAsia="微软雅黑" w:cs="微软雅黑"/>
                <w:sz w:val="19"/>
                <w:szCs w:val="19"/>
              </w:rPr>
              <w:t>SPXO</w:t>
            </w:r>
          </w:p>
        </w:tc>
        <w:tc>
          <w:tcPr>
            <w:tcW w:w="23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2520 / 3225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19.2 / 38.4 MHz</w:t>
            </w:r>
          </w:p>
        </w:tc>
        <w:tc>
          <w:tcPr>
            <w:tcW w:w="2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蓝牙 </w:t>
            </w:r>
            <w:r>
              <w:rPr>
                <w:rFonts w:eastAsia="微软雅黑" w:cs="微软雅黑"/>
                <w:sz w:val="19"/>
                <w:szCs w:val="19"/>
              </w:rPr>
              <w:t xml:space="preserve">/ </w:t>
            </w:r>
            <w:r>
              <w:rPr>
                <w:rFonts w:ascii="微软雅黑" w:hAnsi="微软雅黑" w:cs="微软雅黑"/>
                <w:sz w:val="19"/>
                <w:szCs w:val="19"/>
              </w:rPr>
              <w:t>无线模组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ascii="微软雅黑" w:hAnsi="微软雅黑" w:cs="微软雅黑"/>
                <w:sz w:val="19"/>
                <w:szCs w:val="19"/>
              </w:rPr>
              <w:t xml:space="preserve">无源或 </w:t>
            </w:r>
            <w:r>
              <w:rPr>
                <w:rFonts w:eastAsia="微软雅黑" w:cs="微软雅黑"/>
                <w:sz w:val="19"/>
                <w:szCs w:val="19"/>
              </w:rPr>
              <w:t>TCXO</w:t>
            </w:r>
          </w:p>
        </w:tc>
        <w:tc>
          <w:tcPr>
            <w:tcW w:w="23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2F7FB" w:val="clear"/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2016 / 2520</w:t>
            </w:r>
          </w:p>
        </w:tc>
      </w:tr>
      <w:tr>
        <w:trPr/>
        <w:tc>
          <w:tcPr>
            <w:tcW w:w="21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50 / 100 / 125 MHz</w:t>
            </w:r>
          </w:p>
        </w:tc>
        <w:tc>
          <w:tcPr>
            <w:tcW w:w="2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FPGA / </w:t>
            </w:r>
            <w:r>
              <w:rPr>
                <w:rFonts w:ascii="微软雅黑" w:hAnsi="微软雅黑" w:cs="微软雅黑"/>
                <w:sz w:val="19"/>
                <w:szCs w:val="19"/>
              </w:rPr>
              <w:t>高速接口</w:t>
            </w:r>
          </w:p>
        </w:tc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 xml:space="preserve">SPXO / </w:t>
            </w:r>
            <w:r>
              <w:rPr>
                <w:rFonts w:ascii="微软雅黑" w:hAnsi="微软雅黑" w:cs="微软雅黑"/>
                <w:sz w:val="19"/>
                <w:szCs w:val="19"/>
              </w:rPr>
              <w:t>差分晶振</w:t>
            </w:r>
          </w:p>
        </w:tc>
        <w:tc>
          <w:tcPr>
            <w:tcW w:w="23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Normal"/>
              <w:spacing w:lineRule="exact" w:line="270" w:before="0" w:after="0"/>
              <w:jc w:val="left"/>
              <w:rPr/>
            </w:pPr>
            <w:r>
              <w:rPr>
                <w:rFonts w:eastAsia="微软雅黑" w:cs="微软雅黑"/>
                <w:sz w:val="19"/>
                <w:szCs w:val="19"/>
              </w:rPr>
              <w:t>3225 / 5032 / 7050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20" w:after="180"/>
        <w:rPr/>
      </w:pPr>
      <w:bookmarkStart w:id="15" w:name="__RefHeading___Toc702_3864317689"/>
      <w:bookmarkEnd w:id="15"/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五、常见问题与避坑指南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以下问题在实际项目中反复出现，是晶振选型与应用的“高频雷区”，建议在设计与评审阶段重点核查。</w:t>
      </w:r>
    </w:p>
    <w:p>
      <w:pPr>
        <w:pStyle w:val="Heading2"/>
        <w:spacing w:before="240" w:after="140"/>
        <w:rPr/>
      </w:pPr>
      <w:bookmarkStart w:id="16" w:name="__RefHeading___Toc704_3864317689"/>
      <w:bookmarkEnd w:id="16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5.1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起振失败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现象：</w:t>
      </w:r>
      <w:r>
        <w:rPr>
          <w:rFonts w:ascii="微软雅黑" w:hAnsi="微软雅黑" w:cs="微软雅黑"/>
          <w:sz w:val="21"/>
          <w:szCs w:val="21"/>
        </w:rPr>
        <w:t>上电后系统无法正常启动，或低温</w:t>
      </w:r>
      <w:r>
        <w:rPr>
          <w:rFonts w:eastAsia="微软雅黑" w:cs="微软雅黑"/>
          <w:sz w:val="21"/>
          <w:szCs w:val="21"/>
        </w:rPr>
        <w:t>/</w:t>
      </w:r>
      <w:r>
        <w:rPr>
          <w:rFonts w:ascii="微软雅黑" w:hAnsi="微软雅黑" w:cs="微软雅黑"/>
          <w:sz w:val="21"/>
          <w:szCs w:val="21"/>
        </w:rPr>
        <w:t>低压条件下概率性不起振。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原因一：</w:t>
      </w:r>
      <w:r>
        <w:rPr>
          <w:rFonts w:eastAsia="微软雅黑" w:cs="微软雅黑"/>
          <w:b/>
          <w:bCs/>
          <w:sz w:val="21"/>
          <w:szCs w:val="21"/>
        </w:rPr>
        <w:t xml:space="preserve">ESR </w:t>
      </w:r>
      <w:r>
        <w:rPr>
          <w:rFonts w:ascii="微软雅黑" w:hAnsi="微软雅黑" w:cs="微软雅黑"/>
          <w:b/>
          <w:bCs/>
          <w:sz w:val="21"/>
          <w:szCs w:val="21"/>
        </w:rPr>
        <w:t>过大或负阻不足。</w:t>
      </w:r>
      <w:r>
        <w:rPr>
          <w:rFonts w:ascii="微软雅黑" w:hAnsi="微软雅黑" w:cs="微软雅黑"/>
          <w:sz w:val="21"/>
          <w:szCs w:val="21"/>
        </w:rPr>
        <w:t xml:space="preserve">选用了 </w:t>
      </w:r>
      <w:r>
        <w:rPr>
          <w:rFonts w:eastAsia="微软雅黑" w:cs="微软雅黑"/>
          <w:sz w:val="21"/>
          <w:szCs w:val="21"/>
        </w:rPr>
        <w:t xml:space="preserve">ESR </w:t>
      </w:r>
      <w:r>
        <w:rPr>
          <w:rFonts w:ascii="微软雅黑" w:hAnsi="微软雅黑" w:cs="微软雅黑"/>
          <w:sz w:val="21"/>
          <w:szCs w:val="21"/>
        </w:rPr>
        <w:t>偏高的晶振，或负载电容过大导致负阻下降。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原因二：匹配电容取值错误。</w:t>
      </w:r>
      <w:r>
        <w:rPr>
          <w:rFonts w:eastAsia="微软雅黑" w:cs="微软雅黑"/>
          <w:sz w:val="21"/>
          <w:szCs w:val="21"/>
        </w:rPr>
        <w:t xml:space="preserve">C1/C2 </w:t>
      </w:r>
      <w:r>
        <w:rPr>
          <w:rFonts w:ascii="微软雅黑" w:hAnsi="微软雅黑" w:cs="微软雅黑"/>
          <w:sz w:val="21"/>
          <w:szCs w:val="21"/>
        </w:rPr>
        <w:t xml:space="preserve">偏离 </w:t>
      </w:r>
      <w:r>
        <w:rPr>
          <w:rFonts w:eastAsia="微软雅黑" w:cs="微软雅黑"/>
          <w:sz w:val="21"/>
          <w:szCs w:val="21"/>
        </w:rPr>
        <w:t xml:space="preserve">CL </w:t>
      </w:r>
      <w:r>
        <w:rPr>
          <w:rFonts w:ascii="微软雅黑" w:hAnsi="微软雅黑" w:cs="微软雅黑"/>
          <w:sz w:val="21"/>
          <w:szCs w:val="21"/>
        </w:rPr>
        <w:t xml:space="preserve">计算值，或漏算 </w:t>
      </w:r>
      <w:r>
        <w:rPr>
          <w:rFonts w:eastAsia="微软雅黑" w:cs="微软雅黑"/>
          <w:sz w:val="21"/>
          <w:szCs w:val="21"/>
        </w:rPr>
        <w:t>Cstray</w:t>
      </w:r>
      <w:r>
        <w:rPr>
          <w:rFonts w:ascii="微软雅黑" w:hAnsi="微软雅黑" w:cs="微软雅黑"/>
          <w:sz w:val="21"/>
          <w:szCs w:val="21"/>
        </w:rPr>
        <w:t>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原因三：</w:t>
      </w:r>
      <w:r>
        <w:rPr>
          <w:rFonts w:eastAsia="微软雅黑" w:cs="微软雅黑"/>
          <w:b/>
          <w:bCs/>
          <w:sz w:val="21"/>
          <w:szCs w:val="21"/>
        </w:rPr>
        <w:t xml:space="preserve">PCB </w:t>
      </w:r>
      <w:r>
        <w:rPr>
          <w:rFonts w:ascii="微软雅黑" w:hAnsi="微软雅黑" w:cs="微软雅黑"/>
          <w:b/>
          <w:bCs/>
          <w:sz w:val="21"/>
          <w:szCs w:val="21"/>
        </w:rPr>
        <w:t>布局不当。</w:t>
      </w:r>
      <w:r>
        <w:rPr>
          <w:rFonts w:ascii="微软雅黑" w:hAnsi="微软雅黑" w:cs="微软雅黑"/>
          <w:sz w:val="21"/>
          <w:szCs w:val="21"/>
        </w:rPr>
        <w:t>晶振远离芯片、走线过长、地回路不完整，引入额外寄生参数。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b/>
          <w:bCs/>
          <w:color w:val="548235"/>
          <w:sz w:val="21"/>
          <w:szCs w:val="21"/>
        </w:rPr>
        <w:t>对策：</w:t>
      </w:r>
      <w:r>
        <w:rPr>
          <w:rFonts w:ascii="微软雅黑" w:hAnsi="微软雅黑" w:cs="微软雅黑"/>
          <w:sz w:val="21"/>
          <w:szCs w:val="21"/>
        </w:rPr>
        <w:t xml:space="preserve">选低 </w:t>
      </w:r>
      <w:r>
        <w:rPr>
          <w:rFonts w:eastAsia="微软雅黑" w:cs="微软雅黑"/>
          <w:sz w:val="21"/>
          <w:szCs w:val="21"/>
        </w:rPr>
        <w:t xml:space="preserve">ESR </w:t>
      </w:r>
      <w:r>
        <w:rPr>
          <w:rFonts w:ascii="微软雅黑" w:hAnsi="微软雅黑" w:cs="微软雅黑"/>
          <w:sz w:val="21"/>
          <w:szCs w:val="21"/>
        </w:rPr>
        <w:t xml:space="preserve">型号；用负阻测试法验证裕度（目标 ≥ </w:t>
      </w:r>
      <w:r>
        <w:rPr>
          <w:rFonts w:eastAsia="微软雅黑" w:cs="微软雅黑"/>
          <w:sz w:val="21"/>
          <w:szCs w:val="21"/>
        </w:rPr>
        <w:t>5×ESR</w:t>
      </w:r>
      <w:r>
        <w:rPr>
          <w:rFonts w:ascii="微软雅黑" w:hAnsi="微软雅黑" w:cs="微软雅黑"/>
          <w:sz w:val="21"/>
          <w:szCs w:val="21"/>
        </w:rPr>
        <w:t>）；严格按公式核算匹配电容；布局上就近放置、缩短走线、加独立接地过孔。</w:t>
      </w:r>
    </w:p>
    <w:p>
      <w:pPr>
        <w:pStyle w:val="Heading2"/>
        <w:spacing w:before="240" w:after="140"/>
        <w:rPr/>
      </w:pPr>
      <w:bookmarkStart w:id="17" w:name="__RefHeading___Toc706_3864317689"/>
      <w:bookmarkEnd w:id="17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5.2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频率系统性偏大</w:t>
      </w:r>
      <w:r>
        <w:rPr>
          <w:rFonts w:eastAsia="微软雅黑" w:cs="微软雅黑"/>
          <w:b/>
          <w:bCs/>
          <w:color w:val="2E75B6"/>
          <w:sz w:val="25"/>
          <w:szCs w:val="25"/>
        </w:rPr>
        <w:t>/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偏小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现象：</w:t>
      </w:r>
      <w:r>
        <w:rPr>
          <w:rFonts w:ascii="微软雅黑" w:hAnsi="微软雅黑" w:cs="微软雅黑"/>
          <w:sz w:val="21"/>
          <w:szCs w:val="21"/>
        </w:rPr>
        <w:t>整批产品频率一致性偏移，计时偏快或偏慢。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核心原因：负载电容不匹配。</w:t>
      </w:r>
      <w:r>
        <w:rPr>
          <w:rFonts w:ascii="微软雅黑" w:hAnsi="微软雅黑" w:cs="微软雅黑"/>
          <w:sz w:val="21"/>
          <w:szCs w:val="21"/>
        </w:rPr>
        <w:t xml:space="preserve">实际 </w:t>
      </w:r>
      <w:r>
        <w:rPr>
          <w:rFonts w:eastAsia="微软雅黑" w:cs="微软雅黑"/>
          <w:sz w:val="21"/>
          <w:szCs w:val="21"/>
        </w:rPr>
        <w:t xml:space="preserve">CL </w:t>
      </w:r>
      <w:r>
        <w:rPr>
          <w:rFonts w:ascii="微软雅黑" w:hAnsi="微软雅黑" w:cs="微软雅黑"/>
          <w:sz w:val="21"/>
          <w:szCs w:val="21"/>
        </w:rPr>
        <w:t>小于规格值会导致频率偏高，大于规格值则偏低，这是最常见的系统性偏差来源。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其他原因：</w:t>
      </w:r>
      <w:r>
        <w:rPr>
          <w:rFonts w:eastAsia="微软雅黑" w:cs="微软雅黑"/>
          <w:sz w:val="21"/>
          <w:szCs w:val="21"/>
        </w:rPr>
        <w:t xml:space="preserve">Cstray </w:t>
      </w:r>
      <w:r>
        <w:rPr>
          <w:rFonts w:ascii="微软雅黑" w:hAnsi="微软雅黑" w:cs="微软雅黑"/>
          <w:sz w:val="21"/>
          <w:szCs w:val="21"/>
        </w:rPr>
        <w:t xml:space="preserve">估算不准；匹配电容精度不足（应选 </w:t>
      </w:r>
      <w:r>
        <w:rPr>
          <w:rFonts w:eastAsia="微软雅黑" w:cs="微软雅黑"/>
          <w:sz w:val="21"/>
          <w:szCs w:val="21"/>
        </w:rPr>
        <w:t xml:space="preserve">±5% </w:t>
      </w:r>
      <w:r>
        <w:rPr>
          <w:rFonts w:ascii="微软雅黑" w:hAnsi="微软雅黑" w:cs="微软雅黑"/>
          <w:sz w:val="21"/>
          <w:szCs w:val="21"/>
        </w:rPr>
        <w:t>或更优、</w:t>
      </w:r>
      <w:r>
        <w:rPr>
          <w:rFonts w:eastAsia="微软雅黑" w:cs="微软雅黑"/>
          <w:sz w:val="21"/>
          <w:szCs w:val="21"/>
        </w:rPr>
        <w:t xml:space="preserve">NPO/C0G </w:t>
      </w:r>
      <w:r>
        <w:rPr>
          <w:rFonts w:ascii="微软雅黑" w:hAnsi="微软雅黑" w:cs="微软雅黑"/>
          <w:sz w:val="21"/>
          <w:szCs w:val="21"/>
        </w:rPr>
        <w:t>材质）；芯片内部集成电容未计入。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8" w:space="0" w:color="C55A11"/>
            </w:tcBorders>
            <w:shd w:fill="FDF2E9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ascii="微软雅黑" w:hAnsi="微软雅黑" w:cs="微软雅黑"/>
                <w:b/>
                <w:bCs/>
                <w:color w:val="C55A11"/>
                <w:sz w:val="21"/>
                <w:szCs w:val="21"/>
              </w:rPr>
              <w:t>避坑要点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 xml:space="preserve">匹配电容务必选用 </w:t>
            </w:r>
            <w:r>
              <w:rPr>
                <w:rFonts w:eastAsia="微软雅黑" w:cs="微软雅黑"/>
                <w:sz w:val="20"/>
                <w:szCs w:val="20"/>
              </w:rPr>
              <w:t xml:space="preserve">NPO/C0G </w:t>
            </w:r>
            <w:r>
              <w:rPr>
                <w:rFonts w:ascii="微软雅黑" w:hAnsi="微软雅黑" w:cs="微软雅黑"/>
                <w:sz w:val="20"/>
                <w:szCs w:val="20"/>
              </w:rPr>
              <w:t xml:space="preserve">温度补偿型，禁用 </w:t>
            </w:r>
            <w:r>
              <w:rPr>
                <w:rFonts w:eastAsia="微软雅黑" w:cs="微软雅黑"/>
                <w:sz w:val="20"/>
                <w:szCs w:val="20"/>
              </w:rPr>
              <w:t xml:space="preserve">X7R/Y5V </w:t>
            </w:r>
            <w:r>
              <w:rPr>
                <w:rFonts w:ascii="微软雅黑" w:hAnsi="微软雅黑" w:cs="微软雅黑"/>
                <w:sz w:val="20"/>
                <w:szCs w:val="20"/>
              </w:rPr>
              <w:t>等温度系数大的材质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 xml:space="preserve">实测频率后反推实际 </w:t>
            </w:r>
            <w:r>
              <w:rPr>
                <w:rFonts w:eastAsia="微软雅黑" w:cs="微软雅黑"/>
                <w:sz w:val="20"/>
                <w:szCs w:val="20"/>
              </w:rPr>
              <w:t>CL</w:t>
            </w:r>
            <w:r>
              <w:rPr>
                <w:rFonts w:ascii="微软雅黑" w:hAnsi="微软雅黑" w:cs="微软雅黑"/>
                <w:sz w:val="20"/>
                <w:szCs w:val="20"/>
              </w:rPr>
              <w:t xml:space="preserve">，再微调 </w:t>
            </w:r>
            <w:r>
              <w:rPr>
                <w:rFonts w:eastAsia="微软雅黑" w:cs="微软雅黑"/>
                <w:sz w:val="20"/>
                <w:szCs w:val="20"/>
              </w:rPr>
              <w:t xml:space="preserve">C1/C2 </w:t>
            </w:r>
            <w:r>
              <w:rPr>
                <w:rFonts w:ascii="微软雅黑" w:hAnsi="微软雅黑" w:cs="微软雅黑"/>
                <w:sz w:val="20"/>
                <w:szCs w:val="20"/>
              </w:rPr>
              <w:t>至目标频偏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>样品阶段务必做全温区频率测试，而非只在常温验证</w:t>
            </w:r>
          </w:p>
        </w:tc>
      </w:tr>
    </w:tbl>
    <w:p>
      <w:pPr>
        <w:pStyle w:val="Heading2"/>
        <w:spacing w:before="240" w:after="140"/>
        <w:rPr/>
      </w:pPr>
      <w:bookmarkStart w:id="18" w:name="__RefHeading___Toc708_3864317689"/>
      <w:bookmarkEnd w:id="18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5.3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功耗与驱动功率超限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驱动功率过大</w:t>
      </w:r>
      <w:r>
        <w:rPr>
          <w:rFonts w:ascii="微软雅黑" w:hAnsi="微软雅黑" w:cs="微软雅黑"/>
          <w:sz w:val="21"/>
          <w:szCs w:val="21"/>
        </w:rPr>
        <w:t xml:space="preserve">：会加速老化、导致频率漂移，甚至晶片振裂。需通过串联 </w:t>
      </w:r>
      <w:r>
        <w:rPr>
          <w:rFonts w:eastAsia="微软雅黑" w:cs="微软雅黑"/>
          <w:sz w:val="21"/>
          <w:szCs w:val="21"/>
        </w:rPr>
        <w:t xml:space="preserve">Rs </w:t>
      </w:r>
      <w:r>
        <w:rPr>
          <w:rFonts w:ascii="微软雅黑" w:hAnsi="微软雅黑" w:cs="微软雅黑"/>
          <w:sz w:val="21"/>
          <w:szCs w:val="21"/>
        </w:rPr>
        <w:t>限流，并实测功率。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功耗预算超支</w:t>
      </w:r>
      <w:r>
        <w:rPr>
          <w:rFonts w:ascii="微软雅黑" w:hAnsi="微软雅黑" w:cs="微软雅黑"/>
          <w:sz w:val="21"/>
          <w:szCs w:val="21"/>
        </w:rPr>
        <w:t>：电池供电产品若误选有源晶振，静态电流可能成倍上升。低功耗场景应优先无源晶振。</w:t>
      </w:r>
    </w:p>
    <w:p>
      <w:pPr>
        <w:pStyle w:val="Heading2"/>
        <w:spacing w:before="240" w:after="140"/>
        <w:rPr/>
      </w:pPr>
      <w:bookmarkStart w:id="19" w:name="__RefHeading___Toc710_3864317689"/>
      <w:bookmarkEnd w:id="19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5.4 PCB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布局与走线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就近布局</w:t>
      </w:r>
      <w:r>
        <w:rPr>
          <w:rFonts w:ascii="微软雅黑" w:hAnsi="微软雅黑" w:cs="微软雅黑"/>
          <w:sz w:val="21"/>
          <w:szCs w:val="21"/>
        </w:rPr>
        <w:t xml:space="preserve">：晶振紧靠芯片时钟引脚，走线尽量短（建议 </w:t>
      </w:r>
      <w:r>
        <w:rPr>
          <w:rFonts w:eastAsia="微软雅黑" w:cs="微软雅黑"/>
          <w:sz w:val="21"/>
          <w:szCs w:val="21"/>
        </w:rPr>
        <w:t>&lt; 10 mm</w:t>
      </w:r>
      <w:r>
        <w:rPr>
          <w:rFonts w:ascii="微软雅黑" w:hAnsi="微软雅黑" w:cs="微软雅黑"/>
          <w:sz w:val="21"/>
          <w:szCs w:val="21"/>
        </w:rPr>
        <w:t>）、等长对称。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远离干扰源</w:t>
      </w:r>
      <w:r>
        <w:rPr>
          <w:rFonts w:ascii="微软雅黑" w:hAnsi="微软雅黑" w:cs="微软雅黑"/>
          <w:sz w:val="21"/>
          <w:szCs w:val="21"/>
        </w:rPr>
        <w:t>：避开开关电源、高速信号线、大电流回路，防止耦合干扰。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完整地平面</w:t>
      </w:r>
      <w:r>
        <w:rPr>
          <w:rFonts w:ascii="微软雅黑" w:hAnsi="微软雅黑" w:cs="微软雅黑"/>
          <w:sz w:val="21"/>
          <w:szCs w:val="21"/>
        </w:rPr>
        <w:t>：晶振下方保持完整地，匹配电容就近接地，降低杂散电容不确定性。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包地隔离</w:t>
      </w:r>
      <w:r>
        <w:rPr>
          <w:rFonts w:ascii="微软雅黑" w:hAnsi="微软雅黑" w:cs="微软雅黑"/>
          <w:sz w:val="21"/>
          <w:szCs w:val="21"/>
        </w:rPr>
        <w:t>：必要时对时钟走线做包地处理，提升抗干扰能力。</w:t>
      </w:r>
    </w:p>
    <w:p>
      <w:pPr>
        <w:pStyle w:val="Heading2"/>
        <w:spacing w:before="240" w:after="140"/>
        <w:rPr/>
      </w:pPr>
      <w:bookmarkStart w:id="20" w:name="__RefHeading___Toc712_3864317689"/>
      <w:bookmarkEnd w:id="20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5.5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温度与老化问题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宽温漂移被低估</w:t>
      </w:r>
      <w:r>
        <w:rPr>
          <w:rFonts w:ascii="微软雅黑" w:hAnsi="微软雅黑" w:cs="微软雅黑"/>
          <w:sz w:val="21"/>
          <w:szCs w:val="21"/>
        </w:rPr>
        <w:t>：</w:t>
      </w:r>
      <w:r>
        <w:rPr>
          <w:rFonts w:eastAsia="微软雅黑" w:cs="微软雅黑"/>
          <w:sz w:val="21"/>
          <w:szCs w:val="21"/>
        </w:rPr>
        <w:t xml:space="preserve">32.768 kHz </w:t>
      </w:r>
      <w:r>
        <w:rPr>
          <w:rFonts w:ascii="微软雅黑" w:hAnsi="微软雅黑" w:cs="微软雅黑"/>
          <w:sz w:val="21"/>
          <w:szCs w:val="21"/>
        </w:rPr>
        <w:t xml:space="preserve">音叉晶振高温漂移显著，宽温场景应评估 </w:t>
      </w:r>
      <w:r>
        <w:rPr>
          <w:rFonts w:eastAsia="微软雅黑" w:cs="微软雅黑"/>
          <w:sz w:val="21"/>
          <w:szCs w:val="21"/>
        </w:rPr>
        <w:t xml:space="preserve">TCXO </w:t>
      </w:r>
      <w:r>
        <w:rPr>
          <w:rFonts w:ascii="微软雅黑" w:hAnsi="微软雅黑" w:cs="微软雅黑"/>
          <w:sz w:val="21"/>
          <w:szCs w:val="21"/>
        </w:rPr>
        <w:t>替代方案。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老化累积误差</w:t>
      </w:r>
      <w:r>
        <w:rPr>
          <w:rFonts w:ascii="微软雅黑" w:hAnsi="微软雅黑" w:cs="微软雅黑"/>
          <w:sz w:val="21"/>
          <w:szCs w:val="21"/>
        </w:rPr>
        <w:t>：长期运行需把老化率计入寿命末期误差预算，高精度产品应选低老化型号。</w:t>
      </w:r>
    </w:p>
    <w:p>
      <w:pPr>
        <w:pStyle w:val="Heading2"/>
        <w:spacing w:before="240" w:after="140"/>
        <w:rPr/>
      </w:pPr>
      <w:bookmarkStart w:id="21" w:name="__RefHeading___Toc714_3864317689"/>
      <w:bookmarkEnd w:id="21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5.6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封装与工艺问题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小封装驱动能力弱</w:t>
      </w:r>
      <w:r>
        <w:rPr>
          <w:rFonts w:ascii="微软雅黑" w:hAnsi="微软雅黑" w:cs="微软雅黑"/>
          <w:sz w:val="21"/>
          <w:szCs w:val="21"/>
        </w:rPr>
        <w:t>：</w:t>
      </w:r>
      <w:r>
        <w:rPr>
          <w:rFonts w:eastAsia="微软雅黑" w:cs="微软雅黑"/>
          <w:sz w:val="21"/>
          <w:szCs w:val="21"/>
        </w:rPr>
        <w:t xml:space="preserve">1612/2016 </w:t>
      </w:r>
      <w:r>
        <w:rPr>
          <w:rFonts w:ascii="微软雅黑" w:hAnsi="微软雅黑" w:cs="微软雅黑"/>
          <w:sz w:val="21"/>
          <w:szCs w:val="21"/>
        </w:rPr>
        <w:t xml:space="preserve">等小尺寸晶振 </w:t>
      </w:r>
      <w:r>
        <w:rPr>
          <w:rFonts w:eastAsia="微软雅黑" w:cs="微软雅黑"/>
          <w:sz w:val="21"/>
          <w:szCs w:val="21"/>
        </w:rPr>
        <w:t xml:space="preserve">ESR </w:t>
      </w:r>
      <w:r>
        <w:rPr>
          <w:rFonts w:ascii="微软雅黑" w:hAnsi="微软雅黑" w:cs="微软雅黑"/>
          <w:sz w:val="21"/>
          <w:szCs w:val="21"/>
        </w:rPr>
        <w:t>更高、更难起振，需评估驱动裕度。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焊接与清洗应力</w:t>
      </w:r>
      <w:r>
        <w:rPr>
          <w:rFonts w:ascii="微软雅黑" w:hAnsi="微软雅黑" w:cs="微软雅黑"/>
          <w:sz w:val="21"/>
          <w:szCs w:val="21"/>
        </w:rPr>
        <w:t>：回流焊温度曲线不当或超声清洗可能损伤晶振，需按规格书工艺要求执行。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塑封与陶瓷封装选择</w:t>
      </w:r>
      <w:r>
        <w:rPr>
          <w:rFonts w:ascii="微软雅黑" w:hAnsi="微软雅黑" w:cs="微软雅黑"/>
          <w:sz w:val="21"/>
          <w:szCs w:val="21"/>
        </w:rPr>
        <w:t>：高湿高可靠场景优选陶瓷密封封装。</w:t>
      </w:r>
    </w:p>
    <w:p>
      <w:pPr>
        <w:pStyle w:val="Heading2"/>
        <w:spacing w:before="240" w:after="140"/>
        <w:rPr/>
      </w:pPr>
      <w:bookmarkStart w:id="22" w:name="__RefHeading___Toc716_3864317689"/>
      <w:bookmarkEnd w:id="22"/>
      <w:r>
        <w:rPr>
          <w:rFonts w:eastAsia="微软雅黑" w:cs="微软雅黑"/>
          <w:b/>
          <w:bCs/>
          <w:color w:val="2E75B6"/>
          <w:sz w:val="25"/>
          <w:szCs w:val="25"/>
        </w:rPr>
        <w:t xml:space="preserve">5.7 </w:t>
      </w:r>
      <w:r>
        <w:rPr>
          <w:rFonts w:ascii="微软雅黑" w:hAnsi="微软雅黑" w:cs="微软雅黑"/>
          <w:b/>
          <w:bCs/>
          <w:color w:val="2E75B6"/>
          <w:sz w:val="25"/>
          <w:szCs w:val="25"/>
        </w:rPr>
        <w:t>供应链与一致性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批次一致性</w:t>
      </w:r>
      <w:r>
        <w:rPr>
          <w:rFonts w:ascii="微软雅黑" w:hAnsi="微软雅黑" w:cs="微软雅黑"/>
          <w:sz w:val="21"/>
          <w:szCs w:val="21"/>
        </w:rPr>
        <w:t xml:space="preserve">：不同批次频率与 </w:t>
      </w:r>
      <w:r>
        <w:rPr>
          <w:rFonts w:eastAsia="微软雅黑" w:cs="微软雅黑"/>
          <w:sz w:val="21"/>
          <w:szCs w:val="21"/>
        </w:rPr>
        <w:t xml:space="preserve">ESR </w:t>
      </w:r>
      <w:r>
        <w:rPr>
          <w:rFonts w:ascii="微软雅黑" w:hAnsi="微软雅黑" w:cs="微软雅黑"/>
          <w:sz w:val="21"/>
          <w:szCs w:val="21"/>
        </w:rPr>
        <w:t>存在差异，量产前需做批次分散性评估。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生命周期风险</w:t>
      </w:r>
      <w:r>
        <w:rPr>
          <w:rFonts w:ascii="微软雅黑" w:hAnsi="微软雅黑" w:cs="微软雅黑"/>
          <w:sz w:val="21"/>
          <w:szCs w:val="21"/>
        </w:rPr>
        <w:t>：避免选用濒临停产型号，优先选择生命周期长、多供应商可替代的规格。</w:t>
      </w:r>
    </w:p>
    <w:p>
      <w:pPr>
        <w:pStyle w:val="ListParagraph"/>
        <w:numPr>
          <w:ilvl w:val="0"/>
          <w:numId w:val="1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替代料验证</w:t>
      </w:r>
      <w:r>
        <w:rPr>
          <w:rFonts w:ascii="微软雅黑" w:hAnsi="微软雅黑" w:cs="微软雅黑"/>
          <w:sz w:val="21"/>
          <w:szCs w:val="21"/>
        </w:rPr>
        <w:t>：更换供应商时需重新验证频率、</w:t>
      </w:r>
      <w:r>
        <w:rPr>
          <w:rFonts w:eastAsia="微软雅黑" w:cs="微软雅黑"/>
          <w:sz w:val="21"/>
          <w:szCs w:val="21"/>
        </w:rPr>
        <w:t>ESR</w:t>
      </w:r>
      <w:r>
        <w:rPr>
          <w:rFonts w:ascii="微软雅黑" w:hAnsi="微软雅黑" w:cs="微软雅黑"/>
          <w:sz w:val="21"/>
          <w:szCs w:val="21"/>
        </w:rPr>
        <w:t>、匹配电容与温漂，不可直接替换。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80"/>
        <w:rPr/>
      </w:pPr>
      <w:bookmarkStart w:id="23" w:name="__RefHeading___Toc718_3864317689"/>
      <w:bookmarkEnd w:id="23"/>
      <w:r>
        <w:rPr>
          <w:rFonts w:ascii="微软雅黑" w:hAnsi="微软雅黑" w:cs="微软雅黑"/>
          <w:b/>
          <w:bCs/>
          <w:color w:val="1F4E79"/>
          <w:sz w:val="30"/>
          <w:szCs w:val="30"/>
        </w:rPr>
        <w:t>六、总结</w:t>
      </w:r>
    </w:p>
    <w:p>
      <w:pPr>
        <w:pStyle w:val="Normal"/>
        <w:spacing w:lineRule="exact" w:line="300" w:before="0" w:after="120"/>
        <w:rPr/>
      </w:pPr>
      <w:r>
        <w:rPr>
          <w:rFonts w:ascii="微软雅黑" w:hAnsi="微软雅黑" w:cs="微软雅黑"/>
          <w:sz w:val="21"/>
          <w:szCs w:val="21"/>
        </w:rPr>
        <w:t>晶振选型的本质，是在“精度—功耗—成本—可靠性—供应”五者之间寻找最优平衡点。回顾全文，可归纳为以下要点：</w:t>
      </w:r>
    </w:p>
    <w:p>
      <w:pPr>
        <w:pStyle w:val="ListParagraph"/>
        <w:numPr>
          <w:ilvl w:val="0"/>
          <w:numId w:val="7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先定类型，再定参数：</w:t>
      </w:r>
      <w:r>
        <w:rPr>
          <w:rFonts w:ascii="微软雅黑" w:hAnsi="微软雅黑" w:cs="微软雅黑"/>
          <w:sz w:val="21"/>
          <w:szCs w:val="21"/>
        </w:rPr>
        <w:t xml:space="preserve">根据精度与成本先确定无源 </w:t>
      </w:r>
      <w:r>
        <w:rPr>
          <w:rFonts w:eastAsia="微软雅黑" w:cs="微软雅黑"/>
          <w:sz w:val="21"/>
          <w:szCs w:val="21"/>
        </w:rPr>
        <w:t>/ SPXO / TCXO / VCXO / OCXO</w:t>
      </w:r>
      <w:r>
        <w:rPr>
          <w:rFonts w:ascii="微软雅黑" w:hAnsi="微软雅黑" w:cs="微软雅黑"/>
          <w:sz w:val="21"/>
          <w:szCs w:val="21"/>
        </w:rPr>
        <w:t>，再细化频率、容差、稳定度等参数。</w:t>
      </w:r>
    </w:p>
    <w:p>
      <w:pPr>
        <w:pStyle w:val="ListParagraph"/>
        <w:numPr>
          <w:ilvl w:val="0"/>
          <w:numId w:val="3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容差与稳定度必须分清：</w:t>
      </w:r>
      <w:r>
        <w:rPr>
          <w:rFonts w:ascii="微软雅黑" w:hAnsi="微软雅黑" w:cs="微软雅黑"/>
          <w:sz w:val="21"/>
          <w:szCs w:val="21"/>
        </w:rPr>
        <w:t>常温容差 ≠ 全温稳定度，系统误差要叠加容差、温漂、老化、负载偏差综合评估。</w:t>
      </w:r>
    </w:p>
    <w:p>
      <w:pPr>
        <w:pStyle w:val="ListParagraph"/>
        <w:numPr>
          <w:ilvl w:val="0"/>
          <w:numId w:val="3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负载电容是头号陷阱：</w:t>
      </w:r>
      <w:r>
        <w:rPr>
          <w:rFonts w:ascii="微软雅黑" w:hAnsi="微软雅黑" w:cs="微软雅黑"/>
          <w:sz w:val="21"/>
          <w:szCs w:val="21"/>
        </w:rPr>
        <w:t xml:space="preserve">按 </w:t>
      </w:r>
      <w:r>
        <w:rPr>
          <w:rFonts w:eastAsia="微软雅黑" w:cs="微软雅黑"/>
          <w:sz w:val="21"/>
          <w:szCs w:val="21"/>
        </w:rPr>
        <w:t xml:space="preserve">CL </w:t>
      </w:r>
      <w:r>
        <w:rPr>
          <w:rFonts w:ascii="微软雅黑" w:hAnsi="微软雅黑" w:cs="微软雅黑"/>
          <w:sz w:val="21"/>
          <w:szCs w:val="21"/>
        </w:rPr>
        <w:t>公式核算匹配电容，计入杂散电容，实测反推微调。</w:t>
      </w:r>
    </w:p>
    <w:p>
      <w:pPr>
        <w:pStyle w:val="ListParagraph"/>
        <w:numPr>
          <w:ilvl w:val="0"/>
          <w:numId w:val="3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起振裕度不可省：</w:t>
      </w:r>
      <w:r>
        <w:rPr>
          <w:rFonts w:ascii="微软雅黑" w:hAnsi="微软雅黑" w:cs="微软雅黑"/>
          <w:sz w:val="21"/>
          <w:szCs w:val="21"/>
        </w:rPr>
        <w:t xml:space="preserve">负阻 ≥ </w:t>
      </w:r>
      <w:r>
        <w:rPr>
          <w:rFonts w:eastAsia="微软雅黑" w:cs="微软雅黑"/>
          <w:sz w:val="21"/>
          <w:szCs w:val="21"/>
        </w:rPr>
        <w:t>5×ESR</w:t>
      </w:r>
      <w:r>
        <w:rPr>
          <w:rFonts w:ascii="微软雅黑" w:hAnsi="微软雅黑" w:cs="微软雅黑"/>
          <w:sz w:val="21"/>
          <w:szCs w:val="21"/>
        </w:rPr>
        <w:t>，必要时实测负阻，避免低温</w:t>
      </w:r>
      <w:r>
        <w:rPr>
          <w:rFonts w:eastAsia="微软雅黑" w:cs="微软雅黑"/>
          <w:sz w:val="21"/>
          <w:szCs w:val="21"/>
        </w:rPr>
        <w:t>/</w:t>
      </w:r>
      <w:r>
        <w:rPr>
          <w:rFonts w:ascii="微软雅黑" w:hAnsi="微软雅黑" w:cs="微软雅黑"/>
          <w:sz w:val="21"/>
          <w:szCs w:val="21"/>
        </w:rPr>
        <w:t>低压起振失败。</w:t>
      </w:r>
    </w:p>
    <w:p>
      <w:pPr>
        <w:pStyle w:val="ListParagraph"/>
        <w:numPr>
          <w:ilvl w:val="0"/>
          <w:numId w:val="3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布局与工艺同等重要：</w:t>
      </w:r>
      <w:r>
        <w:rPr>
          <w:rFonts w:ascii="微软雅黑" w:hAnsi="微软雅黑" w:cs="微软雅黑"/>
          <w:sz w:val="21"/>
          <w:szCs w:val="21"/>
        </w:rPr>
        <w:t>就近布局、包地隔离、材质选型与焊接工艺都会影响最终性能。</w:t>
      </w:r>
    </w:p>
    <w:p>
      <w:pPr>
        <w:pStyle w:val="ListParagraph"/>
        <w:numPr>
          <w:ilvl w:val="0"/>
          <w:numId w:val="3"/>
        </w:numPr>
        <w:spacing w:lineRule="exact" w:line="300" w:before="0" w:after="80"/>
        <w:rPr/>
      </w:pPr>
      <w:r>
        <w:rPr>
          <w:rFonts w:ascii="微软雅黑" w:hAnsi="微软雅黑" w:cs="微软雅黑"/>
          <w:b/>
          <w:bCs/>
          <w:sz w:val="21"/>
          <w:szCs w:val="21"/>
        </w:rPr>
        <w:t>供应与一致性要前置考虑：</w:t>
      </w:r>
      <w:r>
        <w:rPr>
          <w:rFonts w:ascii="微软雅黑" w:hAnsi="微软雅黑" w:cs="微软雅黑"/>
          <w:sz w:val="21"/>
          <w:szCs w:val="21"/>
        </w:rPr>
        <w:t>选长生命周期物料，量产前评估批次分散性与替代方案。</w:t>
      </w:r>
    </w:p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left w:val="single" w:sz="18" w:space="0" w:color="1F4E79"/>
            </w:tcBorders>
            <w:shd w:fill="F2F7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ascii="微软雅黑" w:hAnsi="微软雅黑" w:cs="微软雅黑"/>
                <w:b/>
                <w:bCs/>
                <w:color w:val="1F4E79"/>
                <w:sz w:val="21"/>
                <w:szCs w:val="21"/>
              </w:rPr>
              <w:t>评审建议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>在原理图评审阶段即引入晶振选型检查清单，逐项确认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>样品阶段必须完成全温区、全电压范围内的频率与起振测试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exact" w:line="290" w:before="0" w:after="50"/>
              <w:rPr/>
            </w:pPr>
            <w:r>
              <w:rPr>
                <w:rFonts w:ascii="微软雅黑" w:hAnsi="微软雅黑" w:cs="微软雅黑"/>
                <w:sz w:val="20"/>
                <w:szCs w:val="20"/>
              </w:rPr>
              <w:t>量产前完成批次一致性与可靠性验证，并对关键参数留足裕度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微软雅黑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微软雅黑" w:hAnsi="微软雅黑" w:cs="微软雅黑"/>
        <w:color w:val="808080"/>
        <w:sz w:val="16"/>
        <w:szCs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ascii="微软雅黑" w:hAnsi="微软雅黑" w:cs="微软雅黑"/>
        <w:color w:val="808080"/>
        <w:sz w:val="16"/>
        <w:szCs w:val="16"/>
      </w:rPr>
      <w:t xml:space="preserve"> 页 </w:t>
    </w:r>
    <w:r>
      <w:rPr>
        <w:rFonts w:eastAsia="微软雅黑" w:cs="微软雅黑"/>
        <w:color w:val="808080"/>
        <w:sz w:val="16"/>
        <w:szCs w:val="16"/>
      </w:rPr>
      <w:t xml:space="preserve">/ </w:t>
    </w:r>
    <w:r>
      <w:rPr>
        <w:rFonts w:ascii="微软雅黑" w:hAnsi="微软雅黑" w:cs="微软雅黑"/>
        <w:color w:val="808080"/>
        <w:sz w:val="16"/>
        <w:szCs w:val="16"/>
      </w:rPr>
      <w:t xml:space="preserve">共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ascii="微软雅黑" w:hAnsi="微软雅黑" w:cs="微软雅黑"/>
        <w:color w:val="808080"/>
        <w:sz w:val="16"/>
        <w:szCs w:val="16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ascii="微软雅黑" w:hAnsi="微软雅黑" w:cs="微软雅黑"/>
        <w:color w:val="808080"/>
        <w:sz w:val="16"/>
        <w:szCs w:val="16"/>
      </w:rPr>
      <w:t xml:space="preserve">第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ascii="微软雅黑" w:hAnsi="微软雅黑" w:cs="微软雅黑"/>
        <w:color w:val="808080"/>
        <w:sz w:val="16"/>
        <w:szCs w:val="16"/>
      </w:rPr>
      <w:t xml:space="preserve"> 页 </w:t>
    </w:r>
    <w:r>
      <w:rPr>
        <w:rFonts w:eastAsia="微软雅黑" w:cs="微软雅黑"/>
        <w:color w:val="808080"/>
        <w:sz w:val="16"/>
        <w:szCs w:val="16"/>
      </w:rPr>
      <w:t xml:space="preserve">/ </w:t>
    </w:r>
    <w:r>
      <w:rPr>
        <w:rFonts w:ascii="微软雅黑" w:hAnsi="微软雅黑" w:cs="微软雅黑"/>
        <w:color w:val="808080"/>
        <w:sz w:val="16"/>
        <w:szCs w:val="16"/>
      </w:rPr>
      <w:t xml:space="preserve">共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  <w:r>
      <w:rPr>
        <w:rFonts w:ascii="微软雅黑" w:hAnsi="微软雅黑" w:cs="微软雅黑"/>
        <w:color w:val="808080"/>
        <w:sz w:val="16"/>
        <w:szCs w:val="16"/>
      </w:rPr>
      <w:t xml:space="preserve"> 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jc w:val="right"/>
      <w:rPr/>
    </w:pPr>
    <w:r>
      <w:rPr>
        <w:rFonts w:ascii="微软雅黑" w:hAnsi="微软雅黑" w:cs="微软雅黑"/>
        <w:color w:val="808080"/>
        <w:sz w:val="16"/>
        <w:szCs w:val="16"/>
      </w:rPr>
      <w:t xml:space="preserve">晶振器件选型要点  </w:t>
    </w:r>
    <w:r>
      <w:rPr>
        <w:rFonts w:eastAsia="微软雅黑" w:cs="微软雅黑"/>
        <w:color w:val="808080"/>
        <w:sz w:val="16"/>
        <w:szCs w:val="16"/>
      </w:rPr>
      <w:t>|  Crystal Oscillator Selection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jc w:val="right"/>
      <w:rPr/>
    </w:pPr>
    <w:r>
      <w:rPr>
        <w:rFonts w:ascii="微软雅黑" w:hAnsi="微软雅黑" w:cs="微软雅黑"/>
        <w:color w:val="808080"/>
        <w:sz w:val="16"/>
        <w:szCs w:val="16"/>
      </w:rPr>
      <w:t xml:space="preserve">晶振器件选型要点  </w:t>
    </w:r>
    <w:r>
      <w:rPr>
        <w:rFonts w:eastAsia="微软雅黑" w:cs="微软雅黑"/>
        <w:color w:val="808080"/>
        <w:sz w:val="16"/>
        <w:szCs w:val="16"/>
      </w:rPr>
      <w:t>|  Crystal Oscillator Selection Guide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20" w:hanging="32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100" w:hanging="32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微软雅黑" w:hAnsi="微软雅黑" w:eastAsia="微软雅黑" w:cs="微软雅黑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exact" w:line="300" w:before="0" w:after="0"/>
      <w:jc w:val="left"/>
    </w:pPr>
    <w:rPr>
      <w:rFonts w:ascii="微软雅黑" w:hAnsi="微软雅黑" w:eastAsia="微软雅黑" w:cs="微软雅黑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320" w:after="180"/>
      <w:outlineLvl w:val="0"/>
    </w:pPr>
    <w:rPr>
      <w:rFonts w:ascii="微软雅黑" w:hAnsi="微软雅黑" w:eastAsia="微软雅黑" w:cs="微软雅黑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微软雅黑" w:hAnsi="微软雅黑" w:eastAsia="微软雅黑" w:cs="微软雅黑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微软雅黑" w:hAnsi="微软雅黑" w:eastAsia="微软雅黑" w:cs="微软雅黑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2026-10-04T10:34:09Z</dcterms:created>
  <dc:creator>硬件选型指南</dc:creator>
  <dc:description>晶体振荡器选型指南 - 参数、类型对比、流程清单与避坑</dc:description>
  <dc:language>en-US</dc:language>
  <cp:lastModifiedBy/>
  <dcterms:modified xsi:type="dcterms:W3CDTF">2026-10-04T18:34:10Z</dcterms:modified>
  <cp:revision>2</cp:revision>
  <dc:subject/>
  <dc:title>晶振器件选型要点</dc:title>
</cp:coreProperties>
</file>