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both"/>
        <w:rPr>
          <w:rFonts w:hint="eastAsia" w:eastAsia="仿宋_GB2312" w:cs="仿宋_GB2312"/>
          <w:sz w:val="32"/>
          <w:szCs w:val="32"/>
        </w:rPr>
      </w:pPr>
      <w:r>
        <w:rPr>
          <w:color w:val="000000"/>
          <w:sz w:val="32"/>
          <w:szCs w:val="32"/>
        </w:rPr>
        <w:t>HNPR</w:t>
      </w:r>
      <w:r>
        <w:rPr>
          <w:rFonts w:hint="eastAsia" w:ascii="仿宋_GB2312" w:eastAsia="仿宋_GB2312"/>
          <w:color w:val="000000"/>
          <w:sz w:val="32"/>
          <w:szCs w:val="32"/>
        </w:rPr>
        <w:t>—</w:t>
      </w:r>
      <w:r>
        <w:rPr>
          <w:color w:val="000000"/>
          <w:sz w:val="32"/>
          <w:szCs w:val="32"/>
        </w:rPr>
        <w:t>202</w:t>
      </w:r>
      <w:r>
        <w:rPr>
          <w:rFonts w:hint="eastAsia"/>
          <w:color w:val="000000"/>
          <w:sz w:val="32"/>
          <w:szCs w:val="32"/>
        </w:rPr>
        <w:t>1</w:t>
      </w:r>
      <w:r>
        <w:rPr>
          <w:rFonts w:hint="eastAsia" w:ascii="仿宋_GB2312" w:eastAsia="仿宋_GB2312"/>
          <w:color w:val="000000"/>
          <w:sz w:val="32"/>
          <w:szCs w:val="32"/>
        </w:rPr>
        <w:t>—</w:t>
      </w:r>
      <w:r>
        <w:rPr>
          <w:color w:val="000000"/>
          <w:sz w:val="32"/>
          <w:szCs w:val="32"/>
        </w:rPr>
        <w:t>010</w:t>
      </w:r>
      <w:r>
        <w:rPr>
          <w:rFonts w:hint="eastAsia"/>
          <w:color w:val="000000"/>
          <w:sz w:val="32"/>
          <w:szCs w:val="32"/>
        </w:rPr>
        <w:t>01</w:t>
      </w:r>
    </w:p>
    <w:p>
      <w:pPr>
        <w:spacing w:line="596" w:lineRule="exact"/>
        <w:jc w:val="center"/>
        <w:rPr>
          <w:rFonts w:hint="eastAsia" w:ascii="华文中宋" w:hAnsi="华文中宋" w:eastAsia="华文中宋" w:cs="华文中宋"/>
          <w:sz w:val="42"/>
          <w:szCs w:val="42"/>
        </w:rPr>
      </w:pPr>
    </w:p>
    <w:p>
      <w:pPr>
        <w:spacing w:line="596" w:lineRule="exact"/>
        <w:jc w:val="center"/>
        <w:rPr>
          <w:rFonts w:ascii="华文中宋" w:hAnsi="华文中宋" w:eastAsia="华文中宋"/>
          <w:b/>
          <w:bCs/>
          <w:sz w:val="42"/>
          <w:szCs w:val="42"/>
        </w:rPr>
      </w:pPr>
      <w:r>
        <w:rPr>
          <w:rFonts w:hint="eastAsia" w:ascii="华文中宋" w:hAnsi="华文中宋" w:eastAsia="华文中宋" w:cs="华文中宋"/>
          <w:b/>
          <w:bCs/>
          <w:sz w:val="42"/>
          <w:szCs w:val="42"/>
        </w:rPr>
        <w:t>湖南省人民政府办公厅</w:t>
      </w:r>
    </w:p>
    <w:p>
      <w:pPr>
        <w:spacing w:line="596" w:lineRule="exact"/>
        <w:jc w:val="center"/>
        <w:rPr>
          <w:rFonts w:ascii="华文中宋" w:hAnsi="华文中宋" w:eastAsia="华文中宋"/>
          <w:b/>
          <w:bCs/>
          <w:sz w:val="42"/>
          <w:szCs w:val="42"/>
        </w:rPr>
      </w:pPr>
      <w:r>
        <w:rPr>
          <w:rFonts w:hint="eastAsia" w:ascii="华文中宋" w:hAnsi="华文中宋" w:eastAsia="华文中宋" w:cs="华文中宋"/>
          <w:b/>
          <w:bCs/>
          <w:sz w:val="42"/>
          <w:szCs w:val="42"/>
        </w:rPr>
        <w:t>关于加快电动汽车充（换）电基础设施</w:t>
      </w:r>
    </w:p>
    <w:p>
      <w:pPr>
        <w:spacing w:line="596" w:lineRule="exact"/>
        <w:jc w:val="center"/>
        <w:rPr>
          <w:rFonts w:hint="eastAsia" w:ascii="华文中宋" w:hAnsi="华文中宋" w:eastAsia="华文中宋" w:cs="华文中宋"/>
          <w:b/>
          <w:bCs/>
          <w:sz w:val="42"/>
          <w:szCs w:val="42"/>
        </w:rPr>
      </w:pPr>
      <w:r>
        <w:rPr>
          <w:rFonts w:hint="eastAsia" w:ascii="华文中宋" w:hAnsi="华文中宋" w:eastAsia="华文中宋" w:cs="华文中宋"/>
          <w:b/>
          <w:bCs/>
          <w:sz w:val="42"/>
          <w:szCs w:val="42"/>
        </w:rPr>
        <w:t>建设的实施意见</w:t>
      </w:r>
      <w:bookmarkStart w:id="0" w:name="_GoBack"/>
      <w:bookmarkEnd w:id="0"/>
    </w:p>
    <w:p>
      <w:pPr>
        <w:pStyle w:val="2"/>
        <w:rPr>
          <w:rFonts w:hint="eastAsia"/>
        </w:rPr>
      </w:pPr>
    </w:p>
    <w:p>
      <w:pPr>
        <w:pStyle w:val="2"/>
        <w:jc w:val="center"/>
        <w:rPr>
          <w:rFonts w:hint="eastAsia" w:eastAsia="仿宋_GB2312" w:cs="仿宋_GB2312"/>
          <w:sz w:val="32"/>
          <w:szCs w:val="32"/>
        </w:rPr>
      </w:pPr>
      <w:r>
        <w:rPr>
          <w:rFonts w:hint="eastAsia" w:eastAsia="仿宋_GB2312" w:cs="仿宋_GB2312"/>
          <w:sz w:val="32"/>
          <w:szCs w:val="32"/>
        </w:rPr>
        <w:t>湘政办发〔</w:t>
      </w:r>
      <w:r>
        <w:rPr>
          <w:rFonts w:eastAsia="仿宋_GB2312"/>
          <w:sz w:val="32"/>
          <w:szCs w:val="32"/>
        </w:rPr>
        <w:t>2021</w:t>
      </w:r>
      <w:r>
        <w:rPr>
          <w:rFonts w:hint="eastAsia" w:eastAsia="仿宋_GB2312" w:cs="仿宋_GB2312"/>
          <w:sz w:val="32"/>
          <w:szCs w:val="32"/>
        </w:rPr>
        <w:t>〕</w:t>
      </w:r>
      <w:r>
        <w:rPr>
          <w:rFonts w:hint="eastAsia" w:eastAsia="仿宋_GB2312"/>
          <w:sz w:val="32"/>
          <w:szCs w:val="32"/>
        </w:rPr>
        <w:t>4</w:t>
      </w:r>
      <w:r>
        <w:rPr>
          <w:rFonts w:hint="eastAsia" w:eastAsia="仿宋_GB2312" w:cs="仿宋_GB2312"/>
          <w:sz w:val="32"/>
          <w:szCs w:val="32"/>
        </w:rPr>
        <w:t>号</w:t>
      </w:r>
    </w:p>
    <w:p>
      <w:pPr>
        <w:adjustRightInd w:val="0"/>
        <w:snapToGrid w:val="0"/>
        <w:spacing w:line="560" w:lineRule="exact"/>
        <w:ind w:firstLine="856"/>
        <w:rPr>
          <w:rFonts w:eastAsia="仿宋_GB2312"/>
          <w:spacing w:val="-6"/>
          <w:sz w:val="44"/>
          <w:szCs w:val="44"/>
        </w:rPr>
      </w:pPr>
    </w:p>
    <w:p>
      <w:pPr>
        <w:adjustRightInd w:val="0"/>
        <w:snapToGrid w:val="0"/>
        <w:spacing w:line="560" w:lineRule="exact"/>
        <w:rPr>
          <w:rFonts w:eastAsia="仿宋_GB2312"/>
          <w:spacing w:val="-6"/>
          <w:sz w:val="32"/>
          <w:szCs w:val="32"/>
        </w:rPr>
      </w:pPr>
      <w:r>
        <w:rPr>
          <w:rFonts w:hint="eastAsia" w:eastAsia="仿宋_GB2312" w:cs="仿宋_GB2312"/>
          <w:spacing w:val="-6"/>
          <w:sz w:val="32"/>
          <w:szCs w:val="32"/>
        </w:rPr>
        <w:t>各市州、县市区人民政府，省政府各厅委、各直属机构：</w:t>
      </w:r>
    </w:p>
    <w:p>
      <w:pPr>
        <w:adjustRightInd w:val="0"/>
        <w:snapToGrid w:val="0"/>
        <w:spacing w:line="560" w:lineRule="exact"/>
        <w:ind w:firstLine="616" w:firstLineChars="200"/>
        <w:rPr>
          <w:rFonts w:eastAsia="仿宋_GB2312"/>
          <w:sz w:val="32"/>
          <w:szCs w:val="32"/>
        </w:rPr>
      </w:pPr>
      <w:r>
        <w:rPr>
          <w:rFonts w:hint="eastAsia" w:eastAsia="仿宋_GB2312" w:cs="仿宋_GB2312"/>
          <w:spacing w:val="-6"/>
          <w:sz w:val="32"/>
          <w:szCs w:val="32"/>
        </w:rPr>
        <w:t>为深入贯彻落实国家新型基础设施建设决策部署，促进新能源汽车推广使用，进一步加快全省电动汽车充（换）电基础设施（以下简称充电设施）建设，经省人民政府同意，现提出以下实施意见。</w:t>
      </w:r>
    </w:p>
    <w:p>
      <w:pPr>
        <w:adjustRightInd w:val="0"/>
        <w:snapToGrid w:val="0"/>
        <w:spacing w:line="560" w:lineRule="exact"/>
        <w:ind w:firstLine="640" w:firstLineChars="200"/>
        <w:rPr>
          <w:rFonts w:eastAsia="黑体"/>
          <w:sz w:val="32"/>
          <w:szCs w:val="32"/>
        </w:rPr>
      </w:pPr>
      <w:r>
        <w:rPr>
          <w:rFonts w:hint="eastAsia" w:eastAsia="黑体" w:cs="黑体"/>
          <w:sz w:val="32"/>
          <w:szCs w:val="32"/>
        </w:rPr>
        <w:t>一、总体目标</w:t>
      </w:r>
    </w:p>
    <w:p>
      <w:pPr>
        <w:adjustRightInd w:val="0"/>
        <w:snapToGrid w:val="0"/>
        <w:spacing w:line="560" w:lineRule="exact"/>
        <w:ind w:firstLine="640" w:firstLineChars="200"/>
        <w:rPr>
          <w:rFonts w:ascii="仿宋_GB2312" w:eastAsia="仿宋_GB2312"/>
          <w:sz w:val="32"/>
          <w:szCs w:val="32"/>
        </w:rPr>
      </w:pPr>
      <w:r>
        <w:rPr>
          <w:rFonts w:hint="eastAsia" w:ascii="仿宋_GB2312" w:eastAsia="仿宋_GB2312" w:cs="仿宋_GB2312"/>
          <w:sz w:val="32"/>
          <w:szCs w:val="32"/>
        </w:rPr>
        <w:t>按照“规划引领、科学布局、适度超前、有序建设”的原则，坚持“依托市场、创新机制、多措并举、分类施策”，基本建成“车桩相随、开放通用、标准统一、智能高效”的充电设施体系。长株潭都市圈公共充电桩与电动汽车比例达到国内先进水平，城市核心区公共充电设施服务半径小于</w:t>
      </w:r>
      <w:r>
        <w:rPr>
          <w:rFonts w:ascii="仿宋_GB2312" w:eastAsia="仿宋_GB2312" w:cs="仿宋_GB2312"/>
          <w:sz w:val="32"/>
          <w:szCs w:val="32"/>
        </w:rPr>
        <w:t>1</w:t>
      </w:r>
      <w:r>
        <w:rPr>
          <w:rFonts w:hint="eastAsia" w:ascii="仿宋_GB2312" w:eastAsia="仿宋_GB2312" w:cs="仿宋_GB2312"/>
          <w:sz w:val="32"/>
          <w:szCs w:val="32"/>
        </w:rPr>
        <w:t>公里。其他市州城市核心区公共充电设施服务半径小于</w:t>
      </w:r>
      <w:r>
        <w:rPr>
          <w:rFonts w:ascii="仿宋_GB2312" w:eastAsia="仿宋_GB2312" w:cs="仿宋_GB2312"/>
          <w:sz w:val="32"/>
          <w:szCs w:val="32"/>
        </w:rPr>
        <w:t>2</w:t>
      </w:r>
      <w:r>
        <w:rPr>
          <w:rFonts w:hint="eastAsia" w:ascii="仿宋_GB2312" w:eastAsia="仿宋_GB2312" w:cs="仿宋_GB2312"/>
          <w:sz w:val="32"/>
          <w:szCs w:val="32"/>
        </w:rPr>
        <w:t>公里。高速公路和国省干线充电站间隔少于</w:t>
      </w:r>
      <w:r>
        <w:rPr>
          <w:rFonts w:ascii="仿宋_GB2312" w:eastAsia="仿宋_GB2312" w:cs="仿宋_GB2312"/>
          <w:sz w:val="32"/>
          <w:szCs w:val="32"/>
        </w:rPr>
        <w:t>50</w:t>
      </w:r>
      <w:r>
        <w:rPr>
          <w:rFonts w:hint="eastAsia" w:ascii="仿宋_GB2312" w:eastAsia="仿宋_GB2312" w:cs="仿宋_GB2312"/>
          <w:sz w:val="32"/>
          <w:szCs w:val="32"/>
        </w:rPr>
        <w:t>公里。到</w:t>
      </w:r>
      <w:r>
        <w:rPr>
          <w:rFonts w:ascii="仿宋_GB2312" w:eastAsia="仿宋_GB2312" w:cs="仿宋_GB2312"/>
          <w:sz w:val="32"/>
          <w:szCs w:val="32"/>
        </w:rPr>
        <w:t>2025</w:t>
      </w:r>
      <w:r>
        <w:rPr>
          <w:rFonts w:hint="eastAsia" w:ascii="仿宋_GB2312" w:eastAsia="仿宋_GB2312" w:cs="仿宋_GB2312"/>
          <w:sz w:val="32"/>
          <w:szCs w:val="32"/>
        </w:rPr>
        <w:t>年底，全省充电设施保有量达到</w:t>
      </w:r>
      <w:r>
        <w:rPr>
          <w:rFonts w:ascii="仿宋_GB2312" w:eastAsia="仿宋_GB2312" w:cs="仿宋_GB2312"/>
          <w:sz w:val="32"/>
          <w:szCs w:val="32"/>
        </w:rPr>
        <w:t>40</w:t>
      </w:r>
      <w:r>
        <w:rPr>
          <w:rFonts w:hint="eastAsia" w:ascii="仿宋_GB2312" w:eastAsia="仿宋_GB2312" w:cs="仿宋_GB2312"/>
          <w:sz w:val="32"/>
          <w:szCs w:val="32"/>
        </w:rPr>
        <w:t>万个以上，保障全省电动汽车出行和省外过境电动汽车充电需求。</w:t>
      </w:r>
    </w:p>
    <w:p>
      <w:pPr>
        <w:adjustRightInd w:val="0"/>
        <w:snapToGrid w:val="0"/>
        <w:spacing w:line="560" w:lineRule="exact"/>
        <w:ind w:firstLine="640" w:firstLineChars="200"/>
        <w:rPr>
          <w:rFonts w:eastAsia="黑体"/>
          <w:sz w:val="32"/>
          <w:szCs w:val="32"/>
        </w:rPr>
      </w:pPr>
      <w:r>
        <w:rPr>
          <w:rFonts w:hint="eastAsia" w:eastAsia="黑体" w:cs="黑体"/>
          <w:sz w:val="32"/>
          <w:szCs w:val="32"/>
        </w:rPr>
        <w:t>二、重点任务</w:t>
      </w:r>
    </w:p>
    <w:p>
      <w:pPr>
        <w:adjustRightInd w:val="0"/>
        <w:snapToGrid w:val="0"/>
        <w:spacing w:line="560" w:lineRule="exact"/>
        <w:ind w:firstLine="640" w:firstLineChars="200"/>
        <w:rPr>
          <w:rFonts w:ascii="仿宋_GB2312" w:eastAsia="仿宋_GB2312"/>
          <w:sz w:val="32"/>
          <w:szCs w:val="32"/>
        </w:rPr>
      </w:pPr>
      <w:r>
        <w:rPr>
          <w:rFonts w:hint="eastAsia" w:ascii="楷体_GB2312" w:eastAsia="楷体_GB2312" w:cs="楷体_GB2312"/>
          <w:sz w:val="32"/>
          <w:szCs w:val="32"/>
        </w:rPr>
        <w:t>（一）推进居民区充电设施建设。</w:t>
      </w:r>
      <w:r>
        <w:rPr>
          <w:rFonts w:hint="eastAsia" w:ascii="仿宋_GB2312" w:eastAsia="仿宋_GB2312" w:cs="仿宋_GB2312"/>
          <w:sz w:val="32"/>
          <w:szCs w:val="32"/>
        </w:rPr>
        <w:t>新建住宅小区专属停车位，按</w:t>
      </w:r>
      <w:r>
        <w:rPr>
          <w:rFonts w:ascii="仿宋_GB2312" w:eastAsia="仿宋_GB2312" w:cs="仿宋_GB2312"/>
          <w:sz w:val="32"/>
          <w:szCs w:val="32"/>
        </w:rPr>
        <w:t>100%</w:t>
      </w:r>
      <w:r>
        <w:rPr>
          <w:rFonts w:hint="eastAsia" w:ascii="仿宋_GB2312" w:eastAsia="仿宋_GB2312" w:cs="仿宋_GB2312"/>
          <w:sz w:val="32"/>
          <w:szCs w:val="32"/>
        </w:rPr>
        <w:t>配建比例预留电动汽车充电桩安装条件（包括必要的土建设施、供电容量、设备位置、电缆桥架等，达到接桩即可用，下同），供配电设施参照湖南省配电设施建设技术规范的最新要求。已建住宅小区根据实际需要和场地建设条件，应配建一定比例的公共充电设施，支持业主自建自用充电设施。鼓励采用有序充电模式。鼓励在新建和既有小区设立电动摩托车充电区域，规范电动摩托车充电设施。鼓励支持充电设施运营企业、物业服务企业同业主共同参与住宅小区充电设施建设及运营管理。选择一批新建和已建成小区，推动创建“充电服务示范居民小区”。</w:t>
      </w:r>
    </w:p>
    <w:p>
      <w:pPr>
        <w:adjustRightInd w:val="0"/>
        <w:snapToGrid w:val="0"/>
        <w:spacing w:line="560" w:lineRule="exact"/>
        <w:ind w:firstLine="640" w:firstLineChars="200"/>
        <w:rPr>
          <w:rFonts w:eastAsia="仿宋_GB2312"/>
          <w:sz w:val="32"/>
          <w:szCs w:val="32"/>
        </w:rPr>
      </w:pPr>
      <w:r>
        <w:rPr>
          <w:rFonts w:hint="eastAsia" w:ascii="楷体_GB2312" w:eastAsia="楷体_GB2312" w:cs="楷体_GB2312"/>
          <w:sz w:val="32"/>
          <w:szCs w:val="32"/>
        </w:rPr>
        <w:t>（二）推动公路沿线充电设施建设。</w:t>
      </w:r>
      <w:r>
        <w:rPr>
          <w:rFonts w:hint="eastAsia" w:ascii="仿宋_GB2312" w:eastAsia="仿宋_GB2312" w:cs="仿宋_GB2312"/>
          <w:sz w:val="32"/>
          <w:szCs w:val="32"/>
        </w:rPr>
        <w:t>干线公路沿线要配建单桩功率不低于</w:t>
      </w:r>
      <w:r>
        <w:rPr>
          <w:rFonts w:ascii="仿宋_GB2312" w:eastAsia="仿宋_GB2312" w:cs="仿宋_GB2312"/>
          <w:sz w:val="32"/>
          <w:szCs w:val="32"/>
        </w:rPr>
        <w:t>60</w:t>
      </w:r>
      <w:r>
        <w:rPr>
          <w:rFonts w:hint="eastAsia" w:ascii="仿宋_GB2312" w:eastAsia="仿宋_GB2312" w:cs="仿宋_GB2312"/>
          <w:sz w:val="32"/>
          <w:szCs w:val="32"/>
        </w:rPr>
        <w:t>千瓦的快速充电桩。新建高速公路服务区按照不低于</w:t>
      </w:r>
      <w:r>
        <w:rPr>
          <w:rFonts w:ascii="仿宋_GB2312" w:eastAsia="仿宋_GB2312" w:cs="仿宋_GB2312"/>
          <w:sz w:val="32"/>
          <w:szCs w:val="32"/>
        </w:rPr>
        <w:t>30%</w:t>
      </w:r>
      <w:r>
        <w:rPr>
          <w:rFonts w:hint="eastAsia" w:ascii="仿宋_GB2312" w:eastAsia="仿宋_GB2312" w:cs="仿宋_GB2312"/>
          <w:sz w:val="32"/>
          <w:szCs w:val="32"/>
        </w:rPr>
        <w:t>的车位比例建设充电设施或预留建设安装条件。既有服务区应加快升级改造，到</w:t>
      </w:r>
      <w:r>
        <w:rPr>
          <w:rFonts w:ascii="仿宋_GB2312" w:eastAsia="仿宋_GB2312" w:cs="仿宋_GB2312"/>
          <w:sz w:val="32"/>
          <w:szCs w:val="32"/>
        </w:rPr>
        <w:t>2025</w:t>
      </w:r>
      <w:r>
        <w:rPr>
          <w:rFonts w:hint="eastAsia" w:ascii="仿宋_GB2312" w:eastAsia="仿宋_GB2312" w:cs="仿宋_GB2312"/>
          <w:sz w:val="32"/>
          <w:szCs w:val="32"/>
        </w:rPr>
        <w:t>年底，在具备条件的情况下，配建充电设施车位比例不得低于</w:t>
      </w:r>
      <w:r>
        <w:rPr>
          <w:rFonts w:ascii="仿宋_GB2312" w:eastAsia="仿宋_GB2312" w:cs="仿宋_GB2312"/>
          <w:sz w:val="32"/>
          <w:szCs w:val="32"/>
        </w:rPr>
        <w:t>30%</w:t>
      </w:r>
      <w:r>
        <w:rPr>
          <w:rFonts w:hint="eastAsia" w:ascii="仿宋_GB2312" w:eastAsia="仿宋_GB2312" w:cs="仿宋_GB2312"/>
          <w:sz w:val="32"/>
          <w:szCs w:val="32"/>
        </w:rPr>
        <w:t>。积极布局国省道和重要县乡道路沿线快速充电设施。</w:t>
      </w:r>
    </w:p>
    <w:p>
      <w:pPr>
        <w:adjustRightInd w:val="0"/>
        <w:snapToGrid w:val="0"/>
        <w:spacing w:line="560" w:lineRule="exact"/>
        <w:ind w:firstLine="640" w:firstLineChars="200"/>
        <w:rPr>
          <w:rFonts w:eastAsia="仿宋_GB2312"/>
          <w:sz w:val="32"/>
          <w:szCs w:val="32"/>
        </w:rPr>
      </w:pPr>
      <w:r>
        <w:rPr>
          <w:rFonts w:hint="eastAsia" w:ascii="楷体_GB2312" w:eastAsia="楷体_GB2312" w:cs="楷体_GB2312"/>
          <w:sz w:val="32"/>
          <w:szCs w:val="32"/>
        </w:rPr>
        <w:t>（三）推进公共停车场充电设施建设。</w:t>
      </w:r>
      <w:r>
        <w:rPr>
          <w:rFonts w:hint="eastAsia" w:ascii="仿宋_GB2312" w:eastAsia="仿宋_GB2312" w:cs="仿宋_GB2312"/>
          <w:sz w:val="32"/>
          <w:szCs w:val="32"/>
        </w:rPr>
        <w:t>到</w:t>
      </w:r>
      <w:r>
        <w:rPr>
          <w:rFonts w:ascii="仿宋_GB2312" w:eastAsia="仿宋_GB2312" w:cs="仿宋_GB2312"/>
          <w:sz w:val="32"/>
          <w:szCs w:val="32"/>
        </w:rPr>
        <w:t>2025</w:t>
      </w:r>
      <w:r>
        <w:rPr>
          <w:rFonts w:hint="eastAsia" w:ascii="仿宋_GB2312" w:eastAsia="仿宋_GB2312" w:cs="仿宋_GB2312"/>
          <w:sz w:val="32"/>
          <w:szCs w:val="32"/>
        </w:rPr>
        <w:t>年底，新建的大型公共建筑物停车场、社会公共停车场、公共文化旅游娱乐休闲场所停车场，要按不低于</w:t>
      </w:r>
      <w:r>
        <w:rPr>
          <w:rFonts w:ascii="仿宋_GB2312" w:eastAsia="仿宋_GB2312" w:cs="仿宋_GB2312"/>
          <w:sz w:val="32"/>
          <w:szCs w:val="32"/>
        </w:rPr>
        <w:t>30%</w:t>
      </w:r>
      <w:r>
        <w:rPr>
          <w:rFonts w:hint="eastAsia" w:ascii="仿宋_GB2312" w:eastAsia="仿宋_GB2312" w:cs="仿宋_GB2312"/>
          <w:sz w:val="32"/>
          <w:szCs w:val="32"/>
        </w:rPr>
        <w:t>的车位比例建设充电设施，达不到比例的项目，相关部门不予审批、验收。改扩建项目要结合实施旧城改造、停车位改建、道路改建等工程，结合实际按需建设充电设施。设置新能源汽车专用车位，引导燃油车避免占用充电车位。</w:t>
      </w:r>
    </w:p>
    <w:p>
      <w:pPr>
        <w:adjustRightInd w:val="0"/>
        <w:snapToGrid w:val="0"/>
        <w:spacing w:line="560" w:lineRule="exact"/>
        <w:ind w:firstLine="640" w:firstLineChars="200"/>
        <w:rPr>
          <w:rFonts w:eastAsia="仿宋_GB2312"/>
          <w:sz w:val="32"/>
          <w:szCs w:val="32"/>
        </w:rPr>
      </w:pPr>
      <w:r>
        <w:rPr>
          <w:rFonts w:hint="eastAsia" w:ascii="楷体_GB2312" w:eastAsia="楷体_GB2312" w:cs="楷体_GB2312"/>
          <w:sz w:val="32"/>
          <w:szCs w:val="32"/>
        </w:rPr>
        <w:t>（四）推进单位内部停车场充电设施建设</w:t>
      </w:r>
      <w:r>
        <w:rPr>
          <w:rFonts w:hint="eastAsia" w:ascii="仿宋_GB2312" w:eastAsia="仿宋_GB2312" w:cs="仿宋_GB2312"/>
          <w:sz w:val="32"/>
          <w:szCs w:val="32"/>
        </w:rPr>
        <w:t>。党政机关、事业单位、国有企业、产业园区应利用内部停车场，按不低于</w:t>
      </w:r>
      <w:r>
        <w:rPr>
          <w:rFonts w:ascii="仿宋_GB2312" w:eastAsia="仿宋_GB2312" w:cs="仿宋_GB2312"/>
          <w:sz w:val="32"/>
          <w:szCs w:val="32"/>
        </w:rPr>
        <w:t>30%</w:t>
      </w:r>
      <w:r>
        <w:rPr>
          <w:rFonts w:hint="eastAsia" w:ascii="仿宋_GB2312" w:eastAsia="仿宋_GB2312" w:cs="仿宋_GB2312"/>
          <w:sz w:val="32"/>
          <w:szCs w:val="32"/>
        </w:rPr>
        <w:t>的车位比例建设充电设施。发挥党政机关和事业单位示范引领作用，鼓励在符合管理要求的前提下充分提高充电设施利用率，推动建设一批</w:t>
      </w:r>
      <w:r>
        <w:rPr>
          <w:rFonts w:ascii="仿宋_GB2312" w:eastAsia="仿宋_GB2312"/>
          <w:sz w:val="32"/>
          <w:szCs w:val="32"/>
        </w:rPr>
        <w:t>“</w:t>
      </w:r>
      <w:r>
        <w:rPr>
          <w:rFonts w:hint="eastAsia" w:ascii="仿宋_GB2312" w:eastAsia="仿宋_GB2312" w:cs="仿宋_GB2312"/>
          <w:sz w:val="32"/>
          <w:szCs w:val="32"/>
        </w:rPr>
        <w:t>充电服务示范单位</w:t>
      </w:r>
      <w:r>
        <w:rPr>
          <w:rFonts w:ascii="仿宋_GB2312" w:eastAsia="仿宋_GB2312"/>
          <w:sz w:val="32"/>
          <w:szCs w:val="32"/>
        </w:rPr>
        <w:t>”</w:t>
      </w:r>
      <w:r>
        <w:rPr>
          <w:rFonts w:hint="eastAsia" w:ascii="仿宋_GB2312" w:eastAsia="仿宋_GB2312" w:cs="仿宋_GB2312"/>
          <w:sz w:val="32"/>
          <w:szCs w:val="32"/>
        </w:rPr>
        <w:t>。</w:t>
      </w:r>
    </w:p>
    <w:p>
      <w:pPr>
        <w:adjustRightInd w:val="0"/>
        <w:snapToGrid w:val="0"/>
        <w:spacing w:line="560" w:lineRule="exact"/>
        <w:ind w:firstLine="640" w:firstLineChars="200"/>
        <w:rPr>
          <w:rFonts w:eastAsia="仿宋_GB2312"/>
          <w:sz w:val="32"/>
          <w:szCs w:val="32"/>
        </w:rPr>
      </w:pPr>
      <w:r>
        <w:rPr>
          <w:rFonts w:hint="eastAsia" w:ascii="楷体_GB2312" w:eastAsia="楷体_GB2312" w:cs="楷体_GB2312"/>
          <w:sz w:val="32"/>
          <w:szCs w:val="32"/>
        </w:rPr>
        <w:t>（五）推进旅游景区充电设施建设。</w:t>
      </w:r>
      <w:r>
        <w:rPr>
          <w:rFonts w:hint="eastAsia" w:ascii="仿宋_GB2312" w:eastAsia="仿宋_GB2312" w:cs="仿宋_GB2312"/>
          <w:sz w:val="32"/>
          <w:szCs w:val="32"/>
        </w:rPr>
        <w:t>到</w:t>
      </w:r>
      <w:r>
        <w:rPr>
          <w:rFonts w:ascii="仿宋_GB2312" w:eastAsia="仿宋_GB2312" w:cs="仿宋_GB2312"/>
          <w:sz w:val="32"/>
          <w:szCs w:val="32"/>
        </w:rPr>
        <w:t>2025</w:t>
      </w:r>
      <w:r>
        <w:rPr>
          <w:rFonts w:hint="eastAsia" w:ascii="仿宋_GB2312" w:eastAsia="仿宋_GB2312" w:cs="仿宋_GB2312"/>
          <w:sz w:val="32"/>
          <w:szCs w:val="32"/>
        </w:rPr>
        <w:t>年底，全省</w:t>
      </w:r>
      <w:r>
        <w:rPr>
          <w:rFonts w:ascii="仿宋_GB2312" w:eastAsia="仿宋_GB2312" w:cs="仿宋_GB2312"/>
          <w:sz w:val="32"/>
          <w:szCs w:val="32"/>
        </w:rPr>
        <w:t>4A</w:t>
      </w:r>
      <w:r>
        <w:rPr>
          <w:rFonts w:hint="eastAsia" w:ascii="仿宋_GB2312" w:eastAsia="仿宋_GB2312" w:cs="仿宋_GB2312"/>
          <w:sz w:val="32"/>
          <w:szCs w:val="32"/>
        </w:rPr>
        <w:t>级以上旅游景区、省级以上旅游度假区充电设施基本实现全覆盖，车位比例不低于</w:t>
      </w:r>
      <w:r>
        <w:rPr>
          <w:rFonts w:ascii="仿宋_GB2312" w:eastAsia="仿宋_GB2312" w:cs="仿宋_GB2312"/>
          <w:sz w:val="32"/>
          <w:szCs w:val="32"/>
        </w:rPr>
        <w:t>30%</w:t>
      </w:r>
      <w:r>
        <w:rPr>
          <w:rFonts w:hint="eastAsia" w:ascii="仿宋_GB2312" w:eastAsia="仿宋_GB2312" w:cs="仿宋_GB2312"/>
          <w:sz w:val="32"/>
          <w:szCs w:val="32"/>
        </w:rPr>
        <w:t>。省内其他旅游景区应结合实际按需建设充电设施。</w:t>
      </w:r>
    </w:p>
    <w:p>
      <w:pPr>
        <w:adjustRightInd w:val="0"/>
        <w:snapToGrid w:val="0"/>
        <w:spacing w:line="560" w:lineRule="exact"/>
        <w:ind w:firstLine="640" w:firstLineChars="200"/>
        <w:rPr>
          <w:rFonts w:eastAsia="仿宋_GB2312"/>
          <w:sz w:val="32"/>
          <w:szCs w:val="32"/>
        </w:rPr>
      </w:pPr>
      <w:r>
        <w:rPr>
          <w:rFonts w:hint="eastAsia" w:ascii="楷体_GB2312" w:eastAsia="楷体_GB2312" w:cs="楷体_GB2312"/>
          <w:sz w:val="32"/>
          <w:szCs w:val="32"/>
        </w:rPr>
        <w:t>（六）推进专用充电设施建设。</w:t>
      </w:r>
      <w:r>
        <w:rPr>
          <w:rFonts w:hint="eastAsia" w:eastAsia="仿宋_GB2312" w:cs="仿宋_GB2312"/>
          <w:sz w:val="32"/>
          <w:szCs w:val="32"/>
        </w:rPr>
        <w:t>公交、环卫、机场通勤等定点定线运行的公共服务领域，要优先在停车场站配建充电设施，在道路沿途因地制宜建设快充站。渣土运输、出租、物流、租赁、公安巡逻等非定点定线运行的公共服务领域，要根据行业特点布局建设充电设施，同时要挖掘内部停车场站资源，与城市公共充电设施高效互补。</w:t>
      </w:r>
    </w:p>
    <w:p>
      <w:pPr>
        <w:adjustRightInd w:val="0"/>
        <w:snapToGrid w:val="0"/>
        <w:spacing w:line="560" w:lineRule="exact"/>
        <w:ind w:firstLine="640" w:firstLineChars="200"/>
        <w:rPr>
          <w:rFonts w:eastAsia="仿宋_GB2312"/>
          <w:sz w:val="32"/>
          <w:szCs w:val="32"/>
        </w:rPr>
      </w:pPr>
      <w:r>
        <w:rPr>
          <w:rFonts w:hint="eastAsia" w:ascii="楷体_GB2312" w:eastAsia="楷体_GB2312" w:cs="楷体_GB2312"/>
          <w:sz w:val="32"/>
          <w:szCs w:val="32"/>
        </w:rPr>
        <w:t>（七）推进农村地区充电设施建设。</w:t>
      </w:r>
      <w:r>
        <w:rPr>
          <w:rFonts w:hint="eastAsia" w:ascii="仿宋_GB2312" w:eastAsia="仿宋_GB2312" w:cs="仿宋_GB2312"/>
          <w:sz w:val="32"/>
          <w:szCs w:val="32"/>
        </w:rPr>
        <w:t>结合乡村振兴战略，将充电设施建设纳入</w:t>
      </w:r>
      <w:r>
        <w:rPr>
          <w:rFonts w:ascii="仿宋_GB2312" w:eastAsia="仿宋_GB2312"/>
          <w:sz w:val="32"/>
          <w:szCs w:val="32"/>
        </w:rPr>
        <w:t>“</w:t>
      </w:r>
      <w:r>
        <w:rPr>
          <w:rFonts w:hint="eastAsia" w:ascii="仿宋_GB2312" w:eastAsia="仿宋_GB2312" w:cs="仿宋_GB2312"/>
          <w:sz w:val="32"/>
          <w:szCs w:val="32"/>
        </w:rPr>
        <w:t>村村通工程</w:t>
      </w:r>
      <w:r>
        <w:rPr>
          <w:rFonts w:ascii="仿宋_GB2312" w:eastAsia="仿宋_GB2312"/>
          <w:sz w:val="32"/>
          <w:szCs w:val="32"/>
        </w:rPr>
        <w:t>”</w:t>
      </w:r>
      <w:r>
        <w:rPr>
          <w:rFonts w:hint="eastAsia" w:ascii="仿宋_GB2312" w:eastAsia="仿宋_GB2312" w:cs="仿宋_GB2312"/>
          <w:sz w:val="32"/>
          <w:szCs w:val="32"/>
        </w:rPr>
        <w:t>，鼓励在乡镇和相对集中的村组公共场所建设公共充电设施，保障乡镇、村居民的接桩需求。</w:t>
      </w:r>
    </w:p>
    <w:p>
      <w:pPr>
        <w:adjustRightInd w:val="0"/>
        <w:snapToGrid w:val="0"/>
        <w:spacing w:line="560" w:lineRule="exact"/>
        <w:ind w:firstLine="640" w:firstLineChars="200"/>
        <w:rPr>
          <w:rFonts w:ascii="仿宋_GB2312" w:eastAsia="仿宋_GB2312"/>
          <w:sz w:val="32"/>
          <w:szCs w:val="32"/>
        </w:rPr>
      </w:pPr>
      <w:r>
        <w:rPr>
          <w:rFonts w:hint="eastAsia" w:ascii="楷体_GB2312" w:eastAsia="楷体_GB2312" w:cs="楷体_GB2312"/>
          <w:sz w:val="32"/>
          <w:szCs w:val="32"/>
        </w:rPr>
        <w:t>（八）推广装备技术研发和运营模式。</w:t>
      </w:r>
      <w:r>
        <w:rPr>
          <w:rFonts w:hint="eastAsia" w:ascii="仿宋_GB2312" w:eastAsia="仿宋_GB2312" w:cs="仿宋_GB2312"/>
          <w:sz w:val="32"/>
          <w:szCs w:val="32"/>
        </w:rPr>
        <w:t>推动大容量、高可靠性、安全便捷的充电设施新产品研发和产业化。探索车桩双向充电技术、充电设施与智能电网、风光</w:t>
      </w:r>
      <w:r>
        <w:rPr>
          <w:rFonts w:ascii="仿宋_GB2312" w:eastAsia="仿宋_GB2312" w:cs="仿宋_GB2312"/>
          <w:sz w:val="32"/>
          <w:szCs w:val="32"/>
        </w:rPr>
        <w:t>+</w:t>
      </w:r>
      <w:r>
        <w:rPr>
          <w:rFonts w:hint="eastAsia" w:ascii="仿宋_GB2312" w:eastAsia="仿宋_GB2312" w:cs="仿宋_GB2312"/>
          <w:sz w:val="32"/>
          <w:szCs w:val="32"/>
        </w:rPr>
        <w:t>储能、智能交通等新技术融合发展。鼓励充电设施与商业地产结合、充电服务企业与整车企业合作众筹等共建共享运营模式的推广应用。探索推进充电设施计量检定能力建设。</w:t>
      </w:r>
    </w:p>
    <w:p>
      <w:pPr>
        <w:adjustRightInd w:val="0"/>
        <w:snapToGrid w:val="0"/>
        <w:spacing w:line="560" w:lineRule="exact"/>
        <w:ind w:firstLine="640" w:firstLineChars="200"/>
        <w:rPr>
          <w:rFonts w:eastAsia="仿宋_GB2312"/>
          <w:sz w:val="32"/>
          <w:szCs w:val="32"/>
        </w:rPr>
      </w:pPr>
      <w:r>
        <w:rPr>
          <w:rFonts w:hint="eastAsia" w:ascii="楷体_GB2312" w:eastAsia="楷体_GB2312" w:cs="楷体_GB2312"/>
          <w:sz w:val="32"/>
          <w:szCs w:val="32"/>
        </w:rPr>
        <w:t>（九）推进标准建设和行业监管。</w:t>
      </w:r>
      <w:r>
        <w:rPr>
          <w:rFonts w:hint="eastAsia" w:ascii="仿宋_GB2312" w:eastAsia="仿宋_GB2312" w:cs="仿宋_GB2312"/>
          <w:sz w:val="32"/>
          <w:szCs w:val="32"/>
        </w:rPr>
        <w:t>加快研究制定充电设施建设、检测和验收的行业标准或地方标准。修订完善电动汽车充电基础设施建设与运营管理有关规定。</w:t>
      </w:r>
    </w:p>
    <w:p>
      <w:pPr>
        <w:adjustRightInd w:val="0"/>
        <w:snapToGrid w:val="0"/>
        <w:spacing w:line="560" w:lineRule="exact"/>
        <w:ind w:firstLine="620" w:firstLineChars="200"/>
        <w:rPr>
          <w:rFonts w:eastAsia="仿宋_GB2312"/>
          <w:spacing w:val="-6"/>
          <w:w w:val="97"/>
          <w:sz w:val="32"/>
          <w:szCs w:val="32"/>
        </w:rPr>
      </w:pPr>
      <w:r>
        <w:rPr>
          <w:rFonts w:hint="eastAsia" w:ascii="楷体_GB2312" w:eastAsia="楷体_GB2312" w:cs="楷体_GB2312"/>
          <w:w w:val="97"/>
          <w:sz w:val="32"/>
          <w:szCs w:val="32"/>
        </w:rPr>
        <w:t>（十）推进充电服务信息资源共享。</w:t>
      </w:r>
      <w:r>
        <w:rPr>
          <w:rFonts w:hint="eastAsia" w:ascii="仿宋_GB2312" w:eastAsia="仿宋_GB2312" w:cs="仿宋_GB2312"/>
          <w:w w:val="97"/>
          <w:sz w:val="32"/>
          <w:szCs w:val="32"/>
        </w:rPr>
        <w:t>依托现有平台资源，加快建成湖南省充电设施智能服务管理平台，将各运营商平台整合接入，为车主出行、行业自律和政府监管提供社会共享服务。</w:t>
      </w:r>
    </w:p>
    <w:p>
      <w:pPr>
        <w:adjustRightInd w:val="0"/>
        <w:snapToGrid w:val="0"/>
        <w:spacing w:line="560" w:lineRule="exact"/>
        <w:ind w:firstLine="640" w:firstLineChars="200"/>
        <w:rPr>
          <w:rFonts w:eastAsia="黑体"/>
          <w:sz w:val="32"/>
          <w:szCs w:val="32"/>
        </w:rPr>
      </w:pPr>
      <w:r>
        <w:rPr>
          <w:rFonts w:hint="eastAsia" w:eastAsia="黑体" w:cs="黑体"/>
          <w:sz w:val="32"/>
          <w:szCs w:val="32"/>
        </w:rPr>
        <w:t>三、保障措施</w:t>
      </w:r>
    </w:p>
    <w:p>
      <w:pPr>
        <w:adjustRightInd w:val="0"/>
        <w:snapToGrid w:val="0"/>
        <w:spacing w:line="560" w:lineRule="exact"/>
        <w:ind w:firstLine="640" w:firstLineChars="200"/>
        <w:rPr>
          <w:rFonts w:ascii="仿宋_GB2312" w:eastAsia="仿宋_GB2312"/>
          <w:sz w:val="32"/>
          <w:szCs w:val="32"/>
        </w:rPr>
      </w:pPr>
      <w:r>
        <w:rPr>
          <w:rFonts w:hint="eastAsia" w:ascii="楷体_GB2312" w:eastAsia="楷体_GB2312" w:cs="楷体_GB2312"/>
          <w:sz w:val="32"/>
          <w:szCs w:val="32"/>
        </w:rPr>
        <w:t>（一）加大政策支持。财政支持。</w:t>
      </w:r>
      <w:r>
        <w:rPr>
          <w:rFonts w:hint="eastAsia" w:eastAsia="仿宋_GB2312" w:cs="仿宋_GB2312"/>
          <w:sz w:val="32"/>
          <w:szCs w:val="32"/>
        </w:rPr>
        <w:t>支</w:t>
      </w:r>
      <w:r>
        <w:rPr>
          <w:rFonts w:hint="eastAsia" w:ascii="仿宋_GB2312" w:eastAsia="仿宋_GB2312" w:cs="仿宋_GB2312"/>
          <w:sz w:val="32"/>
          <w:szCs w:val="32"/>
        </w:rPr>
        <w:t>持符合条件的充电设施建设项目纳入地方政府专项债券发行范围。积极争取中央充电设施奖补资金。由省财政厅牵头，会同省发展改革委（省能源局）等部门研究制定</w:t>
      </w:r>
      <w:r>
        <w:rPr>
          <w:rFonts w:ascii="仿宋_GB2312" w:eastAsia="仿宋_GB2312" w:cs="仿宋_GB2312"/>
          <w:sz w:val="32"/>
          <w:szCs w:val="32"/>
        </w:rPr>
        <w:t>2021</w:t>
      </w:r>
      <w:r>
        <w:rPr>
          <w:rFonts w:hint="eastAsia" w:ascii="仿宋_GB2312" w:eastAsia="仿宋_GB2312" w:cs="仿宋_GB2312"/>
          <w:sz w:val="32"/>
          <w:szCs w:val="32"/>
        </w:rPr>
        <w:t>至</w:t>
      </w:r>
      <w:r>
        <w:rPr>
          <w:rFonts w:ascii="仿宋_GB2312" w:eastAsia="仿宋_GB2312" w:cs="仿宋_GB2312"/>
          <w:sz w:val="32"/>
          <w:szCs w:val="32"/>
        </w:rPr>
        <w:t>2022</w:t>
      </w:r>
      <w:r>
        <w:rPr>
          <w:rFonts w:hint="eastAsia" w:ascii="仿宋_GB2312" w:eastAsia="仿宋_GB2312" w:cs="仿宋_GB2312"/>
          <w:sz w:val="32"/>
          <w:szCs w:val="32"/>
        </w:rPr>
        <w:t>年的充换电基础设施建设运营奖补政策。金融支持。鼓励引导银行等金融机构加大充电设施建设信贷投入。建立多渠道投融资体系，吸引社会资本参与充电设施建设运营。规划用地。各市州要将充电设施建设内容纳入国土空间规划。需配建充电设施的新增用地项目，将配建要求纳入土地供应规划条件。需新征用地建设的充电设施项目，其用地规划性质按照公共设施用地确定，按照加油加气站用地供应模式，优先安排土地供应。用电价格。对向电网企业直接报装接电的经营性集中式充电设施用电，单独装表计量，执行大工业用电价格，</w:t>
      </w:r>
      <w:r>
        <w:rPr>
          <w:rFonts w:ascii="仿宋_GB2312" w:eastAsia="仿宋_GB2312" w:cs="仿宋_GB2312"/>
          <w:sz w:val="32"/>
          <w:szCs w:val="32"/>
        </w:rPr>
        <w:t>2025</w:t>
      </w:r>
      <w:r>
        <w:rPr>
          <w:rFonts w:hint="eastAsia" w:ascii="仿宋_GB2312" w:eastAsia="仿宋_GB2312" w:cs="仿宋_GB2312"/>
          <w:sz w:val="32"/>
          <w:szCs w:val="32"/>
        </w:rPr>
        <w:t>年前暂免收基本电费。其他充电设施按其所在场所执行分类目录电价，具备条件的，鼓励执行大工业电价。</w:t>
      </w:r>
    </w:p>
    <w:p>
      <w:pPr>
        <w:adjustRightInd w:val="0"/>
        <w:snapToGrid w:val="0"/>
        <w:spacing w:line="560" w:lineRule="exact"/>
        <w:ind w:firstLine="640" w:firstLineChars="200"/>
        <w:rPr>
          <w:rFonts w:ascii="仿宋_GB2312" w:eastAsia="仿宋_GB2312"/>
          <w:sz w:val="32"/>
          <w:szCs w:val="32"/>
        </w:rPr>
      </w:pPr>
      <w:r>
        <w:rPr>
          <w:rFonts w:hint="eastAsia" w:ascii="楷体_GB2312" w:eastAsia="楷体_GB2312" w:cs="楷体_GB2312"/>
          <w:sz w:val="32"/>
          <w:szCs w:val="32"/>
        </w:rPr>
        <w:t>（二）优化建设环境。</w:t>
      </w:r>
      <w:r>
        <w:rPr>
          <w:rFonts w:hint="eastAsia" w:ascii="仿宋_GB2312" w:eastAsia="仿宋_GB2312" w:cs="仿宋_GB2312"/>
          <w:sz w:val="32"/>
          <w:szCs w:val="32"/>
        </w:rPr>
        <w:t>简化建设审批手续。各居住区、单位停车场（位）和个人停车库（位）安装充电设施的，无需办理建设用地规划许可、建设工程规划许可和施工许可手续。公共停车场同步建设充电设施，无需单独办理建设工程规划许可和施工许可手续。新建单独占地的集中式充电站，符合国土空间规划的，应予办理建设用地规划许可、建设工程规划许可和施工许可手续。推进配套电网建设。电网企业要做好相关电力设施改造和建设工作，负责从产权分界点至公共电网的配套电网工程建设和运行维护，不收取接网费用。电力接入有关要求，按湖南省“简化获得电力”专项行动政策规定执行。</w:t>
      </w:r>
    </w:p>
    <w:p>
      <w:pPr>
        <w:adjustRightInd w:val="0"/>
        <w:snapToGrid w:val="0"/>
        <w:spacing w:line="560" w:lineRule="exact"/>
        <w:ind w:firstLine="640" w:firstLineChars="200"/>
        <w:rPr>
          <w:rFonts w:eastAsia="仿宋_GB2312"/>
          <w:sz w:val="32"/>
          <w:szCs w:val="32"/>
        </w:rPr>
      </w:pPr>
      <w:r>
        <w:rPr>
          <w:rFonts w:hint="eastAsia" w:ascii="楷体_GB2312" w:eastAsia="楷体_GB2312" w:cs="楷体_GB2312"/>
          <w:sz w:val="32"/>
          <w:szCs w:val="32"/>
        </w:rPr>
        <w:t>（三）落实安全责任。</w:t>
      </w:r>
      <w:r>
        <w:rPr>
          <w:rFonts w:hint="eastAsia" w:ascii="仿宋_GB2312" w:eastAsia="仿宋_GB2312" w:cs="仿宋_GB2312"/>
          <w:sz w:val="32"/>
          <w:szCs w:val="32"/>
        </w:rPr>
        <w:t>各市州、县市区人民政府落实属地安全监管职责。充电设施产权（运营）单位对本单位的安全生产承担主体责任。属于经营性充电设施的，应将运营服务安全管理贯穿于运营服务全过程，建立安全生产责任体系，实施风险分级管控与隐患排查治理，预防和减少生产安全事故。属于非经营性充电设施的，业主要切实履行安全管理主体责任，同时可通过购买商业保险规避风险。</w:t>
      </w:r>
    </w:p>
    <w:p>
      <w:pPr>
        <w:adjustRightInd w:val="0"/>
        <w:snapToGrid w:val="0"/>
        <w:spacing w:line="560" w:lineRule="exact"/>
        <w:ind w:firstLine="640" w:firstLineChars="200"/>
        <w:rPr>
          <w:rFonts w:eastAsia="仿宋_GB2312"/>
          <w:sz w:val="32"/>
          <w:szCs w:val="32"/>
        </w:rPr>
      </w:pPr>
      <w:r>
        <w:rPr>
          <w:rFonts w:hint="eastAsia" w:ascii="楷体_GB2312" w:eastAsia="楷体_GB2312" w:cs="楷体_GB2312"/>
          <w:sz w:val="32"/>
          <w:szCs w:val="32"/>
        </w:rPr>
        <w:t>（四）加大科研投入。</w:t>
      </w:r>
      <w:r>
        <w:rPr>
          <w:rFonts w:hint="eastAsia" w:eastAsia="仿宋_GB2312" w:cs="仿宋_GB2312"/>
          <w:sz w:val="32"/>
          <w:szCs w:val="32"/>
        </w:rPr>
        <w:t>延伸、强化、壮大充电设施上下游产业链，支持关键技术装备研发制造，建立健全老旧充电设施改造升级机制，鼓励企业加快推动高功率密度、高转换效率、高适用性、无线充电、移动充电等新型充换电技术及装备研发</w:t>
      </w:r>
      <w:r>
        <w:rPr>
          <w:rFonts w:hint="eastAsia" w:eastAsia="仿宋_GB2312" w:cs="仿宋_GB2312"/>
          <w:w w:val="97"/>
          <w:sz w:val="32"/>
          <w:szCs w:val="32"/>
        </w:rPr>
        <w:t>制造。加大专业人才培养力度，为行业发展提供强大的智力支撑。</w:t>
      </w:r>
    </w:p>
    <w:p>
      <w:pPr>
        <w:adjustRightInd w:val="0"/>
        <w:snapToGrid w:val="0"/>
        <w:spacing w:line="560" w:lineRule="exact"/>
        <w:ind w:firstLine="640" w:firstLineChars="200"/>
        <w:rPr>
          <w:rFonts w:eastAsia="黑体"/>
          <w:sz w:val="32"/>
          <w:szCs w:val="32"/>
        </w:rPr>
      </w:pPr>
      <w:r>
        <w:rPr>
          <w:rFonts w:hint="eastAsia" w:eastAsia="黑体" w:cs="黑体"/>
          <w:sz w:val="32"/>
          <w:szCs w:val="32"/>
        </w:rPr>
        <w:t>四、组织实施</w:t>
      </w:r>
    </w:p>
    <w:p>
      <w:pPr>
        <w:adjustRightInd w:val="0"/>
        <w:snapToGrid w:val="0"/>
        <w:spacing w:line="560" w:lineRule="exact"/>
        <w:ind w:firstLine="640" w:firstLineChars="200"/>
        <w:rPr>
          <w:rFonts w:eastAsia="仿宋_GB2312"/>
          <w:sz w:val="32"/>
          <w:szCs w:val="32"/>
        </w:rPr>
      </w:pPr>
      <w:r>
        <w:rPr>
          <w:rFonts w:hint="eastAsia" w:ascii="楷体_GB2312" w:eastAsia="楷体_GB2312" w:cs="楷体_GB2312"/>
          <w:sz w:val="32"/>
          <w:szCs w:val="32"/>
        </w:rPr>
        <w:t>（一）加强组织领导。</w:t>
      </w:r>
      <w:r>
        <w:rPr>
          <w:rFonts w:hint="eastAsia" w:eastAsia="仿宋_GB2312" w:cs="仿宋_GB2312"/>
          <w:sz w:val="32"/>
          <w:szCs w:val="32"/>
        </w:rPr>
        <w:t>建立</w:t>
      </w:r>
      <w:r>
        <w:rPr>
          <w:rFonts w:eastAsia="仿宋_GB2312"/>
          <w:sz w:val="32"/>
          <w:szCs w:val="32"/>
        </w:rPr>
        <w:t>“</w:t>
      </w:r>
      <w:r>
        <w:rPr>
          <w:rFonts w:hint="eastAsia" w:eastAsia="仿宋_GB2312" w:cs="仿宋_GB2312"/>
          <w:sz w:val="32"/>
          <w:szCs w:val="32"/>
        </w:rPr>
        <w:t>省统筹、市负责、县落实</w:t>
      </w:r>
      <w:r>
        <w:rPr>
          <w:rFonts w:eastAsia="仿宋_GB2312"/>
          <w:sz w:val="32"/>
          <w:szCs w:val="32"/>
        </w:rPr>
        <w:t>”</w:t>
      </w:r>
      <w:r>
        <w:rPr>
          <w:rFonts w:hint="eastAsia" w:eastAsia="仿宋_GB2312" w:cs="仿宋_GB2312"/>
          <w:sz w:val="32"/>
          <w:szCs w:val="32"/>
        </w:rPr>
        <w:t>的工作机制。省发展改革委（省能源局）牵头成立工作专班，负责充电设施规划建设、行业管理和综合协调。省直各有关部门要将充电设施建设列为日常重点工作，形成主要负责人亲自抓、分管领导负责人重点抓、职能部门具体抓的工作机制，按期完成目标任务。各市州、县市区人民政府要认真履行属地管理职责，切实承担起统筹推进充电基础设施发展的主体责任。</w:t>
      </w:r>
    </w:p>
    <w:p>
      <w:pPr>
        <w:adjustRightInd w:val="0"/>
        <w:snapToGrid w:val="0"/>
        <w:spacing w:line="560" w:lineRule="exact"/>
        <w:ind w:firstLine="620" w:firstLineChars="200"/>
        <w:rPr>
          <w:rFonts w:eastAsia="仿宋_GB2312"/>
          <w:w w:val="97"/>
          <w:sz w:val="32"/>
          <w:szCs w:val="32"/>
        </w:rPr>
      </w:pPr>
      <w:r>
        <w:rPr>
          <w:rFonts w:hint="eastAsia" w:ascii="楷体_GB2312" w:eastAsia="楷体_GB2312" w:cs="楷体_GB2312"/>
          <w:w w:val="97"/>
          <w:sz w:val="32"/>
          <w:szCs w:val="32"/>
        </w:rPr>
        <w:t>（二）明确部门职责。</w:t>
      </w:r>
      <w:r>
        <w:rPr>
          <w:rFonts w:hint="eastAsia" w:eastAsia="仿宋_GB2312" w:cs="仿宋_GB2312"/>
          <w:spacing w:val="-6"/>
          <w:w w:val="97"/>
          <w:sz w:val="32"/>
          <w:szCs w:val="32"/>
        </w:rPr>
        <w:t>发展改革（能源）部门负责牵头统筹充电设施行业发展规划、建设验收和运营监管，制订充电基础设施分类目录电价和峰谷分时电价政策，并确定充电服务费收取标准。工业和信息化部门负责组织制订新能源汽车产业发展的政策措施，引导推进新能源汽车与充电设施协调发展。财政部门负责落实电动汽车充电设施财政奖补资金，对奖补资金的使用进行监管。科技部门负责组织推动充电设施的技术创新。自然资源部门负责充电设施项目用地保障，制定充电设施选址技术导则。住房城乡建设部门负责充电设施工程设计、施工、验收的监督管理，将充电设施配建比例纳入建筑工程审批验收范围，并指导协调住宅小区充电设施建设。应急部门负责充电设施安全生产综合监管工作。市场监管部门负责充电设施的计量、质量监督（生产销售环节）、行业标准订立和服务收费价格监督管理。公安、城管部门负责加强配建充电设施公共停车位管理。交通运输部门负责指导协调高速公路和国省道沿线、公共交通停保场、交通枢纽等领域的充换电基础设施建设。文化旅游部门负责指导协调旅游景区充电设施建设。农业农村部门负责指导协调农村地区充电设施建设。国有资产监管部门负责指导协调国有企业充电设施建设。机关事务部门负责指导协调党政机关及其他公共机构办公场所内充电设施建设工作。环卫部门负责指导协调环卫车辆充电设施建设。电网企业负责做好充电设施接电保障服务工作。</w:t>
      </w:r>
    </w:p>
    <w:p>
      <w:pPr>
        <w:adjustRightInd w:val="0"/>
        <w:snapToGrid w:val="0"/>
        <w:spacing w:line="560" w:lineRule="exact"/>
        <w:ind w:firstLine="640" w:firstLineChars="200"/>
        <w:rPr>
          <w:rFonts w:eastAsia="仿宋_GB2312"/>
          <w:spacing w:val="-6"/>
          <w:sz w:val="32"/>
          <w:szCs w:val="32"/>
        </w:rPr>
      </w:pPr>
      <w:r>
        <w:rPr>
          <w:rFonts w:hint="eastAsia" w:ascii="楷体_GB2312" w:eastAsia="楷体_GB2312" w:cs="楷体_GB2312"/>
          <w:sz w:val="32"/>
          <w:szCs w:val="32"/>
        </w:rPr>
        <w:t>（三）强化示范引领。</w:t>
      </w:r>
      <w:r>
        <w:rPr>
          <w:rFonts w:hint="eastAsia" w:eastAsia="仿宋_GB2312" w:cs="仿宋_GB2312"/>
          <w:spacing w:val="-6"/>
          <w:sz w:val="32"/>
          <w:szCs w:val="32"/>
        </w:rPr>
        <w:t>各地要科学布局充电设施，加强与城乡建设规划和电网规划的统筹协调，有针对性地支持一批重点地区和重点企业，创新充电设施建设与运营模式，探索先进适用充电技术，总结形成可复制、可推广的发展经验，建设一批示范企业与示范场站，形成行业标杆作用和示范带动效应。各有关部门、企业和新闻媒体要通过多种形式加强对充电设施发展政策、规划布局、建设动态和典型经验等的宣传，为充电设施行业健康发展创造良好的舆论环境。</w:t>
      </w:r>
    </w:p>
    <w:p>
      <w:pPr>
        <w:pStyle w:val="5"/>
        <w:shd w:val="clear" w:color="auto" w:fill="FFFFFF"/>
        <w:adjustRightInd w:val="0"/>
        <w:snapToGrid w:val="0"/>
        <w:spacing w:before="0" w:beforeAutospacing="0" w:after="0"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本意见自发布之日起施行。</w:t>
      </w:r>
    </w:p>
    <w:p>
      <w:pPr>
        <w:pStyle w:val="5"/>
        <w:shd w:val="clear" w:color="auto" w:fill="FFFFFF"/>
        <w:adjustRightInd w:val="0"/>
        <w:snapToGrid w:val="0"/>
        <w:spacing w:before="0" w:beforeAutospacing="0" w:after="0" w:line="560" w:lineRule="exact"/>
        <w:ind w:firstLine="640" w:firstLineChars="200"/>
        <w:rPr>
          <w:rFonts w:ascii="Times New Roman" w:hAnsi="Times New Roman" w:eastAsia="仿宋_GB2312" w:cs="Times New Roman"/>
          <w:sz w:val="32"/>
          <w:szCs w:val="32"/>
        </w:rPr>
      </w:pPr>
    </w:p>
    <w:p>
      <w:pPr>
        <w:pStyle w:val="5"/>
        <w:shd w:val="clear" w:color="auto" w:fill="FFFFFF"/>
        <w:adjustRightInd w:val="0"/>
        <w:snapToGrid w:val="0"/>
        <w:spacing w:before="0" w:beforeAutospacing="0" w:after="0"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附件：全省各市州充电设施建设预期目标</w:t>
      </w:r>
    </w:p>
    <w:p>
      <w:pPr>
        <w:pStyle w:val="5"/>
        <w:shd w:val="clear" w:color="auto" w:fill="FFFFFF"/>
        <w:adjustRightInd w:val="0"/>
        <w:snapToGrid w:val="0"/>
        <w:spacing w:before="0" w:beforeAutospacing="0" w:after="0" w:line="560" w:lineRule="exact"/>
        <w:ind w:firstLine="640" w:firstLineChars="200"/>
        <w:jc w:val="right"/>
        <w:rPr>
          <w:rFonts w:ascii="Times New Roman" w:hAnsi="Times New Roman" w:eastAsia="仿宋_GB2312" w:cs="Times New Roman"/>
          <w:sz w:val="32"/>
          <w:szCs w:val="32"/>
        </w:rPr>
      </w:pPr>
    </w:p>
    <w:p>
      <w:pPr>
        <w:pStyle w:val="5"/>
        <w:shd w:val="clear" w:color="auto" w:fill="FFFFFF"/>
        <w:adjustRightInd w:val="0"/>
        <w:snapToGrid w:val="0"/>
        <w:spacing w:before="0" w:beforeAutospacing="0" w:after="0" w:line="560" w:lineRule="exact"/>
        <w:ind w:firstLine="640" w:firstLineChars="200"/>
        <w:jc w:val="right"/>
        <w:rPr>
          <w:rFonts w:ascii="Times New Roman" w:hAnsi="Times New Roman" w:eastAsia="仿宋_GB2312" w:cs="Times New Roman"/>
          <w:sz w:val="32"/>
          <w:szCs w:val="32"/>
        </w:rPr>
      </w:pPr>
    </w:p>
    <w:p>
      <w:pPr>
        <w:pStyle w:val="5"/>
        <w:shd w:val="clear" w:color="auto" w:fill="FFFFFF"/>
        <w:adjustRightInd w:val="0"/>
        <w:snapToGrid w:val="0"/>
        <w:spacing w:before="0" w:beforeAutospacing="0" w:after="0" w:line="560" w:lineRule="exact"/>
        <w:ind w:firstLine="640" w:firstLineChars="200"/>
        <w:jc w:val="righ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湖南省人民政府办公厅</w:t>
      </w:r>
    </w:p>
    <w:p>
      <w:pPr>
        <w:pStyle w:val="5"/>
        <w:shd w:val="clear" w:color="auto" w:fill="FFFFFF"/>
        <w:adjustRightInd w:val="0"/>
        <w:snapToGrid w:val="0"/>
        <w:spacing w:before="0" w:beforeAutospacing="0" w:after="0" w:line="560" w:lineRule="exact"/>
        <w:ind w:right="480" w:firstLine="640" w:firstLineChars="200"/>
        <w:jc w:val="right"/>
        <w:rPr>
          <w:rFonts w:ascii="Times New Roman" w:hAnsi="Times New Roman" w:eastAsia="仿宋_GB2312" w:cs="仿宋_GB2312"/>
          <w:sz w:val="32"/>
          <w:szCs w:val="32"/>
        </w:rPr>
      </w:pPr>
      <w:r>
        <w:rPr>
          <w:rFonts w:ascii="Times New Roman" w:hAnsi="Times New Roman" w:eastAsia="仿宋_GB2312" w:cs="Times New Roman"/>
          <w:sz w:val="32"/>
          <w:szCs w:val="32"/>
        </w:rPr>
        <w:t>2021</w:t>
      </w:r>
      <w:r>
        <w:rPr>
          <w:rFonts w:hint="eastAsia" w:ascii="Times New Roman" w:hAnsi="Times New Roman" w:eastAsia="仿宋_GB2312" w:cs="仿宋_GB2312"/>
          <w:sz w:val="32"/>
          <w:szCs w:val="32"/>
        </w:rPr>
        <w:t>年</w:t>
      </w:r>
      <w:r>
        <w:rPr>
          <w:rFonts w:ascii="Times New Roman" w:hAnsi="Times New Roman" w:eastAsia="仿宋_GB2312" w:cs="Times New Roman"/>
          <w:sz w:val="32"/>
          <w:szCs w:val="32"/>
        </w:rPr>
        <w:t>2</w:t>
      </w:r>
      <w:r>
        <w:rPr>
          <w:rFonts w:hint="eastAsia" w:ascii="Times New Roman" w:hAnsi="Times New Roman" w:eastAsia="仿宋_GB2312" w:cs="仿宋_GB2312"/>
          <w:sz w:val="32"/>
          <w:szCs w:val="32"/>
        </w:rPr>
        <w:t>月</w:t>
      </w:r>
      <w:r>
        <w:rPr>
          <w:rFonts w:hint="eastAsia" w:ascii="Times New Roman" w:hAnsi="Times New Roman" w:eastAsia="仿宋_GB2312" w:cs="Times New Roman"/>
          <w:sz w:val="32"/>
          <w:szCs w:val="32"/>
        </w:rPr>
        <w:t>9</w:t>
      </w:r>
      <w:r>
        <w:rPr>
          <w:rFonts w:hint="eastAsia" w:ascii="Times New Roman" w:hAnsi="Times New Roman" w:eastAsia="仿宋_GB2312" w:cs="仿宋_GB2312"/>
          <w:sz w:val="32"/>
          <w:szCs w:val="32"/>
        </w:rPr>
        <w:t>日</w:t>
      </w:r>
    </w:p>
    <w:p>
      <w:pPr>
        <w:pStyle w:val="5"/>
        <w:shd w:val="clear" w:color="auto" w:fill="FFFFFF"/>
        <w:adjustRightInd w:val="0"/>
        <w:snapToGrid w:val="0"/>
        <w:spacing w:before="0" w:beforeAutospacing="0" w:after="0" w:line="560" w:lineRule="exact"/>
        <w:ind w:right="480" w:firstLine="640" w:firstLineChars="200"/>
        <w:jc w:val="right"/>
        <w:rPr>
          <w:rFonts w:ascii="Times New Roman" w:hAnsi="Times New Roman" w:eastAsia="仿宋_GB2312" w:cs="Times New Roman"/>
          <w:sz w:val="32"/>
          <w:szCs w:val="32"/>
        </w:rPr>
      </w:pPr>
    </w:p>
    <w:p>
      <w:pPr>
        <w:pStyle w:val="5"/>
        <w:shd w:val="clear" w:color="auto" w:fill="FFFFFF"/>
        <w:adjustRightInd w:val="0"/>
        <w:snapToGrid w:val="0"/>
        <w:spacing w:before="0" w:beforeAutospacing="0" w:after="0" w:line="560" w:lineRule="exact"/>
        <w:ind w:right="480" w:firstLine="640" w:firstLineChars="200"/>
        <w:rPr>
          <w:rFonts w:ascii="Times New Roman" w:hAnsi="Times New Roman" w:eastAsia="仿宋_GB2312" w:cs="Times New Roman"/>
          <w:sz w:val="32"/>
          <w:szCs w:val="32"/>
        </w:rPr>
        <w:sectPr>
          <w:headerReference r:id="rId3" w:type="default"/>
          <w:footerReference r:id="rId5" w:type="default"/>
          <w:headerReference r:id="rId4" w:type="even"/>
          <w:footerReference r:id="rId6" w:type="even"/>
          <w:pgSz w:w="11906" w:h="16838"/>
          <w:pgMar w:top="1871" w:right="1531" w:bottom="1531" w:left="1588" w:header="851" w:footer="1304" w:gutter="0"/>
          <w:cols w:space="720" w:num="1"/>
          <w:docGrid w:type="lines" w:linePitch="312" w:charSpace="0"/>
        </w:sectPr>
      </w:pPr>
      <w:r>
        <w:rPr>
          <w:rFonts w:hint="eastAsia" w:ascii="Times New Roman" w:hAnsi="Times New Roman" w:eastAsia="仿宋_GB2312" w:cs="Times New Roman"/>
          <w:sz w:val="32"/>
          <w:szCs w:val="32"/>
        </w:rPr>
        <w:t>（此件主动公开）</w:t>
      </w:r>
    </w:p>
    <w:p>
      <w:pPr>
        <w:pStyle w:val="5"/>
        <w:widowControl w:val="0"/>
        <w:shd w:val="clear" w:color="auto" w:fill="FFFFFF"/>
        <w:spacing w:before="0" w:beforeAutospacing="0" w:after="0" w:line="596" w:lineRule="exact"/>
        <w:rPr>
          <w:rFonts w:ascii="黑体" w:hAnsi="黑体" w:eastAsia="黑体" w:cs="Times New Roman"/>
          <w:kern w:val="2"/>
          <w:sz w:val="32"/>
          <w:szCs w:val="32"/>
        </w:rPr>
      </w:pPr>
      <w:r>
        <w:rPr>
          <w:rFonts w:hint="eastAsia" w:ascii="黑体" w:hAnsi="黑体" w:eastAsia="黑体" w:cs="黑体"/>
          <w:kern w:val="2"/>
          <w:sz w:val="32"/>
          <w:szCs w:val="32"/>
        </w:rPr>
        <w:t>附件</w:t>
      </w:r>
    </w:p>
    <w:p>
      <w:pPr>
        <w:spacing w:before="156" w:beforeLines="50" w:after="312" w:afterLines="100" w:line="516" w:lineRule="exact"/>
        <w:jc w:val="center"/>
        <w:rPr>
          <w:rFonts w:eastAsia="方正小标宋简体"/>
          <w:kern w:val="0"/>
          <w:sz w:val="42"/>
          <w:szCs w:val="42"/>
        </w:rPr>
      </w:pPr>
      <w:r>
        <w:rPr>
          <w:rFonts w:hint="eastAsia" w:eastAsia="方正小标宋简体" w:cs="方正小标宋简体"/>
          <w:kern w:val="0"/>
          <w:sz w:val="42"/>
          <w:szCs w:val="42"/>
        </w:rPr>
        <w:t>全省各市州充电设施建设预期目标</w:t>
      </w:r>
    </w:p>
    <w:tbl>
      <w:tblPr>
        <w:tblStyle w:val="7"/>
        <w:tblW w:w="1317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4"/>
        <w:gridCol w:w="1852"/>
        <w:gridCol w:w="2029"/>
        <w:gridCol w:w="2066"/>
        <w:gridCol w:w="1755"/>
        <w:gridCol w:w="2274"/>
        <w:gridCol w:w="1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jc w:val="center"/>
        </w:trPr>
        <w:tc>
          <w:tcPr>
            <w:tcW w:w="1374" w:type="dxa"/>
            <w:vMerge w:val="restart"/>
            <w:vAlign w:val="center"/>
          </w:tcPr>
          <w:p>
            <w:pPr>
              <w:pStyle w:val="5"/>
              <w:spacing w:before="0" w:beforeAutospacing="0" w:after="0" w:line="240" w:lineRule="exact"/>
              <w:jc w:val="center"/>
              <w:rPr>
                <w:rFonts w:ascii="Times New Roman" w:hAnsi="Times New Roman" w:eastAsia="黑体" w:cs="Times New Roman"/>
                <w:kern w:val="2"/>
                <w:sz w:val="21"/>
                <w:szCs w:val="21"/>
              </w:rPr>
            </w:pPr>
            <w:r>
              <w:rPr>
                <w:rFonts w:hint="eastAsia" w:ascii="Times New Roman" w:hAnsi="Times New Roman" w:eastAsia="黑体" w:cs="黑体"/>
                <w:kern w:val="2"/>
                <w:sz w:val="21"/>
                <w:szCs w:val="21"/>
              </w:rPr>
              <w:t>市州</w:t>
            </w:r>
          </w:p>
        </w:tc>
        <w:tc>
          <w:tcPr>
            <w:tcW w:w="5947" w:type="dxa"/>
            <w:gridSpan w:val="3"/>
            <w:vAlign w:val="center"/>
          </w:tcPr>
          <w:p>
            <w:pPr>
              <w:pStyle w:val="5"/>
              <w:spacing w:before="0" w:beforeAutospacing="0" w:after="0" w:line="240" w:lineRule="exact"/>
              <w:jc w:val="center"/>
              <w:rPr>
                <w:rFonts w:ascii="Times New Roman" w:hAnsi="Times New Roman" w:eastAsia="黑体" w:cs="Times New Roman"/>
                <w:kern w:val="2"/>
                <w:sz w:val="21"/>
                <w:szCs w:val="21"/>
              </w:rPr>
            </w:pPr>
            <w:r>
              <w:rPr>
                <w:rFonts w:hint="eastAsia" w:ascii="Times New Roman" w:hAnsi="Times New Roman" w:eastAsia="黑体" w:cs="黑体"/>
                <w:kern w:val="2"/>
                <w:sz w:val="21"/>
                <w:szCs w:val="21"/>
              </w:rPr>
              <w:t>截至</w:t>
            </w:r>
            <w:r>
              <w:rPr>
                <w:rFonts w:ascii="Times New Roman" w:hAnsi="Times New Roman" w:eastAsia="黑体" w:cs="Times New Roman"/>
                <w:kern w:val="2"/>
                <w:sz w:val="21"/>
                <w:szCs w:val="21"/>
              </w:rPr>
              <w:t>2022</w:t>
            </w:r>
            <w:r>
              <w:rPr>
                <w:rFonts w:hint="eastAsia" w:ascii="Times New Roman" w:hAnsi="Times New Roman" w:eastAsia="黑体" w:cs="黑体"/>
                <w:kern w:val="2"/>
                <w:sz w:val="21"/>
                <w:szCs w:val="21"/>
              </w:rPr>
              <w:t>年目标任务</w:t>
            </w:r>
          </w:p>
        </w:tc>
        <w:tc>
          <w:tcPr>
            <w:tcW w:w="5850" w:type="dxa"/>
            <w:gridSpan w:val="3"/>
            <w:vAlign w:val="center"/>
          </w:tcPr>
          <w:p>
            <w:pPr>
              <w:pStyle w:val="5"/>
              <w:spacing w:before="0" w:beforeAutospacing="0" w:after="0" w:line="240" w:lineRule="exact"/>
              <w:jc w:val="center"/>
              <w:rPr>
                <w:rFonts w:ascii="Times New Roman" w:hAnsi="Times New Roman" w:eastAsia="黑体" w:cs="Times New Roman"/>
                <w:kern w:val="2"/>
                <w:sz w:val="21"/>
                <w:szCs w:val="21"/>
              </w:rPr>
            </w:pPr>
            <w:r>
              <w:rPr>
                <w:rFonts w:hint="eastAsia" w:ascii="Times New Roman" w:hAnsi="Times New Roman" w:eastAsia="黑体" w:cs="黑体"/>
                <w:kern w:val="2"/>
                <w:sz w:val="21"/>
                <w:szCs w:val="21"/>
              </w:rPr>
              <w:t>截至</w:t>
            </w:r>
            <w:r>
              <w:rPr>
                <w:rFonts w:ascii="Times New Roman" w:hAnsi="Times New Roman" w:eastAsia="黑体" w:cs="Times New Roman"/>
                <w:kern w:val="2"/>
                <w:sz w:val="21"/>
                <w:szCs w:val="21"/>
              </w:rPr>
              <w:t>2025</w:t>
            </w:r>
            <w:r>
              <w:rPr>
                <w:rFonts w:hint="eastAsia" w:ascii="Times New Roman" w:hAnsi="Times New Roman" w:eastAsia="黑体" w:cs="黑体"/>
                <w:kern w:val="2"/>
                <w:sz w:val="21"/>
                <w:szCs w:val="21"/>
              </w:rPr>
              <w:t>年目标任务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0" w:hRule="atLeast"/>
          <w:jc w:val="center"/>
        </w:trPr>
        <w:tc>
          <w:tcPr>
            <w:tcW w:w="1374" w:type="dxa"/>
            <w:vMerge w:val="continue"/>
            <w:vAlign w:val="center"/>
          </w:tcPr>
          <w:p>
            <w:pPr>
              <w:pStyle w:val="5"/>
              <w:spacing w:before="0" w:beforeAutospacing="0" w:after="0" w:line="240" w:lineRule="exact"/>
              <w:jc w:val="center"/>
              <w:rPr>
                <w:rFonts w:ascii="Times New Roman" w:hAnsi="Times New Roman" w:eastAsia="黑体" w:cs="Times New Roman"/>
                <w:kern w:val="2"/>
                <w:sz w:val="21"/>
                <w:szCs w:val="21"/>
              </w:rPr>
            </w:pPr>
          </w:p>
        </w:tc>
        <w:tc>
          <w:tcPr>
            <w:tcW w:w="1852" w:type="dxa"/>
            <w:vAlign w:val="center"/>
          </w:tcPr>
          <w:p>
            <w:pPr>
              <w:pStyle w:val="5"/>
              <w:spacing w:before="0" w:beforeAutospacing="0" w:after="0" w:line="240" w:lineRule="exact"/>
              <w:jc w:val="center"/>
              <w:rPr>
                <w:rFonts w:ascii="Times New Roman" w:hAnsi="Times New Roman" w:eastAsia="黑体" w:cs="Times New Roman"/>
                <w:kern w:val="2"/>
                <w:sz w:val="21"/>
                <w:szCs w:val="21"/>
              </w:rPr>
            </w:pPr>
            <w:r>
              <w:rPr>
                <w:rFonts w:hint="eastAsia" w:ascii="Times New Roman" w:hAnsi="Times New Roman" w:eastAsia="黑体" w:cs="黑体"/>
                <w:kern w:val="2"/>
                <w:sz w:val="21"/>
                <w:szCs w:val="21"/>
              </w:rPr>
              <w:t>电动汽车（辆）</w:t>
            </w:r>
          </w:p>
        </w:tc>
        <w:tc>
          <w:tcPr>
            <w:tcW w:w="2029" w:type="dxa"/>
            <w:vAlign w:val="center"/>
          </w:tcPr>
          <w:p>
            <w:pPr>
              <w:pStyle w:val="5"/>
              <w:spacing w:before="0" w:beforeAutospacing="0" w:after="0" w:line="240" w:lineRule="exact"/>
              <w:jc w:val="center"/>
              <w:rPr>
                <w:rFonts w:ascii="Times New Roman" w:hAnsi="Times New Roman" w:eastAsia="黑体" w:cs="Times New Roman"/>
                <w:kern w:val="2"/>
                <w:sz w:val="21"/>
                <w:szCs w:val="21"/>
              </w:rPr>
            </w:pPr>
            <w:r>
              <w:rPr>
                <w:rFonts w:hint="eastAsia" w:ascii="Times New Roman" w:hAnsi="Times New Roman" w:eastAsia="黑体" w:cs="黑体"/>
                <w:kern w:val="2"/>
                <w:sz w:val="21"/>
                <w:szCs w:val="21"/>
              </w:rPr>
              <w:t>公共充电桩</w:t>
            </w:r>
          </w:p>
          <w:p>
            <w:pPr>
              <w:pStyle w:val="5"/>
              <w:spacing w:before="0" w:beforeAutospacing="0" w:after="0" w:line="240" w:lineRule="exact"/>
              <w:jc w:val="center"/>
              <w:rPr>
                <w:rFonts w:ascii="Times New Roman" w:hAnsi="Times New Roman" w:eastAsia="黑体" w:cs="Times New Roman"/>
                <w:kern w:val="2"/>
                <w:sz w:val="21"/>
                <w:szCs w:val="21"/>
              </w:rPr>
            </w:pPr>
            <w:r>
              <w:rPr>
                <w:rFonts w:hint="eastAsia" w:ascii="Times New Roman" w:hAnsi="Times New Roman" w:eastAsia="黑体" w:cs="黑体"/>
                <w:kern w:val="2"/>
                <w:sz w:val="21"/>
                <w:szCs w:val="21"/>
              </w:rPr>
              <w:t>（不含专用充电桩）（个）</w:t>
            </w:r>
          </w:p>
        </w:tc>
        <w:tc>
          <w:tcPr>
            <w:tcW w:w="2066" w:type="dxa"/>
            <w:vAlign w:val="center"/>
          </w:tcPr>
          <w:p>
            <w:pPr>
              <w:pStyle w:val="5"/>
              <w:spacing w:before="0" w:beforeAutospacing="0" w:after="0" w:line="240" w:lineRule="exact"/>
              <w:jc w:val="center"/>
              <w:rPr>
                <w:rFonts w:ascii="Times New Roman" w:hAnsi="Times New Roman" w:eastAsia="黑体" w:cs="Times New Roman"/>
                <w:kern w:val="2"/>
                <w:sz w:val="21"/>
                <w:szCs w:val="21"/>
              </w:rPr>
            </w:pPr>
            <w:r>
              <w:rPr>
                <w:rFonts w:hint="eastAsia" w:ascii="Times New Roman" w:hAnsi="Times New Roman" w:eastAsia="黑体" w:cs="黑体"/>
                <w:kern w:val="2"/>
                <w:sz w:val="21"/>
                <w:szCs w:val="21"/>
              </w:rPr>
              <w:t>充电桩（个）</w:t>
            </w:r>
          </w:p>
        </w:tc>
        <w:tc>
          <w:tcPr>
            <w:tcW w:w="1755" w:type="dxa"/>
            <w:vAlign w:val="center"/>
          </w:tcPr>
          <w:p>
            <w:pPr>
              <w:pStyle w:val="5"/>
              <w:spacing w:before="0" w:beforeAutospacing="0" w:after="0" w:line="240" w:lineRule="exact"/>
              <w:jc w:val="center"/>
              <w:rPr>
                <w:rFonts w:ascii="Times New Roman" w:hAnsi="Times New Roman" w:eastAsia="黑体" w:cs="Times New Roman"/>
                <w:kern w:val="2"/>
                <w:sz w:val="21"/>
                <w:szCs w:val="21"/>
              </w:rPr>
            </w:pPr>
            <w:r>
              <w:rPr>
                <w:rFonts w:hint="eastAsia" w:ascii="Times New Roman" w:hAnsi="Times New Roman" w:eastAsia="黑体" w:cs="黑体"/>
                <w:kern w:val="2"/>
                <w:sz w:val="21"/>
                <w:szCs w:val="21"/>
              </w:rPr>
              <w:t>电动汽车（辆）</w:t>
            </w:r>
          </w:p>
        </w:tc>
        <w:tc>
          <w:tcPr>
            <w:tcW w:w="2274" w:type="dxa"/>
            <w:vAlign w:val="center"/>
          </w:tcPr>
          <w:p>
            <w:pPr>
              <w:pStyle w:val="5"/>
              <w:spacing w:before="0" w:beforeAutospacing="0" w:after="0" w:line="240" w:lineRule="exact"/>
              <w:jc w:val="center"/>
              <w:rPr>
                <w:rFonts w:ascii="Times New Roman" w:hAnsi="Times New Roman" w:eastAsia="黑体" w:cs="Times New Roman"/>
                <w:kern w:val="2"/>
                <w:sz w:val="21"/>
                <w:szCs w:val="21"/>
              </w:rPr>
            </w:pPr>
            <w:r>
              <w:rPr>
                <w:rFonts w:hint="eastAsia" w:ascii="Times New Roman" w:hAnsi="Times New Roman" w:eastAsia="黑体" w:cs="黑体"/>
                <w:kern w:val="2"/>
                <w:sz w:val="21"/>
                <w:szCs w:val="21"/>
              </w:rPr>
              <w:t>公共充电桩</w:t>
            </w:r>
          </w:p>
          <w:p>
            <w:pPr>
              <w:pStyle w:val="5"/>
              <w:spacing w:before="0" w:beforeAutospacing="0" w:after="0" w:line="240" w:lineRule="exact"/>
              <w:jc w:val="center"/>
              <w:rPr>
                <w:rFonts w:ascii="Times New Roman" w:hAnsi="Times New Roman" w:eastAsia="黑体" w:cs="Times New Roman"/>
                <w:kern w:val="2"/>
                <w:sz w:val="21"/>
                <w:szCs w:val="21"/>
              </w:rPr>
            </w:pPr>
            <w:r>
              <w:rPr>
                <w:rFonts w:hint="eastAsia" w:ascii="Times New Roman" w:hAnsi="Times New Roman" w:eastAsia="黑体" w:cs="黑体"/>
                <w:kern w:val="2"/>
                <w:sz w:val="21"/>
                <w:szCs w:val="21"/>
              </w:rPr>
              <w:t>（不含专用充电桩）（个）</w:t>
            </w:r>
          </w:p>
        </w:tc>
        <w:tc>
          <w:tcPr>
            <w:tcW w:w="1821" w:type="dxa"/>
            <w:vAlign w:val="center"/>
          </w:tcPr>
          <w:p>
            <w:pPr>
              <w:pStyle w:val="5"/>
              <w:spacing w:before="0" w:beforeAutospacing="0" w:after="0" w:line="240" w:lineRule="exact"/>
              <w:jc w:val="center"/>
              <w:rPr>
                <w:rFonts w:ascii="Times New Roman" w:hAnsi="Times New Roman" w:eastAsia="黑体" w:cs="Times New Roman"/>
                <w:kern w:val="2"/>
                <w:sz w:val="21"/>
                <w:szCs w:val="21"/>
              </w:rPr>
            </w:pPr>
            <w:r>
              <w:rPr>
                <w:rFonts w:hint="eastAsia" w:ascii="Times New Roman" w:hAnsi="Times New Roman" w:eastAsia="黑体" w:cs="黑体"/>
                <w:kern w:val="2"/>
                <w:sz w:val="21"/>
                <w:szCs w:val="21"/>
              </w:rPr>
              <w:t>充电桩（个）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74" w:type="dxa"/>
            <w:vAlign w:val="center"/>
          </w:tcPr>
          <w:p>
            <w:pPr>
              <w:pStyle w:val="5"/>
              <w:spacing w:before="0" w:beforeAutospacing="0" w:after="0" w:line="360" w:lineRule="exact"/>
              <w:jc w:val="center"/>
              <w:rPr>
                <w:rFonts w:ascii="Times New Roman" w:hAnsi="Times New Roman" w:cs="Times New Roman"/>
                <w:kern w:val="2"/>
                <w:sz w:val="21"/>
                <w:szCs w:val="21"/>
              </w:rPr>
            </w:pPr>
            <w:r>
              <w:rPr>
                <w:rFonts w:hint="eastAsia" w:ascii="Times New Roman" w:hAnsi="Times New Roman"/>
                <w:kern w:val="2"/>
                <w:sz w:val="21"/>
                <w:szCs w:val="21"/>
              </w:rPr>
              <w:t>长沙市</w:t>
            </w:r>
          </w:p>
        </w:tc>
        <w:tc>
          <w:tcPr>
            <w:tcW w:w="1852" w:type="dxa"/>
            <w:shd w:val="clear" w:color="auto" w:fill="FFFFFF"/>
            <w:vAlign w:val="bottom"/>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119300</w:t>
            </w:r>
          </w:p>
        </w:tc>
        <w:tc>
          <w:tcPr>
            <w:tcW w:w="2029" w:type="dxa"/>
            <w:shd w:val="clear" w:color="auto" w:fill="FFFFFF"/>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20000</w:t>
            </w:r>
          </w:p>
        </w:tc>
        <w:tc>
          <w:tcPr>
            <w:tcW w:w="2066" w:type="dxa"/>
            <w:shd w:val="clear" w:color="auto" w:fill="FFFFFF"/>
            <w:vAlign w:val="bottom"/>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72800</w:t>
            </w:r>
          </w:p>
        </w:tc>
        <w:tc>
          <w:tcPr>
            <w:tcW w:w="1755" w:type="dxa"/>
            <w:shd w:val="clear" w:color="auto" w:fill="FFFFFF"/>
            <w:vAlign w:val="bottom"/>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234500</w:t>
            </w:r>
          </w:p>
        </w:tc>
        <w:tc>
          <w:tcPr>
            <w:tcW w:w="2274" w:type="dxa"/>
            <w:shd w:val="clear" w:color="auto" w:fill="FFFFFF"/>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36000</w:t>
            </w:r>
          </w:p>
        </w:tc>
        <w:tc>
          <w:tcPr>
            <w:tcW w:w="1821" w:type="dxa"/>
            <w:shd w:val="clear" w:color="auto" w:fill="FFFFFF"/>
            <w:vAlign w:val="bottom"/>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160900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74" w:type="dxa"/>
            <w:vAlign w:val="center"/>
          </w:tcPr>
          <w:p>
            <w:pPr>
              <w:pStyle w:val="5"/>
              <w:spacing w:before="0" w:beforeAutospacing="0" w:after="0" w:line="360" w:lineRule="exact"/>
              <w:jc w:val="center"/>
              <w:rPr>
                <w:rFonts w:ascii="Times New Roman" w:hAnsi="Times New Roman" w:cs="Times New Roman"/>
                <w:kern w:val="2"/>
                <w:sz w:val="21"/>
                <w:szCs w:val="21"/>
              </w:rPr>
            </w:pPr>
            <w:r>
              <w:rPr>
                <w:rFonts w:hint="eastAsia" w:ascii="Times New Roman" w:hAnsi="Times New Roman"/>
                <w:kern w:val="2"/>
                <w:sz w:val="21"/>
                <w:szCs w:val="21"/>
              </w:rPr>
              <w:t>株洲市</w:t>
            </w:r>
          </w:p>
        </w:tc>
        <w:tc>
          <w:tcPr>
            <w:tcW w:w="1852" w:type="dxa"/>
            <w:tcBorders>
              <w:top w:val="nil"/>
            </w:tcBorders>
            <w:shd w:val="clear" w:color="auto" w:fill="FFFFFF"/>
            <w:vAlign w:val="bottom"/>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15200</w:t>
            </w:r>
          </w:p>
        </w:tc>
        <w:tc>
          <w:tcPr>
            <w:tcW w:w="2029" w:type="dxa"/>
            <w:tcBorders>
              <w:top w:val="nil"/>
            </w:tcBorders>
            <w:shd w:val="clear" w:color="auto" w:fill="FFFFFF"/>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2500</w:t>
            </w:r>
          </w:p>
        </w:tc>
        <w:tc>
          <w:tcPr>
            <w:tcW w:w="2066" w:type="dxa"/>
            <w:tcBorders>
              <w:top w:val="nil"/>
            </w:tcBorders>
            <w:shd w:val="clear" w:color="auto" w:fill="FFFFFF"/>
            <w:vAlign w:val="bottom"/>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9300</w:t>
            </w:r>
          </w:p>
        </w:tc>
        <w:tc>
          <w:tcPr>
            <w:tcW w:w="1755" w:type="dxa"/>
            <w:tcBorders>
              <w:top w:val="nil"/>
            </w:tcBorders>
            <w:shd w:val="clear" w:color="auto" w:fill="FFFFFF"/>
            <w:vAlign w:val="bottom"/>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37500</w:t>
            </w:r>
          </w:p>
        </w:tc>
        <w:tc>
          <w:tcPr>
            <w:tcW w:w="2274" w:type="dxa"/>
            <w:tcBorders>
              <w:top w:val="nil"/>
            </w:tcBorders>
            <w:shd w:val="clear" w:color="auto" w:fill="FFFFFF"/>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5800</w:t>
            </w:r>
          </w:p>
        </w:tc>
        <w:tc>
          <w:tcPr>
            <w:tcW w:w="1821" w:type="dxa"/>
            <w:tcBorders>
              <w:top w:val="nil"/>
            </w:tcBorders>
            <w:shd w:val="clear" w:color="auto" w:fill="FFFFFF"/>
            <w:vAlign w:val="bottom"/>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25700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74" w:type="dxa"/>
            <w:vAlign w:val="center"/>
          </w:tcPr>
          <w:p>
            <w:pPr>
              <w:pStyle w:val="5"/>
              <w:spacing w:before="0" w:beforeAutospacing="0" w:after="0" w:line="360" w:lineRule="exact"/>
              <w:jc w:val="center"/>
              <w:rPr>
                <w:rFonts w:ascii="Times New Roman" w:hAnsi="Times New Roman" w:cs="Times New Roman"/>
                <w:kern w:val="2"/>
                <w:sz w:val="21"/>
                <w:szCs w:val="21"/>
              </w:rPr>
            </w:pPr>
            <w:r>
              <w:rPr>
                <w:rFonts w:hint="eastAsia" w:ascii="Times New Roman" w:hAnsi="Times New Roman"/>
                <w:kern w:val="2"/>
                <w:sz w:val="21"/>
                <w:szCs w:val="21"/>
              </w:rPr>
              <w:t>湘潭市</w:t>
            </w:r>
          </w:p>
        </w:tc>
        <w:tc>
          <w:tcPr>
            <w:tcW w:w="1852" w:type="dxa"/>
            <w:tcBorders>
              <w:top w:val="nil"/>
            </w:tcBorders>
            <w:shd w:val="clear" w:color="auto" w:fill="FFFFFF"/>
            <w:vAlign w:val="bottom"/>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13600</w:t>
            </w:r>
          </w:p>
        </w:tc>
        <w:tc>
          <w:tcPr>
            <w:tcW w:w="2029" w:type="dxa"/>
            <w:tcBorders>
              <w:top w:val="nil"/>
            </w:tcBorders>
            <w:shd w:val="clear" w:color="auto" w:fill="FFFFFF"/>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2300</w:t>
            </w:r>
          </w:p>
        </w:tc>
        <w:tc>
          <w:tcPr>
            <w:tcW w:w="2066" w:type="dxa"/>
            <w:tcBorders>
              <w:top w:val="nil"/>
            </w:tcBorders>
            <w:shd w:val="clear" w:color="auto" w:fill="FFFFFF"/>
            <w:vAlign w:val="bottom"/>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8300</w:t>
            </w:r>
          </w:p>
        </w:tc>
        <w:tc>
          <w:tcPr>
            <w:tcW w:w="1755" w:type="dxa"/>
            <w:tcBorders>
              <w:top w:val="nil"/>
            </w:tcBorders>
            <w:shd w:val="clear" w:color="auto" w:fill="FFFFFF"/>
            <w:vAlign w:val="bottom"/>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29600</w:t>
            </w:r>
          </w:p>
        </w:tc>
        <w:tc>
          <w:tcPr>
            <w:tcW w:w="2274" w:type="dxa"/>
            <w:tcBorders>
              <w:top w:val="nil"/>
            </w:tcBorders>
            <w:shd w:val="clear" w:color="auto" w:fill="FFFFFF"/>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4500</w:t>
            </w:r>
          </w:p>
        </w:tc>
        <w:tc>
          <w:tcPr>
            <w:tcW w:w="1821" w:type="dxa"/>
            <w:tcBorders>
              <w:top w:val="nil"/>
            </w:tcBorders>
            <w:shd w:val="clear" w:color="auto" w:fill="FFFFFF"/>
            <w:vAlign w:val="bottom"/>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20300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74" w:type="dxa"/>
            <w:vAlign w:val="center"/>
          </w:tcPr>
          <w:p>
            <w:pPr>
              <w:pStyle w:val="5"/>
              <w:spacing w:before="0" w:beforeAutospacing="0" w:after="0" w:line="360" w:lineRule="exact"/>
              <w:jc w:val="center"/>
              <w:rPr>
                <w:rFonts w:ascii="Times New Roman" w:hAnsi="Times New Roman" w:cs="Times New Roman"/>
                <w:kern w:val="2"/>
                <w:sz w:val="21"/>
                <w:szCs w:val="21"/>
              </w:rPr>
            </w:pPr>
            <w:r>
              <w:rPr>
                <w:rFonts w:hint="eastAsia" w:ascii="Times New Roman" w:hAnsi="Times New Roman"/>
                <w:kern w:val="2"/>
                <w:sz w:val="21"/>
                <w:szCs w:val="21"/>
              </w:rPr>
              <w:t>衡阳市</w:t>
            </w:r>
          </w:p>
        </w:tc>
        <w:tc>
          <w:tcPr>
            <w:tcW w:w="1852" w:type="dxa"/>
            <w:tcBorders>
              <w:top w:val="nil"/>
            </w:tcBorders>
            <w:shd w:val="clear" w:color="auto" w:fill="FFFFFF"/>
            <w:vAlign w:val="bottom"/>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14000</w:t>
            </w:r>
          </w:p>
        </w:tc>
        <w:tc>
          <w:tcPr>
            <w:tcW w:w="2029" w:type="dxa"/>
            <w:tcBorders>
              <w:top w:val="nil"/>
            </w:tcBorders>
            <w:shd w:val="clear" w:color="auto" w:fill="FFFFFF"/>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2300</w:t>
            </w:r>
          </w:p>
        </w:tc>
        <w:tc>
          <w:tcPr>
            <w:tcW w:w="2066" w:type="dxa"/>
            <w:tcBorders>
              <w:top w:val="nil"/>
            </w:tcBorders>
            <w:shd w:val="clear" w:color="auto" w:fill="FFFFFF"/>
            <w:vAlign w:val="bottom"/>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8500</w:t>
            </w:r>
          </w:p>
        </w:tc>
        <w:tc>
          <w:tcPr>
            <w:tcW w:w="1755" w:type="dxa"/>
            <w:tcBorders>
              <w:top w:val="nil"/>
            </w:tcBorders>
            <w:shd w:val="clear" w:color="auto" w:fill="FFFFFF"/>
            <w:vAlign w:val="bottom"/>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32700</w:t>
            </w:r>
          </w:p>
        </w:tc>
        <w:tc>
          <w:tcPr>
            <w:tcW w:w="2274" w:type="dxa"/>
            <w:tcBorders>
              <w:top w:val="nil"/>
            </w:tcBorders>
            <w:shd w:val="clear" w:color="auto" w:fill="FFFFFF"/>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5000</w:t>
            </w:r>
          </w:p>
        </w:tc>
        <w:tc>
          <w:tcPr>
            <w:tcW w:w="1821" w:type="dxa"/>
            <w:tcBorders>
              <w:top w:val="nil"/>
            </w:tcBorders>
            <w:shd w:val="clear" w:color="auto" w:fill="FFFFFF"/>
            <w:vAlign w:val="bottom"/>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22400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74" w:type="dxa"/>
            <w:vAlign w:val="center"/>
          </w:tcPr>
          <w:p>
            <w:pPr>
              <w:pStyle w:val="5"/>
              <w:spacing w:before="0" w:beforeAutospacing="0" w:after="0" w:line="360" w:lineRule="exact"/>
              <w:jc w:val="center"/>
              <w:rPr>
                <w:rFonts w:ascii="Times New Roman" w:hAnsi="Times New Roman" w:cs="Times New Roman"/>
                <w:kern w:val="2"/>
                <w:sz w:val="21"/>
                <w:szCs w:val="21"/>
              </w:rPr>
            </w:pPr>
            <w:r>
              <w:rPr>
                <w:rFonts w:hint="eastAsia" w:ascii="Times New Roman" w:hAnsi="Times New Roman"/>
                <w:kern w:val="2"/>
                <w:sz w:val="21"/>
                <w:szCs w:val="21"/>
              </w:rPr>
              <w:t>邵阳市</w:t>
            </w:r>
          </w:p>
        </w:tc>
        <w:tc>
          <w:tcPr>
            <w:tcW w:w="1852" w:type="dxa"/>
            <w:tcBorders>
              <w:top w:val="nil"/>
            </w:tcBorders>
            <w:shd w:val="clear" w:color="auto" w:fill="FFFFFF"/>
            <w:vAlign w:val="bottom"/>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4900</w:t>
            </w:r>
          </w:p>
        </w:tc>
        <w:tc>
          <w:tcPr>
            <w:tcW w:w="2029" w:type="dxa"/>
            <w:tcBorders>
              <w:top w:val="nil"/>
            </w:tcBorders>
            <w:shd w:val="clear" w:color="auto" w:fill="FFFFFF"/>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800</w:t>
            </w:r>
          </w:p>
        </w:tc>
        <w:tc>
          <w:tcPr>
            <w:tcW w:w="2066" w:type="dxa"/>
            <w:tcBorders>
              <w:top w:val="nil"/>
            </w:tcBorders>
            <w:shd w:val="clear" w:color="auto" w:fill="FFFFFF"/>
            <w:vAlign w:val="bottom"/>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3000</w:t>
            </w:r>
          </w:p>
        </w:tc>
        <w:tc>
          <w:tcPr>
            <w:tcW w:w="1755" w:type="dxa"/>
            <w:tcBorders>
              <w:top w:val="nil"/>
            </w:tcBorders>
            <w:shd w:val="clear" w:color="auto" w:fill="FFFFFF"/>
            <w:vAlign w:val="bottom"/>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13400</w:t>
            </w:r>
          </w:p>
        </w:tc>
        <w:tc>
          <w:tcPr>
            <w:tcW w:w="2274" w:type="dxa"/>
            <w:tcBorders>
              <w:top w:val="nil"/>
            </w:tcBorders>
            <w:shd w:val="clear" w:color="auto" w:fill="FFFFFF"/>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2100</w:t>
            </w:r>
          </w:p>
        </w:tc>
        <w:tc>
          <w:tcPr>
            <w:tcW w:w="1821" w:type="dxa"/>
            <w:tcBorders>
              <w:top w:val="nil"/>
            </w:tcBorders>
            <w:shd w:val="clear" w:color="auto" w:fill="FFFFFF"/>
            <w:vAlign w:val="bottom"/>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9200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74" w:type="dxa"/>
            <w:vAlign w:val="center"/>
          </w:tcPr>
          <w:p>
            <w:pPr>
              <w:pStyle w:val="5"/>
              <w:spacing w:before="0" w:beforeAutospacing="0" w:after="0" w:line="360" w:lineRule="exact"/>
              <w:jc w:val="center"/>
              <w:rPr>
                <w:rFonts w:ascii="Times New Roman" w:hAnsi="Times New Roman" w:cs="Times New Roman"/>
                <w:kern w:val="2"/>
                <w:sz w:val="21"/>
                <w:szCs w:val="21"/>
              </w:rPr>
            </w:pPr>
            <w:r>
              <w:rPr>
                <w:rFonts w:hint="eastAsia" w:ascii="Times New Roman" w:hAnsi="Times New Roman"/>
                <w:kern w:val="2"/>
                <w:sz w:val="21"/>
                <w:szCs w:val="21"/>
              </w:rPr>
              <w:t>岳阳市</w:t>
            </w:r>
          </w:p>
        </w:tc>
        <w:tc>
          <w:tcPr>
            <w:tcW w:w="1852" w:type="dxa"/>
            <w:tcBorders>
              <w:top w:val="nil"/>
            </w:tcBorders>
            <w:shd w:val="clear" w:color="auto" w:fill="FFFFFF"/>
            <w:vAlign w:val="bottom"/>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13600</w:t>
            </w:r>
          </w:p>
        </w:tc>
        <w:tc>
          <w:tcPr>
            <w:tcW w:w="2029" w:type="dxa"/>
            <w:tcBorders>
              <w:top w:val="nil"/>
            </w:tcBorders>
            <w:shd w:val="clear" w:color="auto" w:fill="FFFFFF"/>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2300</w:t>
            </w:r>
          </w:p>
        </w:tc>
        <w:tc>
          <w:tcPr>
            <w:tcW w:w="2066" w:type="dxa"/>
            <w:tcBorders>
              <w:top w:val="nil"/>
            </w:tcBorders>
            <w:shd w:val="clear" w:color="auto" w:fill="FFFFFF"/>
            <w:vAlign w:val="bottom"/>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8300</w:t>
            </w:r>
          </w:p>
        </w:tc>
        <w:tc>
          <w:tcPr>
            <w:tcW w:w="1755" w:type="dxa"/>
            <w:tcBorders>
              <w:top w:val="nil"/>
            </w:tcBorders>
            <w:shd w:val="clear" w:color="auto" w:fill="FFFFFF"/>
            <w:vAlign w:val="bottom"/>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33600</w:t>
            </w:r>
          </w:p>
        </w:tc>
        <w:tc>
          <w:tcPr>
            <w:tcW w:w="2274" w:type="dxa"/>
            <w:tcBorders>
              <w:top w:val="nil"/>
            </w:tcBorders>
            <w:shd w:val="clear" w:color="auto" w:fill="FFFFFF"/>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5100</w:t>
            </w:r>
          </w:p>
        </w:tc>
        <w:tc>
          <w:tcPr>
            <w:tcW w:w="1821" w:type="dxa"/>
            <w:tcBorders>
              <w:top w:val="nil"/>
            </w:tcBorders>
            <w:shd w:val="clear" w:color="auto" w:fill="FFFFFF"/>
            <w:vAlign w:val="bottom"/>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23000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74" w:type="dxa"/>
            <w:vAlign w:val="center"/>
          </w:tcPr>
          <w:p>
            <w:pPr>
              <w:pStyle w:val="5"/>
              <w:spacing w:before="0" w:beforeAutospacing="0" w:after="0" w:line="360" w:lineRule="exact"/>
              <w:jc w:val="center"/>
              <w:rPr>
                <w:rFonts w:ascii="Times New Roman" w:hAnsi="Times New Roman" w:cs="Times New Roman"/>
                <w:kern w:val="2"/>
                <w:sz w:val="21"/>
                <w:szCs w:val="21"/>
              </w:rPr>
            </w:pPr>
            <w:r>
              <w:rPr>
                <w:rFonts w:hint="eastAsia" w:ascii="Times New Roman" w:hAnsi="Times New Roman"/>
                <w:kern w:val="2"/>
                <w:sz w:val="21"/>
                <w:szCs w:val="21"/>
              </w:rPr>
              <w:t>常德市</w:t>
            </w:r>
          </w:p>
        </w:tc>
        <w:tc>
          <w:tcPr>
            <w:tcW w:w="1852" w:type="dxa"/>
            <w:tcBorders>
              <w:top w:val="nil"/>
            </w:tcBorders>
            <w:shd w:val="clear" w:color="auto" w:fill="FFFFFF"/>
            <w:vAlign w:val="bottom"/>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14100</w:t>
            </w:r>
          </w:p>
        </w:tc>
        <w:tc>
          <w:tcPr>
            <w:tcW w:w="2029" w:type="dxa"/>
            <w:tcBorders>
              <w:top w:val="nil"/>
            </w:tcBorders>
            <w:shd w:val="clear" w:color="auto" w:fill="FFFFFF"/>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2400</w:t>
            </w:r>
          </w:p>
        </w:tc>
        <w:tc>
          <w:tcPr>
            <w:tcW w:w="2066" w:type="dxa"/>
            <w:tcBorders>
              <w:top w:val="nil"/>
            </w:tcBorders>
            <w:shd w:val="clear" w:color="auto" w:fill="FFFFFF"/>
            <w:vAlign w:val="bottom"/>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8600</w:t>
            </w:r>
          </w:p>
        </w:tc>
        <w:tc>
          <w:tcPr>
            <w:tcW w:w="1755" w:type="dxa"/>
            <w:tcBorders>
              <w:top w:val="nil"/>
            </w:tcBorders>
            <w:shd w:val="clear" w:color="auto" w:fill="FFFFFF"/>
            <w:vAlign w:val="bottom"/>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33100</w:t>
            </w:r>
          </w:p>
        </w:tc>
        <w:tc>
          <w:tcPr>
            <w:tcW w:w="2274" w:type="dxa"/>
            <w:tcBorders>
              <w:top w:val="nil"/>
            </w:tcBorders>
            <w:shd w:val="clear" w:color="auto" w:fill="FFFFFF"/>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5100</w:t>
            </w:r>
          </w:p>
        </w:tc>
        <w:tc>
          <w:tcPr>
            <w:tcW w:w="1821" w:type="dxa"/>
            <w:tcBorders>
              <w:top w:val="nil"/>
            </w:tcBorders>
            <w:shd w:val="clear" w:color="auto" w:fill="FFFFFF"/>
            <w:vAlign w:val="bottom"/>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22700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74" w:type="dxa"/>
            <w:vAlign w:val="center"/>
          </w:tcPr>
          <w:p>
            <w:pPr>
              <w:pStyle w:val="5"/>
              <w:spacing w:before="0" w:beforeAutospacing="0" w:after="0" w:line="360" w:lineRule="exact"/>
              <w:jc w:val="center"/>
              <w:rPr>
                <w:rFonts w:ascii="Times New Roman" w:hAnsi="Times New Roman" w:cs="Times New Roman"/>
                <w:kern w:val="2"/>
                <w:sz w:val="21"/>
                <w:szCs w:val="21"/>
              </w:rPr>
            </w:pPr>
            <w:r>
              <w:rPr>
                <w:rFonts w:hint="eastAsia" w:ascii="Times New Roman" w:hAnsi="Times New Roman"/>
                <w:kern w:val="2"/>
                <w:sz w:val="21"/>
                <w:szCs w:val="21"/>
              </w:rPr>
              <w:t>张家界</w:t>
            </w:r>
          </w:p>
        </w:tc>
        <w:tc>
          <w:tcPr>
            <w:tcW w:w="1852" w:type="dxa"/>
            <w:tcBorders>
              <w:top w:val="nil"/>
            </w:tcBorders>
            <w:shd w:val="clear" w:color="auto" w:fill="FFFFFF"/>
            <w:vAlign w:val="bottom"/>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4000</w:t>
            </w:r>
          </w:p>
        </w:tc>
        <w:tc>
          <w:tcPr>
            <w:tcW w:w="2029" w:type="dxa"/>
            <w:tcBorders>
              <w:top w:val="nil"/>
            </w:tcBorders>
            <w:shd w:val="clear" w:color="auto" w:fill="FFFFFF"/>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700</w:t>
            </w:r>
          </w:p>
        </w:tc>
        <w:tc>
          <w:tcPr>
            <w:tcW w:w="2066" w:type="dxa"/>
            <w:tcBorders>
              <w:top w:val="nil"/>
            </w:tcBorders>
            <w:shd w:val="clear" w:color="auto" w:fill="FFFFFF"/>
            <w:vAlign w:val="bottom"/>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2500</w:t>
            </w:r>
          </w:p>
        </w:tc>
        <w:tc>
          <w:tcPr>
            <w:tcW w:w="1755" w:type="dxa"/>
            <w:tcBorders>
              <w:top w:val="nil"/>
            </w:tcBorders>
            <w:shd w:val="clear" w:color="auto" w:fill="FFFFFF"/>
            <w:vAlign w:val="bottom"/>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10000</w:t>
            </w:r>
          </w:p>
        </w:tc>
        <w:tc>
          <w:tcPr>
            <w:tcW w:w="2274" w:type="dxa"/>
            <w:tcBorders>
              <w:top w:val="nil"/>
            </w:tcBorders>
            <w:shd w:val="clear" w:color="auto" w:fill="FFFFFF"/>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1500</w:t>
            </w:r>
          </w:p>
        </w:tc>
        <w:tc>
          <w:tcPr>
            <w:tcW w:w="1821" w:type="dxa"/>
            <w:tcBorders>
              <w:top w:val="nil"/>
            </w:tcBorders>
            <w:shd w:val="clear" w:color="auto" w:fill="FFFFFF"/>
            <w:vAlign w:val="bottom"/>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6800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74" w:type="dxa"/>
            <w:vAlign w:val="center"/>
          </w:tcPr>
          <w:p>
            <w:pPr>
              <w:pStyle w:val="5"/>
              <w:spacing w:before="0" w:beforeAutospacing="0" w:after="0" w:line="360" w:lineRule="exact"/>
              <w:jc w:val="center"/>
              <w:rPr>
                <w:rFonts w:ascii="Times New Roman" w:hAnsi="Times New Roman" w:cs="Times New Roman"/>
                <w:kern w:val="2"/>
                <w:sz w:val="21"/>
                <w:szCs w:val="21"/>
              </w:rPr>
            </w:pPr>
            <w:r>
              <w:rPr>
                <w:rFonts w:hint="eastAsia" w:ascii="Times New Roman" w:hAnsi="Times New Roman"/>
                <w:kern w:val="2"/>
                <w:sz w:val="21"/>
                <w:szCs w:val="21"/>
              </w:rPr>
              <w:t>益阳市</w:t>
            </w:r>
          </w:p>
        </w:tc>
        <w:tc>
          <w:tcPr>
            <w:tcW w:w="1852" w:type="dxa"/>
            <w:tcBorders>
              <w:top w:val="nil"/>
            </w:tcBorders>
            <w:shd w:val="clear" w:color="auto" w:fill="FFFFFF"/>
            <w:vAlign w:val="bottom"/>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10300</w:t>
            </w:r>
          </w:p>
        </w:tc>
        <w:tc>
          <w:tcPr>
            <w:tcW w:w="2029" w:type="dxa"/>
            <w:tcBorders>
              <w:top w:val="nil"/>
            </w:tcBorders>
            <w:shd w:val="clear" w:color="auto" w:fill="FFFFFF"/>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1700</w:t>
            </w:r>
          </w:p>
        </w:tc>
        <w:tc>
          <w:tcPr>
            <w:tcW w:w="2066" w:type="dxa"/>
            <w:tcBorders>
              <w:top w:val="nil"/>
            </w:tcBorders>
            <w:shd w:val="clear" w:color="auto" w:fill="FFFFFF"/>
            <w:vAlign w:val="bottom"/>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6300</w:t>
            </w:r>
          </w:p>
        </w:tc>
        <w:tc>
          <w:tcPr>
            <w:tcW w:w="1755" w:type="dxa"/>
            <w:tcBorders>
              <w:top w:val="nil"/>
            </w:tcBorders>
            <w:shd w:val="clear" w:color="auto" w:fill="FFFFFF"/>
            <w:vAlign w:val="bottom"/>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24000</w:t>
            </w:r>
          </w:p>
        </w:tc>
        <w:tc>
          <w:tcPr>
            <w:tcW w:w="2274" w:type="dxa"/>
            <w:tcBorders>
              <w:top w:val="nil"/>
            </w:tcBorders>
            <w:shd w:val="clear" w:color="auto" w:fill="FFFFFF"/>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3700</w:t>
            </w:r>
          </w:p>
        </w:tc>
        <w:tc>
          <w:tcPr>
            <w:tcW w:w="1821" w:type="dxa"/>
            <w:tcBorders>
              <w:top w:val="nil"/>
            </w:tcBorders>
            <w:shd w:val="clear" w:color="auto" w:fill="FFFFFF"/>
            <w:vAlign w:val="bottom"/>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16500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74" w:type="dxa"/>
            <w:vAlign w:val="center"/>
          </w:tcPr>
          <w:p>
            <w:pPr>
              <w:pStyle w:val="5"/>
              <w:spacing w:before="0" w:beforeAutospacing="0" w:after="0" w:line="360" w:lineRule="exact"/>
              <w:jc w:val="center"/>
              <w:rPr>
                <w:rFonts w:ascii="Times New Roman" w:hAnsi="Times New Roman" w:cs="Times New Roman"/>
                <w:kern w:val="2"/>
                <w:sz w:val="21"/>
                <w:szCs w:val="21"/>
              </w:rPr>
            </w:pPr>
            <w:r>
              <w:rPr>
                <w:rFonts w:hint="eastAsia" w:ascii="Times New Roman" w:hAnsi="Times New Roman"/>
                <w:kern w:val="2"/>
                <w:sz w:val="21"/>
                <w:szCs w:val="21"/>
              </w:rPr>
              <w:t>郴州市</w:t>
            </w:r>
          </w:p>
        </w:tc>
        <w:tc>
          <w:tcPr>
            <w:tcW w:w="1852" w:type="dxa"/>
            <w:tcBorders>
              <w:top w:val="nil"/>
            </w:tcBorders>
            <w:shd w:val="clear" w:color="auto" w:fill="FFFFFF"/>
            <w:vAlign w:val="bottom"/>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11200</w:t>
            </w:r>
          </w:p>
        </w:tc>
        <w:tc>
          <w:tcPr>
            <w:tcW w:w="2029" w:type="dxa"/>
            <w:tcBorders>
              <w:top w:val="nil"/>
            </w:tcBorders>
            <w:shd w:val="clear" w:color="auto" w:fill="FFFFFF"/>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1900</w:t>
            </w:r>
          </w:p>
        </w:tc>
        <w:tc>
          <w:tcPr>
            <w:tcW w:w="2066" w:type="dxa"/>
            <w:tcBorders>
              <w:top w:val="nil"/>
            </w:tcBorders>
            <w:shd w:val="clear" w:color="auto" w:fill="FFFFFF"/>
            <w:vAlign w:val="bottom"/>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6900</w:t>
            </w:r>
          </w:p>
        </w:tc>
        <w:tc>
          <w:tcPr>
            <w:tcW w:w="1755" w:type="dxa"/>
            <w:tcBorders>
              <w:top w:val="nil"/>
            </w:tcBorders>
            <w:shd w:val="clear" w:color="auto" w:fill="FFFFFF"/>
            <w:vAlign w:val="bottom"/>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26300</w:t>
            </w:r>
          </w:p>
        </w:tc>
        <w:tc>
          <w:tcPr>
            <w:tcW w:w="2274" w:type="dxa"/>
            <w:tcBorders>
              <w:top w:val="nil"/>
            </w:tcBorders>
            <w:shd w:val="clear" w:color="auto" w:fill="FFFFFF"/>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4000</w:t>
            </w:r>
          </w:p>
        </w:tc>
        <w:tc>
          <w:tcPr>
            <w:tcW w:w="1821" w:type="dxa"/>
            <w:tcBorders>
              <w:top w:val="nil"/>
            </w:tcBorders>
            <w:shd w:val="clear" w:color="auto" w:fill="FFFFFF"/>
            <w:vAlign w:val="bottom"/>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18100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74" w:type="dxa"/>
            <w:vAlign w:val="center"/>
          </w:tcPr>
          <w:p>
            <w:pPr>
              <w:pStyle w:val="5"/>
              <w:spacing w:before="0" w:beforeAutospacing="0" w:after="0" w:line="360" w:lineRule="exact"/>
              <w:jc w:val="center"/>
              <w:rPr>
                <w:rFonts w:ascii="Times New Roman" w:hAnsi="Times New Roman" w:cs="Times New Roman"/>
                <w:kern w:val="2"/>
                <w:sz w:val="21"/>
                <w:szCs w:val="21"/>
              </w:rPr>
            </w:pPr>
            <w:r>
              <w:rPr>
                <w:rFonts w:hint="eastAsia" w:ascii="Times New Roman" w:hAnsi="Times New Roman"/>
                <w:kern w:val="2"/>
                <w:sz w:val="21"/>
                <w:szCs w:val="21"/>
              </w:rPr>
              <w:t>永州市</w:t>
            </w:r>
          </w:p>
        </w:tc>
        <w:tc>
          <w:tcPr>
            <w:tcW w:w="1852" w:type="dxa"/>
            <w:tcBorders>
              <w:top w:val="nil"/>
            </w:tcBorders>
            <w:shd w:val="clear" w:color="auto" w:fill="FFFFFF"/>
            <w:vAlign w:val="bottom"/>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9100</w:t>
            </w:r>
          </w:p>
        </w:tc>
        <w:tc>
          <w:tcPr>
            <w:tcW w:w="2029" w:type="dxa"/>
            <w:tcBorders>
              <w:top w:val="nil"/>
            </w:tcBorders>
            <w:shd w:val="clear" w:color="auto" w:fill="FFFFFF"/>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1500</w:t>
            </w:r>
          </w:p>
        </w:tc>
        <w:tc>
          <w:tcPr>
            <w:tcW w:w="2066" w:type="dxa"/>
            <w:tcBorders>
              <w:top w:val="nil"/>
            </w:tcBorders>
            <w:shd w:val="clear" w:color="auto" w:fill="FFFFFF"/>
            <w:vAlign w:val="bottom"/>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5600</w:t>
            </w:r>
          </w:p>
        </w:tc>
        <w:tc>
          <w:tcPr>
            <w:tcW w:w="1755" w:type="dxa"/>
            <w:tcBorders>
              <w:top w:val="nil"/>
            </w:tcBorders>
            <w:shd w:val="clear" w:color="auto" w:fill="FFFFFF"/>
            <w:vAlign w:val="bottom"/>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24100</w:t>
            </w:r>
          </w:p>
        </w:tc>
        <w:tc>
          <w:tcPr>
            <w:tcW w:w="2274" w:type="dxa"/>
            <w:tcBorders>
              <w:top w:val="nil"/>
            </w:tcBorders>
            <w:shd w:val="clear" w:color="auto" w:fill="FFFFFF"/>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3700</w:t>
            </w:r>
          </w:p>
        </w:tc>
        <w:tc>
          <w:tcPr>
            <w:tcW w:w="1821" w:type="dxa"/>
            <w:tcBorders>
              <w:top w:val="nil"/>
            </w:tcBorders>
            <w:shd w:val="clear" w:color="auto" w:fill="FFFFFF"/>
            <w:vAlign w:val="bottom"/>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16600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74" w:type="dxa"/>
            <w:vAlign w:val="center"/>
          </w:tcPr>
          <w:p>
            <w:pPr>
              <w:pStyle w:val="5"/>
              <w:spacing w:before="0" w:beforeAutospacing="0" w:after="0" w:line="360" w:lineRule="exact"/>
              <w:jc w:val="center"/>
              <w:rPr>
                <w:rFonts w:ascii="Times New Roman" w:hAnsi="Times New Roman" w:cs="Times New Roman"/>
                <w:kern w:val="2"/>
                <w:sz w:val="21"/>
                <w:szCs w:val="21"/>
              </w:rPr>
            </w:pPr>
            <w:r>
              <w:rPr>
                <w:rFonts w:hint="eastAsia" w:ascii="Times New Roman" w:hAnsi="Times New Roman"/>
                <w:kern w:val="2"/>
                <w:sz w:val="21"/>
                <w:szCs w:val="21"/>
              </w:rPr>
              <w:t>怀化市</w:t>
            </w:r>
          </w:p>
        </w:tc>
        <w:tc>
          <w:tcPr>
            <w:tcW w:w="1852" w:type="dxa"/>
            <w:tcBorders>
              <w:top w:val="nil"/>
            </w:tcBorders>
            <w:shd w:val="clear" w:color="auto" w:fill="FFFFFF"/>
            <w:vAlign w:val="bottom"/>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9700</w:t>
            </w:r>
          </w:p>
        </w:tc>
        <w:tc>
          <w:tcPr>
            <w:tcW w:w="2029" w:type="dxa"/>
            <w:tcBorders>
              <w:top w:val="nil"/>
            </w:tcBorders>
            <w:shd w:val="clear" w:color="auto" w:fill="FFFFFF"/>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1600</w:t>
            </w:r>
          </w:p>
        </w:tc>
        <w:tc>
          <w:tcPr>
            <w:tcW w:w="2066" w:type="dxa"/>
            <w:tcBorders>
              <w:top w:val="nil"/>
            </w:tcBorders>
            <w:shd w:val="clear" w:color="auto" w:fill="FFFFFF"/>
            <w:vAlign w:val="bottom"/>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5900</w:t>
            </w:r>
          </w:p>
        </w:tc>
        <w:tc>
          <w:tcPr>
            <w:tcW w:w="1755" w:type="dxa"/>
            <w:tcBorders>
              <w:top w:val="nil"/>
            </w:tcBorders>
            <w:shd w:val="clear" w:color="auto" w:fill="FFFFFF"/>
            <w:vAlign w:val="bottom"/>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23600</w:t>
            </w:r>
          </w:p>
        </w:tc>
        <w:tc>
          <w:tcPr>
            <w:tcW w:w="2274" w:type="dxa"/>
            <w:tcBorders>
              <w:top w:val="nil"/>
            </w:tcBorders>
            <w:shd w:val="clear" w:color="auto" w:fill="FFFFFF"/>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3600</w:t>
            </w:r>
          </w:p>
        </w:tc>
        <w:tc>
          <w:tcPr>
            <w:tcW w:w="1821" w:type="dxa"/>
            <w:tcBorders>
              <w:top w:val="nil"/>
            </w:tcBorders>
            <w:shd w:val="clear" w:color="auto" w:fill="FFFFFF"/>
            <w:vAlign w:val="bottom"/>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16200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74" w:type="dxa"/>
            <w:vAlign w:val="center"/>
          </w:tcPr>
          <w:p>
            <w:pPr>
              <w:pStyle w:val="5"/>
              <w:spacing w:before="0" w:beforeAutospacing="0" w:after="0" w:line="360" w:lineRule="exact"/>
              <w:jc w:val="center"/>
              <w:rPr>
                <w:rFonts w:ascii="Times New Roman" w:hAnsi="Times New Roman" w:cs="Times New Roman"/>
                <w:kern w:val="2"/>
                <w:sz w:val="21"/>
                <w:szCs w:val="21"/>
              </w:rPr>
            </w:pPr>
            <w:r>
              <w:rPr>
                <w:rFonts w:hint="eastAsia" w:ascii="Times New Roman" w:hAnsi="Times New Roman"/>
                <w:kern w:val="2"/>
                <w:sz w:val="21"/>
                <w:szCs w:val="21"/>
              </w:rPr>
              <w:t>娄底市</w:t>
            </w:r>
          </w:p>
        </w:tc>
        <w:tc>
          <w:tcPr>
            <w:tcW w:w="1852" w:type="dxa"/>
            <w:tcBorders>
              <w:top w:val="nil"/>
            </w:tcBorders>
            <w:shd w:val="clear" w:color="auto" w:fill="FFFFFF"/>
            <w:vAlign w:val="bottom"/>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4700</w:t>
            </w:r>
          </w:p>
        </w:tc>
        <w:tc>
          <w:tcPr>
            <w:tcW w:w="2029" w:type="dxa"/>
            <w:tcBorders>
              <w:top w:val="nil"/>
            </w:tcBorders>
            <w:shd w:val="clear" w:color="auto" w:fill="FFFFFF"/>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800</w:t>
            </w:r>
          </w:p>
        </w:tc>
        <w:tc>
          <w:tcPr>
            <w:tcW w:w="2066" w:type="dxa"/>
            <w:tcBorders>
              <w:top w:val="nil"/>
            </w:tcBorders>
            <w:shd w:val="clear" w:color="auto" w:fill="FFFFFF"/>
            <w:vAlign w:val="bottom"/>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2900</w:t>
            </w:r>
          </w:p>
        </w:tc>
        <w:tc>
          <w:tcPr>
            <w:tcW w:w="1755" w:type="dxa"/>
            <w:tcBorders>
              <w:top w:val="nil"/>
            </w:tcBorders>
            <w:shd w:val="clear" w:color="auto" w:fill="FFFFFF"/>
            <w:vAlign w:val="bottom"/>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13600</w:t>
            </w:r>
          </w:p>
        </w:tc>
        <w:tc>
          <w:tcPr>
            <w:tcW w:w="2274" w:type="dxa"/>
            <w:tcBorders>
              <w:top w:val="nil"/>
            </w:tcBorders>
            <w:shd w:val="clear" w:color="auto" w:fill="FFFFFF"/>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2100</w:t>
            </w:r>
          </w:p>
        </w:tc>
        <w:tc>
          <w:tcPr>
            <w:tcW w:w="1821" w:type="dxa"/>
            <w:tcBorders>
              <w:top w:val="nil"/>
            </w:tcBorders>
            <w:shd w:val="clear" w:color="auto" w:fill="FFFFFF"/>
            <w:vAlign w:val="bottom"/>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9300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74" w:type="dxa"/>
            <w:vAlign w:val="center"/>
          </w:tcPr>
          <w:p>
            <w:pPr>
              <w:pStyle w:val="5"/>
              <w:spacing w:before="0" w:beforeAutospacing="0" w:after="0" w:line="360" w:lineRule="exact"/>
              <w:jc w:val="center"/>
              <w:rPr>
                <w:rFonts w:ascii="Times New Roman" w:hAnsi="Times New Roman" w:cs="Times New Roman"/>
                <w:kern w:val="2"/>
                <w:sz w:val="21"/>
                <w:szCs w:val="21"/>
              </w:rPr>
            </w:pPr>
            <w:r>
              <w:rPr>
                <w:rFonts w:hint="eastAsia" w:ascii="Times New Roman" w:hAnsi="Times New Roman"/>
                <w:kern w:val="2"/>
                <w:sz w:val="21"/>
                <w:szCs w:val="21"/>
              </w:rPr>
              <w:t>湘西自治州</w:t>
            </w:r>
          </w:p>
        </w:tc>
        <w:tc>
          <w:tcPr>
            <w:tcW w:w="1852" w:type="dxa"/>
            <w:tcBorders>
              <w:top w:val="nil"/>
            </w:tcBorders>
            <w:shd w:val="clear" w:color="auto" w:fill="FFFFFF"/>
            <w:vAlign w:val="bottom"/>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4400</w:t>
            </w:r>
          </w:p>
        </w:tc>
        <w:tc>
          <w:tcPr>
            <w:tcW w:w="2029" w:type="dxa"/>
            <w:tcBorders>
              <w:top w:val="nil"/>
            </w:tcBorders>
            <w:shd w:val="clear" w:color="auto" w:fill="FFFFFF"/>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700</w:t>
            </w:r>
          </w:p>
        </w:tc>
        <w:tc>
          <w:tcPr>
            <w:tcW w:w="2066" w:type="dxa"/>
            <w:tcBorders>
              <w:top w:val="nil"/>
            </w:tcBorders>
            <w:shd w:val="clear" w:color="auto" w:fill="FFFFFF"/>
            <w:vAlign w:val="bottom"/>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2700</w:t>
            </w:r>
          </w:p>
        </w:tc>
        <w:tc>
          <w:tcPr>
            <w:tcW w:w="1755" w:type="dxa"/>
            <w:tcBorders>
              <w:top w:val="nil"/>
            </w:tcBorders>
            <w:shd w:val="clear" w:color="auto" w:fill="FFFFFF"/>
            <w:vAlign w:val="bottom"/>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10200</w:t>
            </w:r>
          </w:p>
        </w:tc>
        <w:tc>
          <w:tcPr>
            <w:tcW w:w="2274" w:type="dxa"/>
            <w:tcBorders>
              <w:top w:val="nil"/>
            </w:tcBorders>
            <w:shd w:val="clear" w:color="auto" w:fill="FFFFFF"/>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1600</w:t>
            </w:r>
          </w:p>
        </w:tc>
        <w:tc>
          <w:tcPr>
            <w:tcW w:w="1821" w:type="dxa"/>
            <w:tcBorders>
              <w:top w:val="nil"/>
            </w:tcBorders>
            <w:shd w:val="clear" w:color="auto" w:fill="FFFFFF"/>
            <w:vAlign w:val="bottom"/>
          </w:tcPr>
          <w:p>
            <w:pPr>
              <w:pStyle w:val="5"/>
              <w:spacing w:before="0" w:beforeAutospacing="0" w:after="0" w:line="360" w:lineRule="exact"/>
              <w:jc w:val="center"/>
              <w:rPr>
                <w:rFonts w:ascii="Times New Roman" w:hAnsi="Times New Roman" w:cs="Times New Roman"/>
                <w:kern w:val="2"/>
                <w:sz w:val="21"/>
                <w:szCs w:val="21"/>
              </w:rPr>
            </w:pPr>
            <w:r>
              <w:rPr>
                <w:rFonts w:ascii="Times New Roman" w:hAnsi="Times New Roman" w:cs="Times New Roman"/>
                <w:kern w:val="2"/>
                <w:sz w:val="21"/>
                <w:szCs w:val="21"/>
              </w:rPr>
              <w:t>7000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74" w:type="dxa"/>
            <w:vAlign w:val="center"/>
          </w:tcPr>
          <w:p>
            <w:pPr>
              <w:pStyle w:val="5"/>
              <w:spacing w:before="0" w:beforeAutospacing="0" w:after="0" w:line="360" w:lineRule="exact"/>
              <w:jc w:val="center"/>
              <w:rPr>
                <w:rFonts w:ascii="Times New Roman" w:hAnsi="Times New Roman" w:cs="Times New Roman"/>
                <w:b/>
                <w:bCs/>
                <w:kern w:val="2"/>
                <w:sz w:val="21"/>
                <w:szCs w:val="21"/>
              </w:rPr>
            </w:pPr>
            <w:r>
              <w:rPr>
                <w:rFonts w:hint="eastAsia" w:ascii="Times New Roman" w:hAnsi="Times New Roman"/>
                <w:b/>
                <w:bCs/>
                <w:kern w:val="2"/>
                <w:sz w:val="21"/>
                <w:szCs w:val="21"/>
              </w:rPr>
              <w:t>合计</w:t>
            </w:r>
          </w:p>
        </w:tc>
        <w:tc>
          <w:tcPr>
            <w:tcW w:w="1852" w:type="dxa"/>
            <w:vAlign w:val="center"/>
          </w:tcPr>
          <w:p>
            <w:pPr>
              <w:widowControl/>
              <w:spacing w:line="360" w:lineRule="exact"/>
              <w:jc w:val="center"/>
              <w:textAlignment w:val="center"/>
              <w:rPr>
                <w:b/>
                <w:bCs/>
              </w:rPr>
            </w:pPr>
            <w:r>
              <w:rPr>
                <w:b/>
                <w:bCs/>
                <w:kern w:val="0"/>
              </w:rPr>
              <w:t>248100</w:t>
            </w:r>
          </w:p>
        </w:tc>
        <w:tc>
          <w:tcPr>
            <w:tcW w:w="2029" w:type="dxa"/>
            <w:vAlign w:val="center"/>
          </w:tcPr>
          <w:p>
            <w:pPr>
              <w:widowControl/>
              <w:spacing w:line="360" w:lineRule="exact"/>
              <w:jc w:val="center"/>
              <w:textAlignment w:val="center"/>
              <w:rPr>
                <w:b/>
                <w:bCs/>
              </w:rPr>
            </w:pPr>
            <w:r>
              <w:rPr>
                <w:b/>
                <w:bCs/>
                <w:kern w:val="0"/>
              </w:rPr>
              <w:t>41500</w:t>
            </w:r>
          </w:p>
        </w:tc>
        <w:tc>
          <w:tcPr>
            <w:tcW w:w="2066" w:type="dxa"/>
            <w:vAlign w:val="center"/>
          </w:tcPr>
          <w:p>
            <w:pPr>
              <w:widowControl/>
              <w:spacing w:line="360" w:lineRule="exact"/>
              <w:jc w:val="center"/>
              <w:textAlignment w:val="center"/>
              <w:rPr>
                <w:b/>
                <w:bCs/>
              </w:rPr>
            </w:pPr>
            <w:r>
              <w:rPr>
                <w:b/>
                <w:bCs/>
                <w:kern w:val="0"/>
              </w:rPr>
              <w:t>151600</w:t>
            </w:r>
          </w:p>
        </w:tc>
        <w:tc>
          <w:tcPr>
            <w:tcW w:w="1755" w:type="dxa"/>
            <w:vAlign w:val="center"/>
          </w:tcPr>
          <w:p>
            <w:pPr>
              <w:widowControl/>
              <w:spacing w:line="360" w:lineRule="exact"/>
              <w:jc w:val="center"/>
              <w:textAlignment w:val="center"/>
              <w:rPr>
                <w:b/>
                <w:bCs/>
              </w:rPr>
            </w:pPr>
            <w:r>
              <w:rPr>
                <w:b/>
                <w:bCs/>
                <w:kern w:val="0"/>
              </w:rPr>
              <w:t>546200</w:t>
            </w:r>
          </w:p>
        </w:tc>
        <w:tc>
          <w:tcPr>
            <w:tcW w:w="2274" w:type="dxa"/>
            <w:vAlign w:val="center"/>
          </w:tcPr>
          <w:p>
            <w:pPr>
              <w:widowControl/>
              <w:spacing w:line="360" w:lineRule="exact"/>
              <w:jc w:val="center"/>
              <w:textAlignment w:val="center"/>
              <w:rPr>
                <w:b/>
                <w:bCs/>
              </w:rPr>
            </w:pPr>
            <w:r>
              <w:rPr>
                <w:b/>
                <w:bCs/>
                <w:kern w:val="0"/>
              </w:rPr>
              <w:t>83800</w:t>
            </w:r>
          </w:p>
        </w:tc>
        <w:tc>
          <w:tcPr>
            <w:tcW w:w="1821" w:type="dxa"/>
            <w:vAlign w:val="center"/>
          </w:tcPr>
          <w:p>
            <w:pPr>
              <w:widowControl/>
              <w:spacing w:line="360" w:lineRule="exact"/>
              <w:jc w:val="center"/>
              <w:textAlignment w:val="center"/>
              <w:rPr>
                <w:b/>
                <w:bCs/>
              </w:rPr>
            </w:pPr>
            <w:r>
              <w:rPr>
                <w:b/>
                <w:bCs/>
                <w:kern w:val="0"/>
              </w:rPr>
              <w:t>374700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74" w:type="dxa"/>
            <w:vAlign w:val="center"/>
          </w:tcPr>
          <w:p>
            <w:pPr>
              <w:pStyle w:val="5"/>
              <w:spacing w:before="0" w:beforeAutospacing="0" w:after="0" w:line="360" w:lineRule="exact"/>
              <w:jc w:val="center"/>
              <w:rPr>
                <w:rFonts w:ascii="Times New Roman" w:hAnsi="Times New Roman" w:cs="Times New Roman"/>
                <w:b/>
                <w:bCs/>
                <w:kern w:val="2"/>
                <w:sz w:val="21"/>
                <w:szCs w:val="21"/>
              </w:rPr>
            </w:pPr>
          </w:p>
        </w:tc>
        <w:tc>
          <w:tcPr>
            <w:tcW w:w="3881" w:type="dxa"/>
            <w:gridSpan w:val="2"/>
            <w:vAlign w:val="center"/>
          </w:tcPr>
          <w:p>
            <w:pPr>
              <w:widowControl/>
              <w:spacing w:line="360" w:lineRule="exact"/>
              <w:jc w:val="center"/>
              <w:textAlignment w:val="center"/>
              <w:rPr>
                <w:b/>
                <w:bCs/>
                <w:kern w:val="0"/>
              </w:rPr>
            </w:pPr>
            <w:r>
              <w:rPr>
                <w:rFonts w:hint="eastAsia" w:cs="宋体"/>
                <w:b/>
                <w:bCs/>
                <w:kern w:val="0"/>
              </w:rPr>
              <w:t>高速公路及国省干线</w:t>
            </w:r>
          </w:p>
        </w:tc>
        <w:tc>
          <w:tcPr>
            <w:tcW w:w="2066" w:type="dxa"/>
            <w:vAlign w:val="center"/>
          </w:tcPr>
          <w:p>
            <w:pPr>
              <w:widowControl/>
              <w:spacing w:line="360" w:lineRule="exact"/>
              <w:jc w:val="center"/>
              <w:textAlignment w:val="center"/>
              <w:rPr>
                <w:b/>
                <w:bCs/>
                <w:kern w:val="0"/>
              </w:rPr>
            </w:pPr>
            <w:r>
              <w:rPr>
                <w:b/>
                <w:bCs/>
                <w:kern w:val="0"/>
              </w:rPr>
              <w:t>10000</w:t>
            </w:r>
          </w:p>
        </w:tc>
        <w:tc>
          <w:tcPr>
            <w:tcW w:w="4029" w:type="dxa"/>
            <w:gridSpan w:val="2"/>
            <w:vAlign w:val="center"/>
          </w:tcPr>
          <w:p>
            <w:pPr>
              <w:widowControl/>
              <w:spacing w:line="360" w:lineRule="exact"/>
              <w:jc w:val="center"/>
              <w:textAlignment w:val="center"/>
              <w:rPr>
                <w:b/>
                <w:bCs/>
                <w:kern w:val="0"/>
              </w:rPr>
            </w:pPr>
            <w:r>
              <w:rPr>
                <w:rFonts w:hint="eastAsia" w:cs="宋体"/>
                <w:b/>
                <w:bCs/>
                <w:kern w:val="0"/>
              </w:rPr>
              <w:t>高速公路及国省干线</w:t>
            </w:r>
          </w:p>
        </w:tc>
        <w:tc>
          <w:tcPr>
            <w:tcW w:w="1821" w:type="dxa"/>
            <w:vAlign w:val="center"/>
          </w:tcPr>
          <w:p>
            <w:pPr>
              <w:widowControl/>
              <w:spacing w:line="360" w:lineRule="exact"/>
              <w:jc w:val="center"/>
              <w:textAlignment w:val="center"/>
              <w:rPr>
                <w:b/>
                <w:bCs/>
                <w:kern w:val="0"/>
              </w:rPr>
            </w:pPr>
            <w:r>
              <w:rPr>
                <w:b/>
                <w:bCs/>
                <w:kern w:val="0"/>
              </w:rPr>
              <w:t>25300</w:t>
            </w:r>
          </w:p>
        </w:tc>
      </w:tr>
    </w:tbl>
    <w:p>
      <w:pPr>
        <w:pStyle w:val="5"/>
        <w:shd w:val="clear" w:color="auto" w:fill="FFFFFF"/>
        <w:spacing w:before="0" w:beforeAutospacing="0" w:after="0" w:line="20" w:lineRule="exact"/>
        <w:rPr>
          <w:rFonts w:ascii="Times New Roman" w:hAnsi="Times New Roman" w:eastAsia="仿宋_GB2312" w:cs="Times New Roman"/>
          <w:kern w:val="2"/>
          <w:sz w:val="32"/>
          <w:szCs w:val="32"/>
        </w:rPr>
      </w:pPr>
    </w:p>
    <w:p>
      <w:pPr>
        <w:pStyle w:val="2"/>
        <w:spacing w:line="20" w:lineRule="exact"/>
      </w:pPr>
    </w:p>
    <w:sectPr>
      <w:footerReference r:id="rId7" w:type="even"/>
      <w:pgSz w:w="16838" w:h="11906" w:orient="landscape"/>
      <w:pgMar w:top="1417" w:right="1134" w:bottom="1417" w:left="1134"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华文中宋">
    <w:altName w:val="宋体"/>
    <w:panose1 w:val="02010600040101010101"/>
    <w:charset w:val="86"/>
    <w:family w:val="auto"/>
    <w:pitch w:val="default"/>
    <w:sig w:usb0="00000000" w:usb1="00000000" w:usb2="00000010" w:usb3="00000000" w:csb0="0004009F" w:csb1="00000000"/>
  </w:font>
  <w:font w:name="仿宋_GB2312">
    <w:panose1 w:val="02010609030101010101"/>
    <w:charset w:val="86"/>
    <w:family w:val="modern"/>
    <w:pitch w:val="default"/>
    <w:sig w:usb0="00000001" w:usb1="080E0000" w:usb2="00000000" w:usb3="00000000" w:csb0="00040000" w:csb1="00000000"/>
  </w:font>
  <w:font w:name="黑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15" w:rightChars="150"/>
      <w:jc w:val="right"/>
    </w:pPr>
    <w:r>
      <w:rPr>
        <w:kern w:val="0"/>
        <w:sz w:val="28"/>
        <w:szCs w:val="28"/>
      </w:rPr>
      <w:t xml:space="preserve">— </w:t>
    </w:r>
    <w:r>
      <w:rPr>
        <w:kern w:val="0"/>
        <w:sz w:val="28"/>
        <w:szCs w:val="28"/>
      </w:rPr>
      <w:fldChar w:fldCharType="begin"/>
    </w:r>
    <w:r>
      <w:rPr>
        <w:kern w:val="0"/>
        <w:sz w:val="28"/>
        <w:szCs w:val="28"/>
      </w:rPr>
      <w:instrText xml:space="preserve"> PAGE </w:instrText>
    </w:r>
    <w:r>
      <w:rPr>
        <w:kern w:val="0"/>
        <w:sz w:val="28"/>
        <w:szCs w:val="28"/>
      </w:rPr>
      <w:fldChar w:fldCharType="separate"/>
    </w:r>
    <w:r>
      <w:rPr>
        <w:kern w:val="0"/>
        <w:sz w:val="28"/>
        <w:szCs w:val="28"/>
      </w:rPr>
      <w:t>1</w:t>
    </w:r>
    <w:r>
      <w:rPr>
        <w:kern w:val="0"/>
        <w:sz w:val="28"/>
        <w:szCs w:val="28"/>
      </w:rPr>
      <w:fldChar w:fldCharType="end"/>
    </w:r>
    <w:r>
      <w:rPr>
        <w:kern w:val="0"/>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15" w:rightChars="150" w:firstLine="280" w:firstLineChars="100"/>
    </w:pPr>
    <w:r>
      <w:rPr>
        <w:kern w:val="0"/>
        <w:sz w:val="28"/>
        <w:szCs w:val="28"/>
      </w:rPr>
      <w:t xml:space="preserve">— </w:t>
    </w:r>
    <w:r>
      <w:rPr>
        <w:kern w:val="0"/>
        <w:sz w:val="28"/>
        <w:szCs w:val="28"/>
      </w:rPr>
      <w:fldChar w:fldCharType="begin"/>
    </w:r>
    <w:r>
      <w:rPr>
        <w:kern w:val="0"/>
        <w:sz w:val="28"/>
        <w:szCs w:val="28"/>
      </w:rPr>
      <w:instrText xml:space="preserve"> PAGE </w:instrText>
    </w:r>
    <w:r>
      <w:rPr>
        <w:kern w:val="0"/>
        <w:sz w:val="28"/>
        <w:szCs w:val="28"/>
      </w:rPr>
      <w:fldChar w:fldCharType="separate"/>
    </w:r>
    <w:r>
      <w:rPr>
        <w:kern w:val="0"/>
        <w:sz w:val="28"/>
        <w:szCs w:val="28"/>
      </w:rPr>
      <w:t>6</w:t>
    </w:r>
    <w:r>
      <w:rPr>
        <w:kern w:val="0"/>
        <w:sz w:val="28"/>
        <w:szCs w:val="28"/>
      </w:rPr>
      <w:fldChar w:fldCharType="end"/>
    </w:r>
    <w:r>
      <w:rPr>
        <w:kern w:val="0"/>
        <w:sz w:val="28"/>
        <w:szCs w:val="2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15" w:rightChars="150" w:firstLine="280" w:firstLineChars="100"/>
      <w:jc w:val="center"/>
    </w:pPr>
    <w:r>
      <w:rPr>
        <w:kern w:val="0"/>
        <w:sz w:val="28"/>
        <w:szCs w:val="28"/>
      </w:rPr>
      <w:t xml:space="preserve">— </w:t>
    </w:r>
    <w:r>
      <w:rPr>
        <w:kern w:val="0"/>
        <w:sz w:val="28"/>
        <w:szCs w:val="28"/>
      </w:rPr>
      <w:fldChar w:fldCharType="begin"/>
    </w:r>
    <w:r>
      <w:rPr>
        <w:kern w:val="0"/>
        <w:sz w:val="28"/>
        <w:szCs w:val="28"/>
      </w:rPr>
      <w:instrText xml:space="preserve"> PAGE </w:instrText>
    </w:r>
    <w:r>
      <w:rPr>
        <w:kern w:val="0"/>
        <w:sz w:val="28"/>
        <w:szCs w:val="28"/>
      </w:rPr>
      <w:fldChar w:fldCharType="separate"/>
    </w:r>
    <w:r>
      <w:rPr>
        <w:kern w:val="0"/>
        <w:sz w:val="28"/>
        <w:szCs w:val="28"/>
      </w:rPr>
      <w:t>8</w:t>
    </w:r>
    <w:r>
      <w:rPr>
        <w:kern w:val="0"/>
        <w:sz w:val="28"/>
        <w:szCs w:val="28"/>
      </w:rPr>
      <w:fldChar w:fldCharType="end"/>
    </w:r>
    <w:r>
      <w:rPr>
        <w:kern w:val="0"/>
        <w:sz w:val="28"/>
        <w:szCs w:val="28"/>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oNotHyphenateCaps/>
  <w:evenAndOddHeaders w:val="1"/>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726DAC"/>
    <w:rsid w:val="00003C84"/>
    <w:rsid w:val="00121A0D"/>
    <w:rsid w:val="001F1CB2"/>
    <w:rsid w:val="00363AF7"/>
    <w:rsid w:val="00380BCA"/>
    <w:rsid w:val="003B45E6"/>
    <w:rsid w:val="004A3E36"/>
    <w:rsid w:val="005804E9"/>
    <w:rsid w:val="005C2932"/>
    <w:rsid w:val="006B5CA5"/>
    <w:rsid w:val="006E17CE"/>
    <w:rsid w:val="00717D1A"/>
    <w:rsid w:val="007E5A7F"/>
    <w:rsid w:val="0084553C"/>
    <w:rsid w:val="00902FDF"/>
    <w:rsid w:val="0092264C"/>
    <w:rsid w:val="00946C4D"/>
    <w:rsid w:val="009D4BDB"/>
    <w:rsid w:val="00A110D3"/>
    <w:rsid w:val="00A544B9"/>
    <w:rsid w:val="00AA0A56"/>
    <w:rsid w:val="00BA700A"/>
    <w:rsid w:val="00BC32D3"/>
    <w:rsid w:val="00C16226"/>
    <w:rsid w:val="00C6780B"/>
    <w:rsid w:val="00C7213D"/>
    <w:rsid w:val="00D90E91"/>
    <w:rsid w:val="01CB258E"/>
    <w:rsid w:val="02C815C2"/>
    <w:rsid w:val="21FBC6AD"/>
    <w:rsid w:val="244207B0"/>
    <w:rsid w:val="2EC515D9"/>
    <w:rsid w:val="46691E30"/>
    <w:rsid w:val="51B475B0"/>
    <w:rsid w:val="57BC3AD7"/>
    <w:rsid w:val="68246713"/>
    <w:rsid w:val="68726DAC"/>
    <w:rsid w:val="6FED0DB8"/>
    <w:rsid w:val="79096BE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nhideWhenUsed="0" w:uiPriority="0" w:semiHidden="0" w:name="Table Simple 1" w:locked="1"/>
    <w:lsdException w:unhideWhenUsed="0" w:uiPriority="0" w:semiHidden="0" w:name="Table Simple 2" w:locked="1"/>
    <w:lsdException w:unhideWhenUsed="0" w:uiPriority="0" w:semiHidden="0" w:name="Table Simple 3" w:locked="1"/>
    <w:lsdException w:unhideWhenUsed="0" w:uiPriority="0" w:semiHidden="0" w:name="Table Classic 1" w:locked="1"/>
    <w:lsdException w:unhideWhenUsed="0" w:uiPriority="0" w:semiHidden="0" w:name="Table Classic 2" w:locked="1"/>
    <w:lsdException w:unhideWhenUsed="0" w:uiPriority="0" w:semiHidden="0" w:name="Table Classic 3" w:locked="1"/>
    <w:lsdException w:unhideWhenUsed="0" w:uiPriority="0" w:semiHidden="0" w:name="Table Classic 4" w:locked="1"/>
    <w:lsdException w:unhideWhenUsed="0" w:uiPriority="0" w:semiHidden="0" w:name="Table Colorful 1" w:locked="1"/>
    <w:lsdException w:unhideWhenUsed="0" w:uiPriority="0" w:semiHidden="0" w:name="Table Colorful 2" w:locked="1"/>
    <w:lsdException w:unhideWhenUsed="0" w:uiPriority="0" w:semiHidden="0" w:name="Table Colorful 3" w:locked="1"/>
    <w:lsdException w:unhideWhenUsed="0" w:uiPriority="0" w:semiHidden="0" w:name="Table Columns 1" w:locked="1"/>
    <w:lsdException w:unhideWhenUsed="0" w:uiPriority="0" w:semiHidden="0" w:name="Table Columns 2" w:locked="1"/>
    <w:lsdException w:unhideWhenUsed="0" w:uiPriority="0" w:semiHidden="0" w:name="Table Columns 3" w:locked="1"/>
    <w:lsdException w:unhideWhenUsed="0" w:uiPriority="0" w:semiHidden="0" w:name="Table Columns 4" w:locked="1"/>
    <w:lsdException w:unhideWhenUsed="0" w:uiPriority="0" w:semiHidden="0" w:name="Table Columns 5" w:locked="1"/>
    <w:lsdException w:unhideWhenUsed="0" w:uiPriority="0" w:semiHidden="0" w:name="Table Grid 1" w:locked="1"/>
    <w:lsdException w:unhideWhenUsed="0" w:uiPriority="0" w:semiHidden="0" w:name="Table Grid 2" w:locked="1"/>
    <w:lsdException w:unhideWhenUsed="0" w:uiPriority="0" w:semiHidden="0" w:name="Table Grid 3" w:locked="1"/>
    <w:lsdException w:unhideWhenUsed="0" w:uiPriority="0" w:semiHidden="0" w:name="Table Grid 4" w:locked="1"/>
    <w:lsdException w:unhideWhenUsed="0" w:uiPriority="0" w:semiHidden="0" w:name="Table Grid 5" w:locked="1"/>
    <w:lsdException w:unhideWhenUsed="0" w:uiPriority="0" w:semiHidden="0" w:name="Table Grid 6" w:locked="1"/>
    <w:lsdException w:unhideWhenUsed="0" w:uiPriority="0" w:semiHidden="0" w:name="Table Grid 7" w:locked="1"/>
    <w:lsdException w:unhideWhenUsed="0" w:uiPriority="0" w:semiHidden="0" w:name="Table Grid 8" w:locked="1"/>
    <w:lsdException w:unhideWhenUsed="0" w:uiPriority="0" w:semiHidden="0" w:name="Table List 1" w:locked="1"/>
    <w:lsdException w:unhideWhenUsed="0" w:uiPriority="0" w:semiHidden="0" w:name="Table List 2" w:locked="1"/>
    <w:lsdException w:unhideWhenUsed="0" w:uiPriority="0" w:semiHidden="0" w:name="Table List 3" w:locked="1"/>
    <w:lsdException w:unhideWhenUsed="0" w:uiPriority="0" w:semiHidden="0" w:name="Table List 4" w:locked="1"/>
    <w:lsdException w:unhideWhenUsed="0" w:uiPriority="0" w:semiHidden="0" w:name="Table List 5" w:locked="1"/>
    <w:lsdException w:unhideWhenUsed="0" w:uiPriority="0" w:semiHidden="0" w:name="Table List 6" w:locked="1"/>
    <w:lsdException w:unhideWhenUsed="0" w:uiPriority="0" w:semiHidden="0" w:name="Table List 7" w:locked="1"/>
    <w:lsdException w:unhideWhenUsed="0" w:uiPriority="0" w:semiHidden="0" w:name="Table List 8" w:locked="1"/>
    <w:lsdException w:unhideWhenUsed="0" w:uiPriority="0" w:semiHidden="0" w:name="Table 3D effects 1" w:locked="1"/>
    <w:lsdException w:unhideWhenUsed="0" w:uiPriority="0" w:semiHidden="0" w:name="Table 3D effects 2" w:locked="1"/>
    <w:lsdException w:unhideWhenUsed="0" w:uiPriority="0" w:semiHidden="0" w:name="Table 3D effects 3" w:locked="1"/>
    <w:lsdException w:unhideWhenUsed="0" w:uiPriority="0" w:semiHidden="0" w:name="Table Contemporary" w:locked="1"/>
    <w:lsdException w:unhideWhenUsed="0" w:uiPriority="0" w:semiHidden="0" w:name="Table Elegant" w:locked="1"/>
    <w:lsdException w:unhideWhenUsed="0" w:uiPriority="0" w:semiHidden="0" w:name="Table Professional" w:locked="1"/>
    <w:lsdException w:unhideWhenUsed="0" w:uiPriority="0" w:semiHidden="0" w:name="Table Subtle 1" w:locked="1"/>
    <w:lsdException w:unhideWhenUsed="0" w:uiPriority="0" w:semiHidden="0" w:name="Table Subtle 2" w:locked="1"/>
    <w:lsdException w:unhideWhenUsed="0" w:uiPriority="0" w:semiHidden="0" w:name="Table Web 1" w:locked="1"/>
    <w:lsdException w:unhideWhenUsed="0" w:uiPriority="0" w:semiHidden="0" w:name="Table Web 2" w:locked="1"/>
    <w:lsdException w:unhideWhenUsed="0" w:uiPriority="0" w:semiHidden="0" w:name="Table Web 3" w:locked="1"/>
    <w:lsdException w:uiPriority="99" w:name="Balloon Text"/>
    <w:lsdException w:qFormat="1" w:unhideWhenUsed="0" w:uiPriority="99" w:semiHidden="0" w:name="Table Grid"/>
    <w:lsdException w:unhideWhenUsed="0" w:uiPriority="0" w:semiHidden="0"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6">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w:basedOn w:val="1"/>
    <w:link w:val="9"/>
    <w:qFormat/>
    <w:uiPriority w:val="99"/>
    <w:pPr>
      <w:spacing w:after="120"/>
    </w:p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11"/>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99"/>
    <w:pPr>
      <w:widowControl/>
      <w:spacing w:before="100" w:beforeAutospacing="1" w:after="119"/>
      <w:jc w:val="left"/>
    </w:pPr>
    <w:rPr>
      <w:rFonts w:ascii="宋体" w:hAnsi="宋体" w:cs="宋体"/>
      <w:kern w:val="0"/>
      <w:sz w:val="24"/>
      <w:szCs w:val="24"/>
    </w:rPr>
  </w:style>
  <w:style w:type="table" w:styleId="8">
    <w:name w:val="Table Grid"/>
    <w:basedOn w:val="7"/>
    <w:qFormat/>
    <w:uiPriority w:val="99"/>
    <w:rPr>
      <w:rFonts w:cs="Calibri"/>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正文文本 Char"/>
    <w:basedOn w:val="6"/>
    <w:link w:val="2"/>
    <w:semiHidden/>
    <w:qFormat/>
    <w:uiPriority w:val="99"/>
    <w:rPr>
      <w:rFonts w:ascii="Times New Roman" w:hAnsi="Times New Roman"/>
      <w:szCs w:val="21"/>
    </w:rPr>
  </w:style>
  <w:style w:type="character" w:customStyle="1" w:styleId="10">
    <w:name w:val="页脚 Char"/>
    <w:basedOn w:val="6"/>
    <w:link w:val="3"/>
    <w:qFormat/>
    <w:locked/>
    <w:uiPriority w:val="99"/>
    <w:rPr>
      <w:rFonts w:ascii="Times New Roman" w:hAnsi="Times New Roman" w:eastAsia="宋体" w:cs="Times New Roman"/>
      <w:kern w:val="2"/>
      <w:sz w:val="18"/>
      <w:szCs w:val="18"/>
    </w:rPr>
  </w:style>
  <w:style w:type="character" w:customStyle="1" w:styleId="11">
    <w:name w:val="页眉 Char"/>
    <w:basedOn w:val="6"/>
    <w:link w:val="4"/>
    <w:semiHidden/>
    <w:qFormat/>
    <w:uiPriority w:val="99"/>
    <w:rPr>
      <w:rFonts w:ascii="Times New Roman" w:hAnsi="Times New Roman"/>
      <w:sz w:val="18"/>
      <w:szCs w:val="18"/>
    </w:rPr>
  </w:style>
  <w:style w:type="paragraph" w:customStyle="1" w:styleId="12">
    <w:name w:val=" Char"/>
    <w:basedOn w:val="1"/>
    <w:qFormat/>
    <w:uiPriority w:val="0"/>
    <w:rPr>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8</Pages>
  <Words>675</Words>
  <Characters>3851</Characters>
  <Lines>32</Lines>
  <Paragraphs>9</Paragraphs>
  <TotalTime>1</TotalTime>
  <ScaleCrop>false</ScaleCrop>
  <LinksUpToDate>false</LinksUpToDate>
  <CharactersWithSpaces>4517</CharactersWithSpaces>
  <Application>WPS Office_10.8.0.7115_F1E327BC-269C-435d-A152-05C5408002CA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2021-02-09T15:07:00Z</dcterms:created>
  <dc:creator>怪物m</dc:creator>
  <cp:lastModifiedBy>文印室</cp:lastModifiedBy>
  <cp:lastPrinted>2021-02-07T10:23:00Z</cp:lastPrinted>
  <dcterms:modified xsi:type="dcterms:W3CDTF">2021-02-20T11:12:28Z</dcterms:modified>
  <dc:title>湖南省人民政府办公厅</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2052-10.8.0.7115</vt:lpwstr>
  </property>
</Properties>
</file>