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  <w:jc w:val="center"/>
      </w:pPr>
      <w:r>
        <w:rPr>
          <w:rFonts w:ascii="Microsoft YaHei" w:hAnsi="Microsoft YaHei" w:eastAsia="Microsoft YaHei"/>
          <w:b/>
          <w:color w:val="000000"/>
          <w:sz w:val="40"/>
        </w:rPr>
        <w:t>UniMeal AI团队阶段性进展总结</w:t>
      </w:r>
    </w:p>
    <w:p>
      <w:pPr>
        <w:spacing w:after="320"/>
        <w:jc w:val="center"/>
      </w:pPr>
      <w:r>
        <w:rPr>
          <w:rFonts w:ascii="Microsoft YaHei" w:hAnsi="Microsoft YaHei" w:eastAsia="Microsoft YaHei"/>
          <w:b w:val="0"/>
          <w:sz w:val="20"/>
        </w:rPr>
        <w:t>阶段性起步工作完成时间：2026年9月7日</w:t>
      </w:r>
    </w:p>
    <w:p>
      <w:pPr>
        <w:pStyle w:val="Heading1"/>
        <w:spacing w:before="260" w:after="100"/>
      </w:pPr>
      <w:r>
        <w:rPr>
          <w:rFonts w:ascii="Microsoft YaHei" w:hAnsi="Microsoft YaHei" w:eastAsia="Microsoft YaHei"/>
          <w:b/>
          <w:color w:val="000000"/>
          <w:sz w:val="28"/>
        </w:rPr>
        <w:t>一 进展概述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1"/>
        </w:rPr>
        <w:t>AI团队已完成一组能够相互衔接的基础交付物，包括豆包接口连通性基线、个性化膳食提示词测试用例、机器可读的响应结构、离线验证测试，以及初版数据统计指标。本阶段的目标是建立后续集成的基础，不代表AI功能已完成生产级开发。</w:t>
      </w:r>
    </w:p>
    <w:p>
      <w:pPr>
        <w:pStyle w:val="Heading1"/>
        <w:spacing w:before="260" w:after="100"/>
      </w:pPr>
      <w:r>
        <w:rPr>
          <w:rFonts w:ascii="Microsoft YaHei" w:hAnsi="Microsoft YaHei" w:eastAsia="Microsoft YaHei"/>
          <w:b/>
          <w:color w:val="000000"/>
          <w:sz w:val="28"/>
        </w:rPr>
        <w:t>二 各成员已完成的工作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1446"/>
        <w:gridCol w:w="4224"/>
        <w:gridCol w:w="2665"/>
      </w:tblGrid>
      <w:tr>
        <w:tc>
          <w:tcPr>
            <w:tcW w:type="dxa" w:w="794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446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负责领域</w:t>
            </w:r>
          </w:p>
        </w:tc>
        <w:tc>
          <w:tcPr>
            <w:tcW w:type="dxa" w:w="4224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本阶段已完成工作</w:t>
            </w:r>
          </w:p>
        </w:tc>
        <w:tc>
          <w:tcPr>
            <w:tcW w:type="dxa" w:w="2665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交付物与下一步</w:t>
            </w:r>
          </w:p>
        </w:tc>
      </w:tr>
      <w:tr>
        <w:tc>
          <w:tcPr>
            <w:tcW w:type="dxa" w:w="79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AI-1</w:t>
            </w:r>
          </w:p>
        </w:tc>
        <w:tc>
          <w:tcPr>
            <w:tcW w:type="dxa" w:w="144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接口集成</w:t>
            </w:r>
          </w:p>
        </w:tc>
        <w:tc>
          <w:tcPr>
            <w:tcW w:type="dxa" w:w="4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整理了豆包API服务的初版契约：必填配置、chat completions请求预期、安全错误处理，以及现有连通性检查的用途。</w:t>
            </w:r>
          </w:p>
        </w:tc>
        <w:tc>
          <w:tcPr>
            <w:tcW w:type="dxa" w:w="266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ai_qa/API_INTEGRATION.md</w:t>
              <w:br/>
              <w:t>下一步：将该接口契约接入FastAPI服务端。</w:t>
            </w:r>
          </w:p>
        </w:tc>
      </w:tr>
      <w:tr>
        <w:tc>
          <w:tcPr>
            <w:tcW w:type="dxa" w:w="79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F3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AI-2</w:t>
            </w:r>
          </w:p>
        </w:tc>
        <w:tc>
          <w:tcPr>
            <w:tcW w:type="dxa" w:w="144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F3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提示词工程</w:t>
            </w:r>
          </w:p>
        </w:tc>
        <w:tc>
          <w:tcPr>
            <w:tcW w:type="dxa" w:w="4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F3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准备了5个初始提示词测试用例，覆盖素食偏好、花生过敏、无偏好输入、冲突约束和有限烹饪设备等情况。</w:t>
            </w:r>
          </w:p>
        </w:tc>
        <w:tc>
          <w:tcPr>
            <w:tcW w:type="dxa" w:w="266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F3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ai_qa/prompt_templates/meal_plan_test_cases.md</w:t>
              <w:br/>
              <w:t>下一步：结合已验证的菜谱数据运行并记录测试结果。</w:t>
            </w:r>
          </w:p>
        </w:tc>
      </w:tr>
      <w:tr>
        <w:tc>
          <w:tcPr>
            <w:tcW w:type="dxa" w:w="79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AI-3</w:t>
            </w:r>
          </w:p>
        </w:tc>
        <w:tc>
          <w:tcPr>
            <w:tcW w:type="dxa" w:w="144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推荐输出设计</w:t>
            </w:r>
          </w:p>
        </w:tc>
        <w:tc>
          <w:tcPr>
            <w:tcW w:type="dxa" w:w="4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创建了膳食计划响应的首版JSON Schema，规定顶层字段、每日计划字段、餐次类型及关键数值范围。</w:t>
            </w:r>
          </w:p>
        </w:tc>
        <w:tc>
          <w:tcPr>
            <w:tcW w:type="dxa" w:w="266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ai_qa/recommendation_schema.json</w:t>
              <w:br/>
              <w:t>下一步：与后端确认校验逻辑，并将菜谱数据库字段映射到响应中。</w:t>
            </w:r>
          </w:p>
        </w:tc>
      </w:tr>
      <w:tr>
        <w:tc>
          <w:tcPr>
            <w:tcW w:type="dxa" w:w="79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F3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AI-4</w:t>
            </w:r>
          </w:p>
        </w:tc>
        <w:tc>
          <w:tcPr>
            <w:tcW w:type="dxa" w:w="144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F3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质量保证与测试</w:t>
            </w:r>
          </w:p>
        </w:tc>
        <w:tc>
          <w:tcPr>
            <w:tcW w:type="dxa" w:w="4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F3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新增离线单元测试，确认响应结构保留约定的必填字段和餐次类型；同时运行了已有的健康检查测试。</w:t>
            </w:r>
          </w:p>
        </w:tc>
        <w:tc>
          <w:tcPr>
            <w:tcW w:type="dxa" w:w="266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F3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ai_qa/tests/test_recommendation_schema.py</w:t>
              <w:br/>
              <w:t>下一步：补充畸形响应、约束失败和接口异常的测试。</w:t>
            </w:r>
          </w:p>
        </w:tc>
      </w:tr>
      <w:tr>
        <w:tc>
          <w:tcPr>
            <w:tcW w:type="dxa" w:w="79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AI-5</w:t>
            </w:r>
          </w:p>
        </w:tc>
        <w:tc>
          <w:tcPr>
            <w:tcW w:type="dxa" w:w="144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数据分析与评估</w:t>
            </w:r>
          </w:p>
        </w:tc>
        <w:tc>
          <w:tcPr>
            <w:tcW w:type="dxa" w:w="4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定义初版仪表盘和评估指标：AI请求总量、成功数、失败数、成功率、响应时间及约束满足率，并规定了安全事件字段。</w:t>
            </w:r>
          </w:p>
        </w:tc>
        <w:tc>
          <w:tcPr>
            <w:tcW w:type="dxa" w:w="266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docs/analytics/AI_METRICS_BASELINE.md</w:t>
              <w:br/>
              <w:t>下一步：确认匿名服务事件和QA结果的采集位置。</w:t>
            </w:r>
          </w:p>
        </w:tc>
      </w:tr>
    </w:tbl>
    <w:p>
      <w:pPr>
        <w:pStyle w:val="Heading1"/>
        <w:spacing w:before="260" w:after="100"/>
      </w:pPr>
      <w:r>
        <w:rPr>
          <w:rFonts w:ascii="Microsoft YaHei" w:hAnsi="Microsoft YaHei" w:eastAsia="Microsoft YaHei"/>
          <w:b/>
          <w:color w:val="000000"/>
          <w:sz w:val="28"/>
        </w:rPr>
        <w:t>三 已完成的验证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1"/>
        </w:rPr>
        <w:t>已运行离线测试命令 python -m unittest discover -s ai_qa/tests -v，共5项测试通过。测试覆盖配置读取、健康检查请求体的稳定性、安全HTTP错误信息，以及新制定的响应结构字段。该测试不会实际发送在线API请求。</w:t>
      </w:r>
    </w:p>
    <w:p>
      <w:pPr>
        <w:pStyle w:val="Heading1"/>
        <w:spacing w:before="260" w:after="100"/>
      </w:pPr>
      <w:r>
        <w:rPr>
          <w:rFonts w:ascii="Microsoft YaHei" w:hAnsi="Microsoft YaHei" w:eastAsia="Microsoft YaHei"/>
          <w:b/>
          <w:color w:val="000000"/>
          <w:sz w:val="28"/>
        </w:rPr>
        <w:t>四 当前状态与后续衔接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1"/>
        </w:rPr>
        <w:t>五个角色现在均已有可单独审查的起步成果。下一步应由AI-1将客户端通过后端暴露为服务接口；之后AI-2和AI-3可结合菜谱数据测试提示词和返回结构；AI-4再开展集成测试；AI-5开始汇总匿名结果，为管理后台和最终项目评估提供数据。</w:t>
      </w:r>
    </w:p>
    <w:sectPr w:rsidR="00FC693F" w:rsidRPr="0006063C" w:rsidSect="00034616">
      <w:pgSz w:w="12240" w:h="15840"/>
      <w:pgMar w:top="1191" w:right="1247" w:bottom="1191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