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251FB">
      <w:pPr>
        <w:jc w:val="center"/>
      </w:pPr>
      <w:r>
        <w:rPr>
          <w:rFonts w:ascii="微软雅黑" w:hAnsi="微软雅黑" w:eastAsia="微软雅黑"/>
          <w:b/>
          <w:color w:val="0B2545"/>
          <w:sz w:val="40"/>
        </w:rPr>
        <w:t>面部红色问题四分型医学检测需求</w:t>
      </w:r>
    </w:p>
    <w:p w14:paraId="1559CD24">
      <w:pPr>
        <w:jc w:val="center"/>
      </w:pPr>
      <w:r>
        <w:rPr>
          <w:rFonts w:ascii="微软雅黑" w:hAnsi="微软雅黑" w:eastAsia="微软雅黑"/>
          <w:color w:val="555555"/>
          <w:sz w:val="24"/>
        </w:rPr>
        <w:t>医学指导版本</w:t>
      </w:r>
    </w:p>
    <w:p w14:paraId="729DF7D6">
      <w:pPr>
        <w:pStyle w:val="3"/>
      </w:pPr>
      <w:r>
        <w:t>一、系统总目标</w:t>
      </w:r>
    </w:p>
    <w:p w14:paraId="74658ED0">
      <w:r>
        <w:rPr>
          <w:rFonts w:ascii="微软雅黑" w:hAnsi="微软雅黑" w:eastAsia="微软雅黑"/>
        </w:rPr>
        <w:t>系统基于VISIA红色区、标准白光图像、可见红色色差、VISIA毛孔、VISIA紫质及必要的多角度图像形态信息，对面部红色问题进行拆分和重组。</w:t>
      </w:r>
    </w:p>
    <w:p w14:paraId="403DB465">
      <w:r>
        <w:rPr>
          <w:rFonts w:ascii="微软雅黑" w:hAnsi="微软雅黑" w:eastAsia="微软雅黑"/>
        </w:rPr>
        <w:t>最终输出四类相互独立的红色问题肌报告：</w:t>
      </w:r>
    </w:p>
    <w:p w14:paraId="15459158">
      <w:pPr>
        <w:pStyle w:val="14"/>
      </w:pPr>
      <w:r>
        <w:rPr>
          <w:rFonts w:ascii="微软雅黑" w:hAnsi="微软雅黑" w:eastAsia="微软雅黑"/>
          <w:b/>
        </w:rPr>
        <w:t>弥漫性泛红表型</w:t>
      </w:r>
    </w:p>
    <w:p w14:paraId="123BAD56">
      <w:pPr>
        <w:pStyle w:val="14"/>
      </w:pPr>
      <w:r>
        <w:rPr>
          <w:rFonts w:ascii="微软雅黑" w:hAnsi="微软雅黑" w:eastAsia="微软雅黑"/>
          <w:b/>
        </w:rPr>
        <w:t>局灶性炎症样红色表型</w:t>
      </w:r>
    </w:p>
    <w:p w14:paraId="66297176">
      <w:pPr>
        <w:pStyle w:val="14"/>
      </w:pPr>
      <w:r>
        <w:rPr>
          <w:rFonts w:ascii="微软雅黑" w:hAnsi="微软雅黑" w:eastAsia="微软雅黑"/>
          <w:b/>
        </w:rPr>
        <w:t>线状血管扩张样表型</w:t>
      </w:r>
    </w:p>
    <w:p w14:paraId="2D24EEF2">
      <w:pPr>
        <w:pStyle w:val="14"/>
      </w:pPr>
      <w:r>
        <w:rPr>
          <w:rFonts w:ascii="微软雅黑" w:hAnsi="微软雅黑" w:eastAsia="微软雅黑"/>
          <w:b/>
        </w:rPr>
        <w:t>毛囊炎症及痤疮样表型</w:t>
      </w:r>
    </w:p>
    <w:p w14:paraId="50BEF924">
      <w:r>
        <w:rPr>
          <w:rFonts w:ascii="微软雅黑" w:hAnsi="微软雅黑" w:eastAsia="微软雅黑"/>
        </w:rPr>
        <w:t>四类问题肌可以同时存在，分别输出独立分数，分数之间不要求总和等于100。</w:t>
      </w:r>
    </w:p>
    <w:p w14:paraId="41B07F8D">
      <w:bookmarkStart w:id="0" w:name="_GoBack"/>
      <w:bookmarkEnd w:id="0"/>
      <w:r>
        <w:rPr>
          <w:rFonts w:ascii="微软雅黑" w:hAnsi="微软雅黑" w:eastAsia="微软雅黑"/>
        </w:rPr>
        <w:t>报告结果属于</w:t>
      </w:r>
      <w:r>
        <w:rPr>
          <w:rFonts w:ascii="微软雅黑" w:hAnsi="微软雅黑" w:eastAsia="微软雅黑"/>
          <w:b/>
        </w:rPr>
        <w:t>面部红色问题图像表型评价</w:t>
      </w:r>
      <w:r>
        <w:rPr>
          <w:rFonts w:ascii="微软雅黑" w:hAnsi="微软雅黑" w:eastAsia="微软雅黑"/>
        </w:rPr>
        <w:t>，不能替代皮肤科临床诊断。</w:t>
      </w:r>
    </w:p>
    <w:p w14:paraId="2C59AB54">
      <w:pPr>
        <w:pStyle w:val="3"/>
      </w:pPr>
      <w:r>
        <w:t>二、基础检测图层医学定义</w:t>
      </w:r>
    </w:p>
    <w:p w14:paraId="01094B43">
      <w:pPr>
        <w:pStyle w:val="4"/>
      </w:pPr>
      <w:r>
        <w:t>2.1 VISIA红色区</w:t>
      </w:r>
    </w:p>
    <w:p w14:paraId="43B29419">
      <w:r>
        <w:rPr>
          <w:rFonts w:ascii="微软雅黑" w:hAnsi="微软雅黑" w:eastAsia="微软雅黑"/>
        </w:rPr>
        <w:t>VISIA红色区反映面部血红蛋白相关红色信号相对集中的区域。</w:t>
      </w:r>
    </w:p>
    <w:p w14:paraId="11B132E3">
      <w:r>
        <w:rPr>
          <w:rFonts w:ascii="微软雅黑" w:hAnsi="微软雅黑" w:eastAsia="微软雅黑"/>
        </w:rPr>
        <w:t>可用于识别：</w:t>
      </w:r>
    </w:p>
    <w:p w14:paraId="76C5F4BA">
      <w:pPr>
        <w:pStyle w:val="16"/>
      </w:pPr>
      <w:r>
        <w:rPr>
          <w:rFonts w:ascii="微软雅黑" w:hAnsi="微软雅黑" w:eastAsia="微软雅黑"/>
        </w:rPr>
        <w:t>大面积背景泛红；</w:t>
      </w:r>
    </w:p>
    <w:p w14:paraId="35ED8656">
      <w:pPr>
        <w:pStyle w:val="16"/>
      </w:pPr>
      <w:r>
        <w:rPr>
          <w:rFonts w:ascii="微软雅黑" w:hAnsi="微软雅黑" w:eastAsia="微软雅黑"/>
        </w:rPr>
        <w:t>局灶性红色目标；</w:t>
      </w:r>
    </w:p>
    <w:p w14:paraId="3CFFD508">
      <w:pPr>
        <w:pStyle w:val="16"/>
      </w:pPr>
      <w:r>
        <w:rPr>
          <w:rFonts w:ascii="微软雅黑" w:hAnsi="微软雅黑" w:eastAsia="微软雅黑"/>
        </w:rPr>
        <w:t>线状血管样红色；</w:t>
      </w:r>
    </w:p>
    <w:p w14:paraId="4E85DAE0">
      <w:pPr>
        <w:pStyle w:val="16"/>
      </w:pPr>
      <w:r>
        <w:rPr>
          <w:rFonts w:ascii="微软雅黑" w:hAnsi="微软雅黑" w:eastAsia="微软雅黑"/>
        </w:rPr>
        <w:t>毛囊周围红色。</w:t>
      </w:r>
    </w:p>
    <w:p w14:paraId="4FB0E18D">
      <w:r>
        <w:rPr>
          <w:rFonts w:ascii="微软雅黑" w:hAnsi="微软雅黑" w:eastAsia="微软雅黑"/>
        </w:rPr>
        <w:t>VISIA红色区不能单独等同于：</w:t>
      </w:r>
    </w:p>
    <w:p w14:paraId="3838EC73">
      <w:pPr>
        <w:pStyle w:val="16"/>
      </w:pPr>
      <w:r>
        <w:rPr>
          <w:rFonts w:ascii="微软雅黑" w:hAnsi="微软雅黑" w:eastAsia="微软雅黑"/>
        </w:rPr>
        <w:t>炎症程度；</w:t>
      </w:r>
    </w:p>
    <w:p w14:paraId="510ABDB8">
      <w:pPr>
        <w:pStyle w:val="16"/>
      </w:pPr>
      <w:r>
        <w:rPr>
          <w:rFonts w:ascii="微软雅黑" w:hAnsi="微软雅黑" w:eastAsia="微软雅黑"/>
        </w:rPr>
        <w:t>血管扩张程度；</w:t>
      </w:r>
    </w:p>
    <w:p w14:paraId="3A4AA461">
      <w:pPr>
        <w:pStyle w:val="16"/>
      </w:pPr>
      <w:r>
        <w:rPr>
          <w:rFonts w:ascii="微软雅黑" w:hAnsi="微软雅黑" w:eastAsia="微软雅黑"/>
        </w:rPr>
        <w:t>血流速度；</w:t>
      </w:r>
    </w:p>
    <w:p w14:paraId="1165764E">
      <w:pPr>
        <w:pStyle w:val="16"/>
      </w:pPr>
      <w:r>
        <w:rPr>
          <w:rFonts w:ascii="微软雅黑" w:hAnsi="微软雅黑" w:eastAsia="微软雅黑"/>
        </w:rPr>
        <w:t>某一种具体皮肤疾病。</w:t>
      </w:r>
    </w:p>
    <w:p w14:paraId="41FEC161">
      <w:pPr>
        <w:pStyle w:val="4"/>
      </w:pPr>
      <w:r>
        <w:t>2.2 标准白光图像</w:t>
      </w:r>
    </w:p>
    <w:p w14:paraId="560F6F63">
      <w:r>
        <w:rPr>
          <w:rFonts w:ascii="微软雅黑" w:hAnsi="微软雅黑" w:eastAsia="微软雅黑"/>
        </w:rPr>
        <w:t>标准白光图像用于确认肉眼可见的颜色及形态，包括：</w:t>
      </w:r>
    </w:p>
    <w:p w14:paraId="42593BC1">
      <w:pPr>
        <w:pStyle w:val="16"/>
      </w:pPr>
      <w:r>
        <w:rPr>
          <w:rFonts w:ascii="微软雅黑" w:hAnsi="微软雅黑" w:eastAsia="微软雅黑"/>
        </w:rPr>
        <w:t>背景性泛红；</w:t>
      </w:r>
    </w:p>
    <w:p w14:paraId="1D2F60E2">
      <w:pPr>
        <w:pStyle w:val="16"/>
      </w:pPr>
      <w:r>
        <w:rPr>
          <w:rFonts w:ascii="微软雅黑" w:hAnsi="微软雅黑" w:eastAsia="微软雅黑"/>
        </w:rPr>
        <w:t>独立红色目标；</w:t>
      </w:r>
    </w:p>
    <w:p w14:paraId="580F6110">
      <w:pPr>
        <w:pStyle w:val="16"/>
      </w:pPr>
      <w:r>
        <w:rPr>
          <w:rFonts w:ascii="微软雅黑" w:hAnsi="微软雅黑" w:eastAsia="微软雅黑"/>
        </w:rPr>
        <w:t>线状红色结构；</w:t>
      </w:r>
    </w:p>
    <w:p w14:paraId="5E67447E">
      <w:pPr>
        <w:pStyle w:val="16"/>
      </w:pPr>
      <w:r>
        <w:rPr>
          <w:rFonts w:ascii="微软雅黑" w:hAnsi="微软雅黑" w:eastAsia="微软雅黑"/>
        </w:rPr>
        <w:t>毛孔或毛囊中心；</w:t>
      </w:r>
    </w:p>
    <w:p w14:paraId="4D59AF5F">
      <w:pPr>
        <w:pStyle w:val="16"/>
      </w:pPr>
      <w:r>
        <w:rPr>
          <w:rFonts w:ascii="微软雅黑" w:hAnsi="微软雅黑" w:eastAsia="微软雅黑"/>
        </w:rPr>
        <w:t>局部隆起；</w:t>
      </w:r>
    </w:p>
    <w:p w14:paraId="78FE98C8">
      <w:pPr>
        <w:pStyle w:val="16"/>
      </w:pPr>
      <w:r>
        <w:rPr>
          <w:rFonts w:ascii="微软雅黑" w:hAnsi="微软雅黑" w:eastAsia="微软雅黑"/>
        </w:rPr>
        <w:t>白色或黄色中心；</w:t>
      </w:r>
    </w:p>
    <w:p w14:paraId="0FB97543">
      <w:pPr>
        <w:pStyle w:val="16"/>
      </w:pPr>
      <w:r>
        <w:rPr>
          <w:rFonts w:ascii="微软雅黑" w:hAnsi="微软雅黑" w:eastAsia="微软雅黑"/>
        </w:rPr>
        <w:t>红色目标边界；</w:t>
      </w:r>
    </w:p>
    <w:p w14:paraId="7D1D5B60">
      <w:pPr>
        <w:pStyle w:val="16"/>
      </w:pPr>
      <w:r>
        <w:rPr>
          <w:rFonts w:ascii="微软雅黑" w:hAnsi="微软雅黑" w:eastAsia="微软雅黑"/>
        </w:rPr>
        <w:t>目标形态和分布。</w:t>
      </w:r>
    </w:p>
    <w:p w14:paraId="6FE6A468">
      <w:r>
        <w:rPr>
          <w:rFonts w:ascii="微软雅黑" w:hAnsi="微软雅黑" w:eastAsia="微软雅黑"/>
        </w:rPr>
        <w:t>白光图像中的局部隆起可以由多角度照片或重建后的局部表面形态辅助确认。</w:t>
      </w:r>
    </w:p>
    <w:p w14:paraId="7D68A273">
      <w:pPr>
        <w:pStyle w:val="4"/>
      </w:pPr>
      <w:r>
        <w:t>2.3 可见红色色差图层</w:t>
      </w:r>
    </w:p>
    <w:p w14:paraId="35AC8C26">
      <w:r>
        <w:rPr>
          <w:rFonts w:ascii="微软雅黑" w:hAnsi="微软雅黑" w:eastAsia="微软雅黑"/>
        </w:rPr>
        <w:t>可见红色色差图层是指从标准白光图像或综合色斑结果中提取的肉眼可见红色成分。</w:t>
      </w:r>
    </w:p>
    <w:p w14:paraId="5631AA74">
      <w:r>
        <w:rPr>
          <w:rFonts w:ascii="微软雅黑" w:hAnsi="微软雅黑" w:eastAsia="微软雅黑"/>
        </w:rPr>
        <w:t>建议统一使用名称：</w:t>
      </w:r>
    </w:p>
    <w:p w14:paraId="2D121711">
      <w:pPr>
        <w:spacing w:before="80" w:after="160"/>
        <w:ind w:left="360"/>
      </w:pPr>
      <w:r>
        <w:rPr>
          <w:rFonts w:ascii="微软雅黑" w:hAnsi="微软雅黑" w:eastAsia="微软雅黑"/>
          <w:b/>
        </w:rPr>
        <w:t>可见红色色差图层</w:t>
      </w:r>
    </w:p>
    <w:p w14:paraId="0FB0B64F">
      <w:r>
        <w:rPr>
          <w:rFonts w:ascii="微软雅黑" w:hAnsi="微软雅黑" w:eastAsia="微软雅黑"/>
        </w:rPr>
        <w:t>不建议称为“红色色素”，因为该信号主要反映血红蛋白相关的红色变化，不属于严格意义上的色素沉着。</w:t>
      </w:r>
    </w:p>
    <w:p w14:paraId="52ED2F47">
      <w:r>
        <w:rPr>
          <w:rFonts w:ascii="微软雅黑" w:hAnsi="微软雅黑" w:eastAsia="微软雅黑"/>
        </w:rPr>
        <w:t>可见红色色差图层可以进一步拆分为：</w:t>
      </w:r>
    </w:p>
    <w:p w14:paraId="190AB2A0">
      <w:pPr>
        <w:pStyle w:val="16"/>
      </w:pPr>
      <w:r>
        <w:rPr>
          <w:rFonts w:ascii="微软雅黑" w:hAnsi="微软雅黑" w:eastAsia="微软雅黑"/>
        </w:rPr>
        <w:t>弥漫性背景红色；</w:t>
      </w:r>
    </w:p>
    <w:p w14:paraId="65501F57">
      <w:pPr>
        <w:pStyle w:val="16"/>
      </w:pPr>
      <w:r>
        <w:rPr>
          <w:rFonts w:ascii="微软雅黑" w:hAnsi="微软雅黑" w:eastAsia="微软雅黑"/>
        </w:rPr>
        <w:t>点状红色色差；</w:t>
      </w:r>
    </w:p>
    <w:p w14:paraId="63FD4868">
      <w:pPr>
        <w:pStyle w:val="16"/>
      </w:pPr>
      <w:r>
        <w:rPr>
          <w:rFonts w:ascii="微软雅黑" w:hAnsi="微软雅黑" w:eastAsia="微软雅黑"/>
        </w:rPr>
        <w:t>小片状红色色差；</w:t>
      </w:r>
    </w:p>
    <w:p w14:paraId="7AE2F897">
      <w:pPr>
        <w:pStyle w:val="16"/>
      </w:pPr>
      <w:r>
        <w:rPr>
          <w:rFonts w:ascii="微软雅黑" w:hAnsi="微软雅黑" w:eastAsia="微软雅黑"/>
        </w:rPr>
        <w:t>线状红色色差；</w:t>
      </w:r>
    </w:p>
    <w:p w14:paraId="27AD46A7">
      <w:pPr>
        <w:pStyle w:val="16"/>
      </w:pPr>
      <w:r>
        <w:rPr>
          <w:rFonts w:ascii="微软雅黑" w:hAnsi="微软雅黑" w:eastAsia="微软雅黑"/>
        </w:rPr>
        <w:t>毛囊周围红色色差。</w:t>
      </w:r>
    </w:p>
    <w:p w14:paraId="62BC924A">
      <w:pPr>
        <w:pStyle w:val="4"/>
      </w:pPr>
      <w:r>
        <w:t>2.4 VISIA毛孔位置</w:t>
      </w:r>
    </w:p>
    <w:p w14:paraId="57009177">
      <w:r>
        <w:rPr>
          <w:rFonts w:ascii="微软雅黑" w:hAnsi="微软雅黑" w:eastAsia="微软雅黑"/>
        </w:rPr>
        <w:t>VISIA毛孔位置用于判断红色、隆起或白黄中心是否以毛囊开口为中心。</w:t>
      </w:r>
    </w:p>
    <w:p w14:paraId="68923AB9">
      <w:r>
        <w:rPr>
          <w:rFonts w:ascii="微软雅黑" w:hAnsi="微软雅黑" w:eastAsia="微软雅黑"/>
        </w:rPr>
        <w:t>只有当红色目标与毛孔或毛囊中心具有较高空间匹配度时，才适合将其描述为：</w:t>
      </w:r>
    </w:p>
    <w:p w14:paraId="4F8FBC98">
      <w:pPr>
        <w:pStyle w:val="16"/>
      </w:pPr>
      <w:r>
        <w:rPr>
          <w:rFonts w:ascii="微软雅黑" w:hAnsi="微软雅黑" w:eastAsia="微软雅黑"/>
        </w:rPr>
        <w:t>毛囊周围红斑；</w:t>
      </w:r>
    </w:p>
    <w:p w14:paraId="0EF10D5A">
      <w:pPr>
        <w:pStyle w:val="16"/>
      </w:pPr>
      <w:r>
        <w:rPr>
          <w:rFonts w:ascii="微软雅黑" w:hAnsi="微软雅黑" w:eastAsia="微软雅黑"/>
        </w:rPr>
        <w:t>毛囊性红色丘疹；</w:t>
      </w:r>
    </w:p>
    <w:p w14:paraId="0B7FFA35">
      <w:pPr>
        <w:pStyle w:val="16"/>
      </w:pPr>
      <w:r>
        <w:rPr>
          <w:rFonts w:ascii="微软雅黑" w:hAnsi="微软雅黑" w:eastAsia="微软雅黑"/>
        </w:rPr>
        <w:t>毛囊性丘脓疱样目标。</w:t>
      </w:r>
    </w:p>
    <w:p w14:paraId="2D36C6A9">
      <w:pPr>
        <w:pStyle w:val="4"/>
      </w:pPr>
      <w:r>
        <w:t>2.5 VISIA紫质</w:t>
      </w:r>
    </w:p>
    <w:p w14:paraId="5994A672">
      <w:r>
        <w:rPr>
          <w:rFonts w:ascii="微软雅黑" w:hAnsi="微软雅黑" w:eastAsia="微软雅黑"/>
        </w:rPr>
        <w:t>VISIA紫质反映毛囊内卟啉相关荧光信号。</w:t>
      </w:r>
    </w:p>
    <w:p w14:paraId="74A95CD0">
      <w:r>
        <w:rPr>
          <w:rFonts w:ascii="微软雅黑" w:hAnsi="微软雅黑" w:eastAsia="微软雅黑"/>
        </w:rPr>
        <w:t>紫质用于判断某一个毛囊性红色或隆起目标是否同时伴毛囊内卟啉荧光。</w:t>
      </w:r>
    </w:p>
    <w:p w14:paraId="042F9F02">
      <w:r>
        <w:rPr>
          <w:rFonts w:ascii="微软雅黑" w:hAnsi="微软雅黑" w:eastAsia="微软雅黑"/>
        </w:rPr>
        <w:t>紫质可以增强目标与卟啉阳性毛囊相关的证据，但不能直接表示：</w:t>
      </w:r>
    </w:p>
    <w:p w14:paraId="25792E72">
      <w:pPr>
        <w:pStyle w:val="16"/>
      </w:pPr>
      <w:r>
        <w:rPr>
          <w:rFonts w:ascii="微软雅黑" w:hAnsi="微软雅黑" w:eastAsia="微软雅黑"/>
        </w:rPr>
        <w:t>毛囊内细菌绝对数量；</w:t>
      </w:r>
    </w:p>
    <w:p w14:paraId="5EAC0D6C">
      <w:pPr>
        <w:pStyle w:val="16"/>
      </w:pPr>
      <w:r>
        <w:rPr>
          <w:rFonts w:ascii="微软雅黑" w:hAnsi="微软雅黑" w:eastAsia="微软雅黑"/>
        </w:rPr>
        <w:t>细菌感染程度；</w:t>
      </w:r>
    </w:p>
    <w:p w14:paraId="2E21F4DD">
      <w:pPr>
        <w:pStyle w:val="16"/>
      </w:pPr>
      <w:r>
        <w:rPr>
          <w:rFonts w:ascii="微软雅黑" w:hAnsi="微软雅黑" w:eastAsia="微软雅黑"/>
        </w:rPr>
        <w:t>毛囊炎症严重度；</w:t>
      </w:r>
    </w:p>
    <w:p w14:paraId="7CA026E1">
      <w:pPr>
        <w:pStyle w:val="16"/>
      </w:pPr>
      <w:r>
        <w:rPr>
          <w:rFonts w:ascii="微软雅黑" w:hAnsi="微软雅黑" w:eastAsia="微软雅黑"/>
        </w:rPr>
        <w:t>痤疮严重程度；</w:t>
      </w:r>
    </w:p>
    <w:p w14:paraId="6920AA70">
      <w:pPr>
        <w:pStyle w:val="16"/>
      </w:pPr>
      <w:r>
        <w:rPr>
          <w:rFonts w:ascii="微软雅黑" w:hAnsi="微软雅黑" w:eastAsia="微软雅黑"/>
        </w:rPr>
        <w:t>具体病原体类型。</w:t>
      </w:r>
    </w:p>
    <w:p w14:paraId="32157237">
      <w:pPr>
        <w:pStyle w:val="3"/>
      </w:pPr>
      <w:r>
        <w:t>三、弥漫性泛红表型报告</w:t>
      </w:r>
    </w:p>
    <w:p w14:paraId="638A823F">
      <w:pPr>
        <w:pStyle w:val="4"/>
      </w:pPr>
      <w:r>
        <w:t>3.1 检测目标</w:t>
      </w:r>
    </w:p>
    <w:p w14:paraId="40587F06">
      <w:r>
        <w:rPr>
          <w:rFonts w:ascii="微软雅黑" w:hAnsi="微软雅黑" w:eastAsia="微软雅黑"/>
        </w:rPr>
        <w:t>评价面部是否存在大面积、连续、边界相对模糊的背景性红色信号。</w:t>
      </w:r>
    </w:p>
    <w:p w14:paraId="23B111A1">
      <w:r>
        <w:rPr>
          <w:rFonts w:ascii="微软雅黑" w:hAnsi="微软雅黑" w:eastAsia="微软雅黑"/>
        </w:rPr>
        <w:t>主要提示：</w:t>
      </w:r>
    </w:p>
    <w:p w14:paraId="2674BD22">
      <w:pPr>
        <w:spacing w:before="80" w:after="160"/>
        <w:ind w:left="360"/>
      </w:pPr>
      <w:r>
        <w:rPr>
          <w:rFonts w:ascii="微软雅黑" w:hAnsi="微软雅黑" w:eastAsia="微软雅黑"/>
          <w:b/>
        </w:rPr>
        <w:t>弥漫性血管扩张或炎症相关泛红表型。</w:t>
      </w:r>
    </w:p>
    <w:p w14:paraId="1035EAB5">
      <w:r>
        <w:rPr>
          <w:rFonts w:ascii="微软雅黑" w:hAnsi="微软雅黑" w:eastAsia="微软雅黑"/>
        </w:rPr>
        <w:t>该报告关注的是背景皮肤整体发红，不包括：</w:t>
      </w:r>
    </w:p>
    <w:p w14:paraId="4162E598">
      <w:pPr>
        <w:pStyle w:val="16"/>
      </w:pPr>
      <w:r>
        <w:rPr>
          <w:rFonts w:ascii="微软雅黑" w:hAnsi="微软雅黑" w:eastAsia="微软雅黑"/>
        </w:rPr>
        <w:t>独立红色丘疹；</w:t>
      </w:r>
    </w:p>
    <w:p w14:paraId="3D854AAF">
      <w:pPr>
        <w:pStyle w:val="16"/>
      </w:pPr>
      <w:r>
        <w:rPr>
          <w:rFonts w:ascii="微软雅黑" w:hAnsi="微软雅黑" w:eastAsia="微软雅黑"/>
        </w:rPr>
        <w:t>毛囊周围红斑；</w:t>
      </w:r>
    </w:p>
    <w:p w14:paraId="10BB9FB1">
      <w:pPr>
        <w:pStyle w:val="16"/>
      </w:pPr>
      <w:r>
        <w:rPr>
          <w:rFonts w:ascii="微软雅黑" w:hAnsi="微软雅黑" w:eastAsia="微软雅黑"/>
        </w:rPr>
        <w:t>丘脓疱样目标；</w:t>
      </w:r>
    </w:p>
    <w:p w14:paraId="4ECC1774">
      <w:pPr>
        <w:pStyle w:val="16"/>
      </w:pPr>
      <w:r>
        <w:rPr>
          <w:rFonts w:ascii="微软雅黑" w:hAnsi="微软雅黑" w:eastAsia="微软雅黑"/>
        </w:rPr>
        <w:t>线状血管结构。</w:t>
      </w:r>
    </w:p>
    <w:p w14:paraId="7D08988B">
      <w:pPr>
        <w:pStyle w:val="4"/>
      </w:pPr>
      <w:r>
        <w:t>3.2 使用的检测结果</w:t>
      </w:r>
    </w:p>
    <w:p w14:paraId="4B510E94">
      <w:pPr>
        <w:pStyle w:val="16"/>
      </w:pPr>
      <w:r>
        <w:rPr>
          <w:rFonts w:ascii="微软雅黑" w:hAnsi="微软雅黑" w:eastAsia="微软雅黑"/>
        </w:rPr>
        <w:t>VISIA红色区中的弥漫性红色部分；</w:t>
      </w:r>
    </w:p>
    <w:p w14:paraId="12ADDF03">
      <w:pPr>
        <w:pStyle w:val="16"/>
      </w:pPr>
      <w:r>
        <w:rPr>
          <w:rFonts w:ascii="微软雅黑" w:hAnsi="微软雅黑" w:eastAsia="微软雅黑"/>
        </w:rPr>
        <w:t>标准白光图像中的背景红色；</w:t>
      </w:r>
    </w:p>
    <w:p w14:paraId="467D7D86">
      <w:pPr>
        <w:pStyle w:val="16"/>
      </w:pPr>
      <w:r>
        <w:rPr>
          <w:rFonts w:ascii="微软雅黑" w:hAnsi="微软雅黑" w:eastAsia="微软雅黑"/>
        </w:rPr>
        <w:t>可见红色色差图层中的片状、连续红色部分；</w:t>
      </w:r>
    </w:p>
    <w:p w14:paraId="3649F538">
      <w:pPr>
        <w:pStyle w:val="16"/>
      </w:pPr>
      <w:r>
        <w:rPr>
          <w:rFonts w:ascii="微软雅黑" w:hAnsi="微软雅黑" w:eastAsia="微软雅黑"/>
        </w:rPr>
        <w:t>面部分区；</w:t>
      </w:r>
    </w:p>
    <w:p w14:paraId="3CECBC50">
      <w:pPr>
        <w:pStyle w:val="16"/>
      </w:pPr>
      <w:r>
        <w:rPr>
          <w:rFonts w:ascii="微软雅黑" w:hAnsi="微软雅黑" w:eastAsia="微软雅黑"/>
        </w:rPr>
        <w:t>局灶性红色目标排除结果；</w:t>
      </w:r>
    </w:p>
    <w:p w14:paraId="1E681980">
      <w:pPr>
        <w:pStyle w:val="16"/>
      </w:pPr>
      <w:r>
        <w:rPr>
          <w:rFonts w:ascii="微软雅黑" w:hAnsi="微软雅黑" w:eastAsia="微软雅黑"/>
        </w:rPr>
        <w:t>线状血管目标排除结果；</w:t>
      </w:r>
    </w:p>
    <w:p w14:paraId="201FB105">
      <w:pPr>
        <w:pStyle w:val="16"/>
      </w:pPr>
      <w:r>
        <w:rPr>
          <w:rFonts w:ascii="微软雅黑" w:hAnsi="微软雅黑" w:eastAsia="微软雅黑"/>
        </w:rPr>
        <w:t>毛囊性红色目标排除结果。</w:t>
      </w:r>
    </w:p>
    <w:p w14:paraId="7BA008FB">
      <w:pPr>
        <w:pStyle w:val="4"/>
      </w:pPr>
      <w:r>
        <w:t>3.3 主要检测区域</w:t>
      </w:r>
    </w:p>
    <w:p w14:paraId="3079517A">
      <w:r>
        <w:rPr>
          <w:rFonts w:ascii="微软雅黑" w:hAnsi="微软雅黑" w:eastAsia="微软雅黑"/>
        </w:rPr>
        <w:t>分别评价：</w:t>
      </w:r>
    </w:p>
    <w:p w14:paraId="3C7CAC53">
      <w:pPr>
        <w:pStyle w:val="16"/>
      </w:pPr>
      <w:r>
        <w:rPr>
          <w:rFonts w:ascii="微软雅黑" w:hAnsi="微软雅黑" w:eastAsia="微软雅黑"/>
        </w:rPr>
        <w:t>额部；</w:t>
      </w:r>
    </w:p>
    <w:p w14:paraId="4FDB7F54">
      <w:pPr>
        <w:pStyle w:val="16"/>
      </w:pPr>
      <w:r>
        <w:rPr>
          <w:rFonts w:ascii="微软雅黑" w:hAnsi="微软雅黑" w:eastAsia="微软雅黑"/>
        </w:rPr>
        <w:t>眉间；</w:t>
      </w:r>
    </w:p>
    <w:p w14:paraId="3DE8DC97">
      <w:pPr>
        <w:pStyle w:val="16"/>
      </w:pPr>
      <w:r>
        <w:rPr>
          <w:rFonts w:ascii="微软雅黑" w:hAnsi="微软雅黑" w:eastAsia="微软雅黑"/>
        </w:rPr>
        <w:t>鼻部；</w:t>
      </w:r>
    </w:p>
    <w:p w14:paraId="07155DDF">
      <w:pPr>
        <w:pStyle w:val="16"/>
      </w:pPr>
      <w:r>
        <w:rPr>
          <w:rFonts w:ascii="微软雅黑" w:hAnsi="微软雅黑" w:eastAsia="微软雅黑"/>
        </w:rPr>
        <w:t>左右鼻旁；</w:t>
      </w:r>
    </w:p>
    <w:p w14:paraId="067DB033">
      <w:pPr>
        <w:pStyle w:val="16"/>
      </w:pPr>
      <w:r>
        <w:rPr>
          <w:rFonts w:ascii="微软雅黑" w:hAnsi="微软雅黑" w:eastAsia="微软雅黑"/>
        </w:rPr>
        <w:t>左右面颊；</w:t>
      </w:r>
    </w:p>
    <w:p w14:paraId="62D4CE84">
      <w:pPr>
        <w:pStyle w:val="16"/>
      </w:pPr>
      <w:r>
        <w:rPr>
          <w:rFonts w:ascii="微软雅黑" w:hAnsi="微软雅黑" w:eastAsia="微软雅黑"/>
        </w:rPr>
        <w:t>左右颧部；</w:t>
      </w:r>
    </w:p>
    <w:p w14:paraId="7C315D2E">
      <w:pPr>
        <w:pStyle w:val="16"/>
      </w:pPr>
      <w:r>
        <w:rPr>
          <w:rFonts w:ascii="微软雅黑" w:hAnsi="微软雅黑" w:eastAsia="微软雅黑"/>
        </w:rPr>
        <w:t>口周；</w:t>
      </w:r>
    </w:p>
    <w:p w14:paraId="728D53A5">
      <w:pPr>
        <w:pStyle w:val="16"/>
      </w:pPr>
      <w:r>
        <w:rPr>
          <w:rFonts w:ascii="微软雅黑" w:hAnsi="微软雅黑" w:eastAsia="微软雅黑"/>
        </w:rPr>
        <w:t>下颌。</w:t>
      </w:r>
    </w:p>
    <w:p w14:paraId="5173E9C6">
      <w:r>
        <w:rPr>
          <w:rFonts w:ascii="微软雅黑" w:hAnsi="微软雅黑" w:eastAsia="微软雅黑"/>
        </w:rPr>
        <w:t>重点关注：</w:t>
      </w:r>
    </w:p>
    <w:p w14:paraId="6F50C089">
      <w:pPr>
        <w:pStyle w:val="16"/>
      </w:pPr>
      <w:r>
        <w:rPr>
          <w:rFonts w:ascii="微软雅黑" w:hAnsi="微软雅黑" w:eastAsia="微软雅黑"/>
        </w:rPr>
        <w:t>双侧面颊；</w:t>
      </w:r>
    </w:p>
    <w:p w14:paraId="07E284E1">
      <w:pPr>
        <w:pStyle w:val="16"/>
      </w:pPr>
      <w:r>
        <w:rPr>
          <w:rFonts w:ascii="微软雅黑" w:hAnsi="微软雅黑" w:eastAsia="微软雅黑"/>
        </w:rPr>
        <w:t>鼻部及鼻旁；</w:t>
      </w:r>
    </w:p>
    <w:p w14:paraId="6747856E">
      <w:pPr>
        <w:pStyle w:val="16"/>
      </w:pPr>
      <w:r>
        <w:rPr>
          <w:rFonts w:ascii="微软雅黑" w:hAnsi="微软雅黑" w:eastAsia="微软雅黑"/>
        </w:rPr>
        <w:t>中央面部。</w:t>
      </w:r>
    </w:p>
    <w:p w14:paraId="231C802D">
      <w:pPr>
        <w:pStyle w:val="4"/>
      </w:pPr>
      <w:r>
        <w:t>3.4 需要检测的指标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16FC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533DBACF">
            <w:pPr>
              <w:spacing w:after="0"/>
            </w:pPr>
            <w:r>
              <w:rPr>
                <w:rFonts w:ascii="微软雅黑" w:hAnsi="微软雅黑" w:eastAsia="微软雅黑"/>
                <w:b/>
                <w:sz w:val="18"/>
              </w:rPr>
              <w:t>指标</w:t>
            </w:r>
          </w:p>
        </w:tc>
        <w:tc>
          <w:tcPr>
            <w:tcW w:w="4680" w:type="dxa"/>
            <w:shd w:val="clear" w:color="auto" w:fill="E8EEF5"/>
            <w:tcMar>
              <w:top w:w="80" w:type="dxa"/>
              <w:left w:w="120" w:type="dxa"/>
              <w:bottom w:w="80" w:type="dxa"/>
              <w:right w:w="120" w:type="dxa"/>
            </w:tcMar>
            <w:vAlign w:val="center"/>
          </w:tcPr>
          <w:p w14:paraId="74C3E3DB">
            <w:pPr>
              <w:spacing w:after="0"/>
            </w:pPr>
            <w:r>
              <w:rPr>
                <w:rFonts w:ascii="微软雅黑" w:hAnsi="微软雅黑" w:eastAsia="微软雅黑"/>
                <w:b/>
                <w:sz w:val="18"/>
              </w:rPr>
              <w:t>医学意义</w:t>
            </w:r>
          </w:p>
        </w:tc>
      </w:tr>
      <w:tr w14:paraId="39AA5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1D3285E">
            <w:pPr>
              <w:spacing w:after="0"/>
            </w:pPr>
            <w:r>
              <w:rPr>
                <w:rFonts w:ascii="微软雅黑" w:hAnsi="微软雅黑" w:eastAsia="微软雅黑"/>
                <w:b w:val="0"/>
                <w:sz w:val="18"/>
              </w:rPr>
              <w:t>弥漫红色面积</w:t>
            </w:r>
          </w:p>
        </w:tc>
        <w:tc>
          <w:tcPr>
            <w:tcW w:w="4680" w:type="dxa"/>
            <w:tcMar>
              <w:top w:w="80" w:type="dxa"/>
              <w:left w:w="120" w:type="dxa"/>
              <w:bottom w:w="80" w:type="dxa"/>
              <w:right w:w="120" w:type="dxa"/>
            </w:tcMar>
            <w:vAlign w:val="center"/>
          </w:tcPr>
          <w:p w14:paraId="26C0F871">
            <w:pPr>
              <w:spacing w:after="0"/>
            </w:pPr>
            <w:r>
              <w:rPr>
                <w:rFonts w:ascii="微软雅黑" w:hAnsi="微软雅黑" w:eastAsia="微软雅黑"/>
                <w:b w:val="0"/>
                <w:sz w:val="18"/>
              </w:rPr>
              <w:t>背景红色实际覆盖范围</w:t>
            </w:r>
          </w:p>
        </w:tc>
      </w:tr>
      <w:tr w14:paraId="30858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C32C338">
            <w:pPr>
              <w:spacing w:after="0"/>
            </w:pPr>
            <w:r>
              <w:rPr>
                <w:rFonts w:ascii="微软雅黑" w:hAnsi="微软雅黑" w:eastAsia="微软雅黑"/>
                <w:b w:val="0"/>
                <w:sz w:val="18"/>
              </w:rPr>
              <w:t>弥漫红色面积占比</w:t>
            </w:r>
          </w:p>
        </w:tc>
        <w:tc>
          <w:tcPr>
            <w:tcW w:w="4680" w:type="dxa"/>
            <w:tcMar>
              <w:top w:w="80" w:type="dxa"/>
              <w:left w:w="120" w:type="dxa"/>
              <w:bottom w:w="80" w:type="dxa"/>
              <w:right w:w="120" w:type="dxa"/>
            </w:tcMar>
            <w:vAlign w:val="center"/>
          </w:tcPr>
          <w:p w14:paraId="18122086">
            <w:pPr>
              <w:spacing w:after="0"/>
            </w:pPr>
            <w:r>
              <w:rPr>
                <w:rFonts w:ascii="微软雅黑" w:hAnsi="微软雅黑" w:eastAsia="微软雅黑"/>
                <w:b w:val="0"/>
                <w:sz w:val="18"/>
              </w:rPr>
              <w:t>红色区域占有效检测皮肤面积的比例</w:t>
            </w:r>
          </w:p>
        </w:tc>
      </w:tr>
      <w:tr w14:paraId="3D07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1475F68">
            <w:pPr>
              <w:spacing w:after="0"/>
            </w:pPr>
            <w:r>
              <w:rPr>
                <w:rFonts w:ascii="微软雅黑" w:hAnsi="微软雅黑" w:eastAsia="微软雅黑"/>
                <w:b w:val="0"/>
                <w:sz w:val="18"/>
              </w:rPr>
              <w:t>平均红色强度</w:t>
            </w:r>
          </w:p>
        </w:tc>
        <w:tc>
          <w:tcPr>
            <w:tcW w:w="4680" w:type="dxa"/>
            <w:tcMar>
              <w:top w:w="80" w:type="dxa"/>
              <w:left w:w="120" w:type="dxa"/>
              <w:bottom w:w="80" w:type="dxa"/>
              <w:right w:w="120" w:type="dxa"/>
            </w:tcMar>
            <w:vAlign w:val="center"/>
          </w:tcPr>
          <w:p w14:paraId="61CEDACD">
            <w:pPr>
              <w:spacing w:after="0"/>
            </w:pPr>
            <w:r>
              <w:rPr>
                <w:rFonts w:ascii="微软雅黑" w:hAnsi="微软雅黑" w:eastAsia="微软雅黑"/>
                <w:b w:val="0"/>
                <w:sz w:val="18"/>
              </w:rPr>
              <w:t>整体典型泛红程度</w:t>
            </w:r>
          </w:p>
        </w:tc>
      </w:tr>
      <w:tr w14:paraId="58B4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447ECA0">
            <w:pPr>
              <w:spacing w:after="0"/>
            </w:pPr>
            <w:r>
              <w:rPr>
                <w:rFonts w:ascii="微软雅黑" w:hAnsi="微软雅黑" w:eastAsia="微软雅黑"/>
                <w:b w:val="0"/>
                <w:sz w:val="18"/>
              </w:rPr>
              <w:t>P90红色强度</w:t>
            </w:r>
          </w:p>
        </w:tc>
        <w:tc>
          <w:tcPr>
            <w:tcW w:w="4680" w:type="dxa"/>
            <w:tcMar>
              <w:top w:w="80" w:type="dxa"/>
              <w:left w:w="120" w:type="dxa"/>
              <w:bottom w:w="80" w:type="dxa"/>
              <w:right w:w="120" w:type="dxa"/>
            </w:tcMar>
            <w:vAlign w:val="center"/>
          </w:tcPr>
          <w:p w14:paraId="4749164E">
            <w:pPr>
              <w:spacing w:after="0"/>
            </w:pPr>
            <w:r>
              <w:rPr>
                <w:rFonts w:ascii="微软雅黑" w:hAnsi="微软雅黑" w:eastAsia="微软雅黑"/>
                <w:b w:val="0"/>
                <w:sz w:val="18"/>
              </w:rPr>
              <w:t>较明显泛红区域的红色水平</w:t>
            </w:r>
          </w:p>
        </w:tc>
      </w:tr>
      <w:tr w14:paraId="3F3C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F4187BF">
            <w:pPr>
              <w:spacing w:after="0"/>
            </w:pPr>
            <w:r>
              <w:rPr>
                <w:rFonts w:ascii="微软雅黑" w:hAnsi="微软雅黑" w:eastAsia="微软雅黑"/>
                <w:b w:val="0"/>
                <w:sz w:val="18"/>
              </w:rPr>
              <w:t>高强度红色面积占比</w:t>
            </w:r>
          </w:p>
        </w:tc>
        <w:tc>
          <w:tcPr>
            <w:tcW w:w="4680" w:type="dxa"/>
            <w:tcMar>
              <w:top w:w="80" w:type="dxa"/>
              <w:left w:w="120" w:type="dxa"/>
              <w:bottom w:w="80" w:type="dxa"/>
              <w:right w:w="120" w:type="dxa"/>
            </w:tcMar>
            <w:vAlign w:val="center"/>
          </w:tcPr>
          <w:p w14:paraId="394DF347">
            <w:pPr>
              <w:spacing w:after="0"/>
            </w:pPr>
            <w:r>
              <w:rPr>
                <w:rFonts w:ascii="微软雅黑" w:hAnsi="微软雅黑" w:eastAsia="微软雅黑"/>
                <w:b w:val="0"/>
                <w:sz w:val="18"/>
              </w:rPr>
              <w:t>明显泛红区域所占比例</w:t>
            </w:r>
          </w:p>
        </w:tc>
      </w:tr>
      <w:tr w14:paraId="4C1E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1B9C329">
            <w:pPr>
              <w:spacing w:after="0"/>
            </w:pPr>
            <w:r>
              <w:rPr>
                <w:rFonts w:ascii="微软雅黑" w:hAnsi="微软雅黑" w:eastAsia="微软雅黑"/>
                <w:b w:val="0"/>
                <w:sz w:val="18"/>
              </w:rPr>
              <w:t>最大连续红色区域面积</w:t>
            </w:r>
          </w:p>
        </w:tc>
        <w:tc>
          <w:tcPr>
            <w:tcW w:w="4680" w:type="dxa"/>
            <w:tcMar>
              <w:top w:w="80" w:type="dxa"/>
              <w:left w:w="120" w:type="dxa"/>
              <w:bottom w:w="80" w:type="dxa"/>
              <w:right w:w="120" w:type="dxa"/>
            </w:tcMar>
            <w:vAlign w:val="center"/>
          </w:tcPr>
          <w:p w14:paraId="4F054EDF">
            <w:pPr>
              <w:spacing w:after="0"/>
            </w:pPr>
            <w:r>
              <w:rPr>
                <w:rFonts w:ascii="微软雅黑" w:hAnsi="微软雅黑" w:eastAsia="微软雅黑"/>
                <w:b w:val="0"/>
                <w:sz w:val="18"/>
              </w:rPr>
              <w:t>是否形成大片连续泛红</w:t>
            </w:r>
          </w:p>
        </w:tc>
      </w:tr>
      <w:tr w14:paraId="55517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F356E04">
            <w:pPr>
              <w:spacing w:after="0"/>
            </w:pPr>
            <w:r>
              <w:rPr>
                <w:rFonts w:ascii="微软雅黑" w:hAnsi="微软雅黑" w:eastAsia="微软雅黑"/>
                <w:b w:val="0"/>
                <w:sz w:val="18"/>
              </w:rPr>
              <w:t>红色区域连续性</w:t>
            </w:r>
          </w:p>
        </w:tc>
        <w:tc>
          <w:tcPr>
            <w:tcW w:w="4680" w:type="dxa"/>
            <w:tcMar>
              <w:top w:w="80" w:type="dxa"/>
              <w:left w:w="120" w:type="dxa"/>
              <w:bottom w:w="80" w:type="dxa"/>
              <w:right w:w="120" w:type="dxa"/>
            </w:tcMar>
            <w:vAlign w:val="center"/>
          </w:tcPr>
          <w:p w14:paraId="0999E46C">
            <w:pPr>
              <w:spacing w:after="0"/>
            </w:pPr>
            <w:r>
              <w:rPr>
                <w:rFonts w:ascii="微软雅黑" w:hAnsi="微软雅黑" w:eastAsia="微软雅黑"/>
                <w:b w:val="0"/>
                <w:sz w:val="18"/>
              </w:rPr>
              <w:t>红色是否呈连续片状分布</w:t>
            </w:r>
          </w:p>
        </w:tc>
      </w:tr>
      <w:tr w14:paraId="7985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F2DD2B0">
            <w:pPr>
              <w:spacing w:after="0"/>
            </w:pPr>
            <w:r>
              <w:rPr>
                <w:rFonts w:ascii="微软雅黑" w:hAnsi="微软雅黑" w:eastAsia="微软雅黑"/>
                <w:b w:val="0"/>
                <w:sz w:val="18"/>
              </w:rPr>
              <w:t>边界渐变程度</w:t>
            </w:r>
          </w:p>
        </w:tc>
        <w:tc>
          <w:tcPr>
            <w:tcW w:w="4680" w:type="dxa"/>
            <w:tcMar>
              <w:top w:w="80" w:type="dxa"/>
              <w:left w:w="120" w:type="dxa"/>
              <w:bottom w:w="80" w:type="dxa"/>
              <w:right w:w="120" w:type="dxa"/>
            </w:tcMar>
            <w:vAlign w:val="center"/>
          </w:tcPr>
          <w:p w14:paraId="6FB768D7">
            <w:pPr>
              <w:spacing w:after="0"/>
            </w:pPr>
            <w:r>
              <w:rPr>
                <w:rFonts w:ascii="微软雅黑" w:hAnsi="微软雅黑" w:eastAsia="微软雅黑"/>
                <w:b w:val="0"/>
                <w:sz w:val="18"/>
              </w:rPr>
              <w:t>是否符合边界模糊的背景红色</w:t>
            </w:r>
          </w:p>
        </w:tc>
      </w:tr>
      <w:tr w14:paraId="12ECE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1059774">
            <w:pPr>
              <w:spacing w:after="0"/>
            </w:pPr>
            <w:r>
              <w:rPr>
                <w:rFonts w:ascii="微软雅黑" w:hAnsi="微软雅黑" w:eastAsia="微软雅黑"/>
                <w:b w:val="0"/>
                <w:sz w:val="18"/>
              </w:rPr>
              <w:t>区域内红色均匀度</w:t>
            </w:r>
          </w:p>
        </w:tc>
        <w:tc>
          <w:tcPr>
            <w:tcW w:w="4680" w:type="dxa"/>
            <w:tcMar>
              <w:top w:w="80" w:type="dxa"/>
              <w:left w:w="120" w:type="dxa"/>
              <w:bottom w:w="80" w:type="dxa"/>
              <w:right w:w="120" w:type="dxa"/>
            </w:tcMar>
            <w:vAlign w:val="center"/>
          </w:tcPr>
          <w:p w14:paraId="18BD29BB">
            <w:pPr>
              <w:spacing w:after="0"/>
            </w:pPr>
            <w:r>
              <w:rPr>
                <w:rFonts w:ascii="微软雅黑" w:hAnsi="微软雅黑" w:eastAsia="微软雅黑"/>
                <w:b w:val="0"/>
                <w:sz w:val="18"/>
              </w:rPr>
              <w:t>泛红是相对均匀还是斑驳</w:t>
            </w:r>
          </w:p>
        </w:tc>
      </w:tr>
      <w:tr w14:paraId="63B8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FE4C216">
            <w:pPr>
              <w:spacing w:after="0"/>
            </w:pPr>
            <w:r>
              <w:rPr>
                <w:rFonts w:ascii="微软雅黑" w:hAnsi="微软雅黑" w:eastAsia="微软雅黑"/>
                <w:b w:val="0"/>
                <w:sz w:val="18"/>
              </w:rPr>
              <w:t>白光与VISIA红色区重叠率</w:t>
            </w:r>
          </w:p>
        </w:tc>
        <w:tc>
          <w:tcPr>
            <w:tcW w:w="4680" w:type="dxa"/>
            <w:tcMar>
              <w:top w:w="80" w:type="dxa"/>
              <w:left w:w="120" w:type="dxa"/>
              <w:bottom w:w="80" w:type="dxa"/>
              <w:right w:w="120" w:type="dxa"/>
            </w:tcMar>
            <w:vAlign w:val="center"/>
          </w:tcPr>
          <w:p w14:paraId="5483ECAE">
            <w:pPr>
              <w:spacing w:after="0"/>
            </w:pPr>
            <w:r>
              <w:rPr>
                <w:rFonts w:ascii="微软雅黑" w:hAnsi="微软雅黑" w:eastAsia="微软雅黑"/>
                <w:b w:val="0"/>
                <w:sz w:val="18"/>
              </w:rPr>
              <w:t>两种图像是否共同支持背景泛红</w:t>
            </w:r>
          </w:p>
        </w:tc>
      </w:tr>
      <w:tr w14:paraId="0099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497999B">
            <w:pPr>
              <w:spacing w:after="0"/>
            </w:pPr>
            <w:r>
              <w:rPr>
                <w:rFonts w:ascii="微软雅黑" w:hAnsi="微软雅黑" w:eastAsia="微软雅黑"/>
                <w:b w:val="0"/>
                <w:sz w:val="18"/>
              </w:rPr>
              <w:t>中央面部集中程度</w:t>
            </w:r>
          </w:p>
        </w:tc>
        <w:tc>
          <w:tcPr>
            <w:tcW w:w="4680" w:type="dxa"/>
            <w:tcMar>
              <w:top w:w="80" w:type="dxa"/>
              <w:left w:w="120" w:type="dxa"/>
              <w:bottom w:w="80" w:type="dxa"/>
              <w:right w:w="120" w:type="dxa"/>
            </w:tcMar>
            <w:vAlign w:val="center"/>
          </w:tcPr>
          <w:p w14:paraId="58B8B7BB">
            <w:pPr>
              <w:spacing w:after="0"/>
            </w:pPr>
            <w:r>
              <w:rPr>
                <w:rFonts w:ascii="微软雅黑" w:hAnsi="微软雅黑" w:eastAsia="微软雅黑"/>
                <w:b w:val="0"/>
                <w:sz w:val="18"/>
              </w:rPr>
              <w:t>是否主要集中于鼻部、鼻旁和面颊中央</w:t>
            </w:r>
          </w:p>
        </w:tc>
      </w:tr>
      <w:tr w14:paraId="75397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786FE5C">
            <w:pPr>
              <w:spacing w:after="0"/>
            </w:pPr>
            <w:r>
              <w:rPr>
                <w:rFonts w:ascii="微软雅黑" w:hAnsi="微软雅黑" w:eastAsia="微软雅黑"/>
                <w:b w:val="0"/>
                <w:sz w:val="18"/>
              </w:rPr>
              <w:t>左右不对称性</w:t>
            </w:r>
          </w:p>
        </w:tc>
        <w:tc>
          <w:tcPr>
            <w:tcW w:w="4680" w:type="dxa"/>
            <w:tcMar>
              <w:top w:w="80" w:type="dxa"/>
              <w:left w:w="120" w:type="dxa"/>
              <w:bottom w:w="80" w:type="dxa"/>
              <w:right w:w="120" w:type="dxa"/>
            </w:tcMar>
            <w:vAlign w:val="center"/>
          </w:tcPr>
          <w:p w14:paraId="66BC8FD7">
            <w:pPr>
              <w:spacing w:after="0"/>
            </w:pPr>
            <w:r>
              <w:rPr>
                <w:rFonts w:ascii="微软雅黑" w:hAnsi="微软雅黑" w:eastAsia="微软雅黑"/>
                <w:b w:val="0"/>
                <w:sz w:val="18"/>
              </w:rPr>
              <w:t>是否存在明显单侧泛红</w:t>
            </w:r>
          </w:p>
        </w:tc>
      </w:tr>
      <w:tr w14:paraId="1A131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0DD3624">
            <w:pPr>
              <w:spacing w:after="0"/>
            </w:pPr>
            <w:r>
              <w:rPr>
                <w:rFonts w:ascii="微软雅黑" w:hAnsi="微软雅黑" w:eastAsia="微软雅黑"/>
                <w:b w:val="0"/>
                <w:sz w:val="18"/>
              </w:rPr>
              <w:t>排除局灶目标后的红色负担</w:t>
            </w:r>
          </w:p>
        </w:tc>
        <w:tc>
          <w:tcPr>
            <w:tcW w:w="4680" w:type="dxa"/>
            <w:tcMar>
              <w:top w:w="80" w:type="dxa"/>
              <w:left w:w="120" w:type="dxa"/>
              <w:bottom w:w="80" w:type="dxa"/>
              <w:right w:w="120" w:type="dxa"/>
            </w:tcMar>
            <w:vAlign w:val="center"/>
          </w:tcPr>
          <w:p w14:paraId="4F3E28CE">
            <w:pPr>
              <w:spacing w:after="0"/>
            </w:pPr>
            <w:r>
              <w:rPr>
                <w:rFonts w:ascii="微软雅黑" w:hAnsi="微软雅黑" w:eastAsia="微软雅黑"/>
                <w:b w:val="0"/>
                <w:sz w:val="18"/>
              </w:rPr>
              <w:t>去除丘疹、毛囊红斑及线状血管后的背景红色</w:t>
            </w:r>
          </w:p>
        </w:tc>
      </w:tr>
    </w:tbl>
    <w:p w14:paraId="64AAD80B"/>
    <w:p w14:paraId="52F658E4">
      <w:pPr>
        <w:pStyle w:val="4"/>
      </w:pPr>
      <w:r>
        <w:t>3.5 建议评分组成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CD3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5D61A9CA">
            <w:pPr>
              <w:spacing w:after="0"/>
            </w:pPr>
            <w:r>
              <w:rPr>
                <w:rFonts w:ascii="微软雅黑" w:hAnsi="微软雅黑" w:eastAsia="微软雅黑"/>
                <w:b/>
                <w:sz w:val="18"/>
              </w:rPr>
              <w:t>指标组</w:t>
            </w:r>
          </w:p>
        </w:tc>
        <w:tc>
          <w:tcPr>
            <w:tcW w:w="4680" w:type="dxa"/>
            <w:shd w:val="clear" w:color="auto" w:fill="E8EEF5"/>
            <w:tcMar>
              <w:top w:w="80" w:type="dxa"/>
              <w:left w:w="120" w:type="dxa"/>
              <w:bottom w:w="80" w:type="dxa"/>
              <w:right w:w="120" w:type="dxa"/>
            </w:tcMar>
            <w:vAlign w:val="center"/>
          </w:tcPr>
          <w:p w14:paraId="31F448F5">
            <w:pPr>
              <w:spacing w:after="0"/>
            </w:pPr>
            <w:r>
              <w:rPr>
                <w:rFonts w:ascii="微软雅黑" w:hAnsi="微软雅黑" w:eastAsia="微软雅黑"/>
                <w:b/>
                <w:sz w:val="18"/>
              </w:rPr>
              <w:t>初始医学权重</w:t>
            </w:r>
          </w:p>
        </w:tc>
      </w:tr>
      <w:tr w14:paraId="29CF9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5F76626">
            <w:pPr>
              <w:spacing w:after="0"/>
            </w:pPr>
            <w:r>
              <w:rPr>
                <w:rFonts w:ascii="微软雅黑" w:hAnsi="微软雅黑" w:eastAsia="微软雅黑"/>
                <w:b w:val="0"/>
                <w:sz w:val="18"/>
              </w:rPr>
              <w:t>红色面积及连续性</w:t>
            </w:r>
          </w:p>
        </w:tc>
        <w:tc>
          <w:tcPr>
            <w:tcW w:w="4680" w:type="dxa"/>
            <w:tcMar>
              <w:top w:w="80" w:type="dxa"/>
              <w:left w:w="120" w:type="dxa"/>
              <w:bottom w:w="80" w:type="dxa"/>
              <w:right w:w="120" w:type="dxa"/>
            </w:tcMar>
            <w:vAlign w:val="center"/>
          </w:tcPr>
          <w:p w14:paraId="484B87BB">
            <w:pPr>
              <w:spacing w:after="0"/>
            </w:pPr>
            <w:r>
              <w:rPr>
                <w:rFonts w:ascii="微软雅黑" w:hAnsi="微软雅黑" w:eastAsia="微软雅黑"/>
                <w:b w:val="0"/>
                <w:sz w:val="18"/>
              </w:rPr>
              <w:t>30%</w:t>
            </w:r>
          </w:p>
        </w:tc>
      </w:tr>
      <w:tr w14:paraId="7A7A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C0A8FC7">
            <w:pPr>
              <w:spacing w:after="0"/>
            </w:pPr>
            <w:r>
              <w:rPr>
                <w:rFonts w:ascii="微软雅黑" w:hAnsi="微软雅黑" w:eastAsia="微软雅黑"/>
                <w:b w:val="0"/>
                <w:sz w:val="18"/>
              </w:rPr>
              <w:t>红色强度</w:t>
            </w:r>
          </w:p>
        </w:tc>
        <w:tc>
          <w:tcPr>
            <w:tcW w:w="4680" w:type="dxa"/>
            <w:tcMar>
              <w:top w:w="80" w:type="dxa"/>
              <w:left w:w="120" w:type="dxa"/>
              <w:bottom w:w="80" w:type="dxa"/>
              <w:right w:w="120" w:type="dxa"/>
            </w:tcMar>
            <w:vAlign w:val="center"/>
          </w:tcPr>
          <w:p w14:paraId="667E8C8E">
            <w:pPr>
              <w:spacing w:after="0"/>
            </w:pPr>
            <w:r>
              <w:rPr>
                <w:rFonts w:ascii="微软雅黑" w:hAnsi="微软雅黑" w:eastAsia="微软雅黑"/>
                <w:b w:val="0"/>
                <w:sz w:val="18"/>
              </w:rPr>
              <w:t>25%</w:t>
            </w:r>
          </w:p>
        </w:tc>
      </w:tr>
      <w:tr w14:paraId="61AA6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7A17FF4">
            <w:pPr>
              <w:spacing w:after="0"/>
            </w:pPr>
            <w:r>
              <w:rPr>
                <w:rFonts w:ascii="微软雅黑" w:hAnsi="微软雅黑" w:eastAsia="微软雅黑"/>
                <w:b w:val="0"/>
                <w:sz w:val="18"/>
              </w:rPr>
              <w:t>白光与VISIA红色区一致性</w:t>
            </w:r>
          </w:p>
        </w:tc>
        <w:tc>
          <w:tcPr>
            <w:tcW w:w="4680" w:type="dxa"/>
            <w:tcMar>
              <w:top w:w="80" w:type="dxa"/>
              <w:left w:w="120" w:type="dxa"/>
              <w:bottom w:w="80" w:type="dxa"/>
              <w:right w:w="120" w:type="dxa"/>
            </w:tcMar>
            <w:vAlign w:val="center"/>
          </w:tcPr>
          <w:p w14:paraId="10BBF1BC">
            <w:pPr>
              <w:spacing w:after="0"/>
            </w:pPr>
            <w:r>
              <w:rPr>
                <w:rFonts w:ascii="微软雅黑" w:hAnsi="微软雅黑" w:eastAsia="微软雅黑"/>
                <w:b w:val="0"/>
                <w:sz w:val="18"/>
              </w:rPr>
              <w:t>20%</w:t>
            </w:r>
          </w:p>
        </w:tc>
      </w:tr>
      <w:tr w14:paraId="251E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7C1F387">
            <w:pPr>
              <w:spacing w:after="0"/>
            </w:pPr>
            <w:r>
              <w:rPr>
                <w:rFonts w:ascii="微软雅黑" w:hAnsi="微软雅黑" w:eastAsia="微软雅黑"/>
                <w:b w:val="0"/>
                <w:sz w:val="18"/>
              </w:rPr>
              <w:t>边界渐变及背景均匀性</w:t>
            </w:r>
          </w:p>
        </w:tc>
        <w:tc>
          <w:tcPr>
            <w:tcW w:w="4680" w:type="dxa"/>
            <w:tcMar>
              <w:top w:w="80" w:type="dxa"/>
              <w:left w:w="120" w:type="dxa"/>
              <w:bottom w:w="80" w:type="dxa"/>
              <w:right w:w="120" w:type="dxa"/>
            </w:tcMar>
            <w:vAlign w:val="center"/>
          </w:tcPr>
          <w:p w14:paraId="4D43194E">
            <w:pPr>
              <w:spacing w:after="0"/>
            </w:pPr>
            <w:r>
              <w:rPr>
                <w:rFonts w:ascii="微软雅黑" w:hAnsi="微软雅黑" w:eastAsia="微软雅黑"/>
                <w:b w:val="0"/>
                <w:sz w:val="18"/>
              </w:rPr>
              <w:t>15%</w:t>
            </w:r>
          </w:p>
        </w:tc>
      </w:tr>
      <w:tr w14:paraId="0A8F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0E6B943">
            <w:pPr>
              <w:spacing w:after="0"/>
            </w:pPr>
            <w:r>
              <w:rPr>
                <w:rFonts w:ascii="微软雅黑" w:hAnsi="微软雅黑" w:eastAsia="微软雅黑"/>
                <w:b w:val="0"/>
                <w:sz w:val="18"/>
              </w:rPr>
              <w:t>面部分布及左右差异</w:t>
            </w:r>
          </w:p>
        </w:tc>
        <w:tc>
          <w:tcPr>
            <w:tcW w:w="4680" w:type="dxa"/>
            <w:tcMar>
              <w:top w:w="80" w:type="dxa"/>
              <w:left w:w="120" w:type="dxa"/>
              <w:bottom w:w="80" w:type="dxa"/>
              <w:right w:w="120" w:type="dxa"/>
            </w:tcMar>
            <w:vAlign w:val="center"/>
          </w:tcPr>
          <w:p w14:paraId="4F082341">
            <w:pPr>
              <w:spacing w:after="0"/>
            </w:pPr>
            <w:r>
              <w:rPr>
                <w:rFonts w:ascii="微软雅黑" w:hAnsi="微软雅黑" w:eastAsia="微软雅黑"/>
                <w:b w:val="0"/>
                <w:sz w:val="18"/>
              </w:rPr>
              <w:t>10%</w:t>
            </w:r>
          </w:p>
        </w:tc>
      </w:tr>
    </w:tbl>
    <w:p w14:paraId="24BB8DB0"/>
    <w:p w14:paraId="6A144EFA">
      <w:r>
        <w:rPr>
          <w:rFonts w:ascii="微软雅黑" w:hAnsi="微软雅黑" w:eastAsia="微软雅黑"/>
        </w:rPr>
        <w:t>局灶性炎症样目标、毛囊性目标及线状血管目标不直接计入弥漫性泛红评分，避免重复计算。</w:t>
      </w:r>
    </w:p>
    <w:p w14:paraId="4588A10C">
      <w:pPr>
        <w:pStyle w:val="4"/>
      </w:pPr>
      <w:r>
        <w:t>3.6 可反映的临床问题</w:t>
      </w:r>
    </w:p>
    <w:p w14:paraId="21D4F58F">
      <w:r>
        <w:rPr>
          <w:rFonts w:ascii="微软雅黑" w:hAnsi="微软雅黑" w:eastAsia="微软雅黑"/>
        </w:rPr>
        <w:t>可以提示：</w:t>
      </w:r>
    </w:p>
    <w:p w14:paraId="50559121">
      <w:pPr>
        <w:pStyle w:val="16"/>
      </w:pPr>
      <w:r>
        <w:rPr>
          <w:rFonts w:ascii="微软雅黑" w:hAnsi="微软雅黑" w:eastAsia="微软雅黑"/>
        </w:rPr>
        <w:t>大范围背景性红色增加；</w:t>
      </w:r>
    </w:p>
    <w:p w14:paraId="662D9306">
      <w:pPr>
        <w:pStyle w:val="16"/>
      </w:pPr>
      <w:r>
        <w:rPr>
          <w:rFonts w:ascii="微软雅黑" w:hAnsi="微软雅黑" w:eastAsia="微软雅黑"/>
        </w:rPr>
        <w:t>弥漫性浅表血管扩张样外观；</w:t>
      </w:r>
    </w:p>
    <w:p w14:paraId="2E630873">
      <w:pPr>
        <w:pStyle w:val="16"/>
      </w:pPr>
      <w:r>
        <w:rPr>
          <w:rFonts w:ascii="微软雅黑" w:hAnsi="微软雅黑" w:eastAsia="微软雅黑"/>
        </w:rPr>
        <w:t>炎症相关背景泛红；</w:t>
      </w:r>
    </w:p>
    <w:p w14:paraId="5152AC19">
      <w:pPr>
        <w:pStyle w:val="16"/>
      </w:pPr>
      <w:r>
        <w:rPr>
          <w:rFonts w:ascii="微软雅黑" w:hAnsi="微软雅黑" w:eastAsia="微软雅黑"/>
        </w:rPr>
        <w:t>刺激后泛红样反应；</w:t>
      </w:r>
    </w:p>
    <w:p w14:paraId="1EDC6317">
      <w:pPr>
        <w:pStyle w:val="16"/>
      </w:pPr>
      <w:r>
        <w:rPr>
          <w:rFonts w:ascii="微软雅黑" w:hAnsi="微软雅黑" w:eastAsia="微软雅黑"/>
        </w:rPr>
        <w:t>中央面部泛红；</w:t>
      </w:r>
    </w:p>
    <w:p w14:paraId="48118289">
      <w:pPr>
        <w:pStyle w:val="16"/>
      </w:pPr>
      <w:r>
        <w:rPr>
          <w:rFonts w:ascii="微软雅黑" w:hAnsi="微软雅黑" w:eastAsia="微软雅黑"/>
        </w:rPr>
        <w:t>左右不对称性泛红。</w:t>
      </w:r>
    </w:p>
    <w:p w14:paraId="175F4B6B">
      <w:r>
        <w:rPr>
          <w:rFonts w:ascii="微软雅黑" w:hAnsi="微软雅黑" w:eastAsia="微软雅黑"/>
        </w:rPr>
        <w:t>不能单独诊断：</w:t>
      </w:r>
    </w:p>
    <w:p w14:paraId="40FEF2E5">
      <w:pPr>
        <w:pStyle w:val="16"/>
      </w:pPr>
      <w:r>
        <w:rPr>
          <w:rFonts w:ascii="微软雅黑" w:hAnsi="微软雅黑" w:eastAsia="微软雅黑"/>
        </w:rPr>
        <w:t>敏感肌；</w:t>
      </w:r>
    </w:p>
    <w:p w14:paraId="5E8EEAD1">
      <w:pPr>
        <w:pStyle w:val="16"/>
      </w:pPr>
      <w:r>
        <w:rPr>
          <w:rFonts w:ascii="微软雅黑" w:hAnsi="微软雅黑" w:eastAsia="微软雅黑"/>
        </w:rPr>
        <w:t>皮肤屏障受损；</w:t>
      </w:r>
    </w:p>
    <w:p w14:paraId="03B008CE">
      <w:pPr>
        <w:pStyle w:val="16"/>
      </w:pPr>
      <w:r>
        <w:rPr>
          <w:rFonts w:ascii="微软雅黑" w:hAnsi="微软雅黑" w:eastAsia="微软雅黑"/>
        </w:rPr>
        <w:t>玫瑰痤疮；</w:t>
      </w:r>
    </w:p>
    <w:p w14:paraId="3A991254">
      <w:pPr>
        <w:pStyle w:val="16"/>
      </w:pPr>
      <w:r>
        <w:rPr>
          <w:rFonts w:ascii="微软雅黑" w:hAnsi="微软雅黑" w:eastAsia="微软雅黑"/>
        </w:rPr>
        <w:t>接触性皮炎；</w:t>
      </w:r>
    </w:p>
    <w:p w14:paraId="4029556C">
      <w:pPr>
        <w:pStyle w:val="16"/>
      </w:pPr>
      <w:r>
        <w:rPr>
          <w:rFonts w:ascii="微软雅黑" w:hAnsi="微软雅黑" w:eastAsia="微软雅黑"/>
        </w:rPr>
        <w:t>激素相关皮炎；</w:t>
      </w:r>
    </w:p>
    <w:p w14:paraId="1F22D3FF">
      <w:pPr>
        <w:pStyle w:val="16"/>
      </w:pPr>
      <w:r>
        <w:rPr>
          <w:rFonts w:ascii="微软雅黑" w:hAnsi="微软雅黑" w:eastAsia="微软雅黑"/>
        </w:rPr>
        <w:t>过敏性炎症。</w:t>
      </w:r>
    </w:p>
    <w:p w14:paraId="663027AF">
      <w:pPr>
        <w:pStyle w:val="4"/>
      </w:pPr>
      <w:r>
        <w:t>3.7 报告示例</w:t>
      </w:r>
    </w:p>
    <w:p w14:paraId="3AF06CB9">
      <w:pPr>
        <w:pStyle w:val="5"/>
      </w:pPr>
      <w:r>
        <w:t>弥漫性泛红评分：68分，较明显</w:t>
      </w:r>
    </w:p>
    <w:p w14:paraId="0E78672B">
      <w:r>
        <w:rPr>
          <w:rFonts w:ascii="微软雅黑" w:hAnsi="微软雅黑" w:eastAsia="微软雅黑"/>
        </w:rPr>
        <w:t>双侧面颊及鼻旁为主要受累区域。</w:t>
      </w:r>
    </w:p>
    <w:p w14:paraId="0A6AB94B">
      <w:r>
        <w:rPr>
          <w:rFonts w:ascii="微软雅黑" w:hAnsi="微软雅黑" w:eastAsia="微软雅黑"/>
        </w:rPr>
        <w:t>弥漫性红色面积占有效检测区域的24.6%，其中高强度红色区域占6.8%。双侧面颊可见大片连续、边界渐变的背景红色，标准白光图像与VISIA红色区具有较高一致性。</w:t>
      </w:r>
    </w:p>
    <w:p w14:paraId="37C7F8C6">
      <w:r>
        <w:rPr>
          <w:rFonts w:ascii="微软雅黑" w:hAnsi="微软雅黑" w:eastAsia="微软雅黑"/>
        </w:rPr>
        <w:t>在排除局灶性红色丘疹、毛囊周围红斑和线状血管后，背景红色负担仍然较高。</w:t>
      </w:r>
    </w:p>
    <w:p w14:paraId="78BB69C0">
      <w:r>
        <w:rPr>
          <w:rFonts w:ascii="微软雅黑" w:hAnsi="微软雅黑" w:eastAsia="微软雅黑"/>
        </w:rPr>
        <w:t>本次结果提示较明显的弥漫性血管扩张或炎症相关泛红表型，右侧面颊略重于左侧。</w:t>
      </w:r>
    </w:p>
    <w:p w14:paraId="588C7229">
      <w:r>
        <w:rPr>
          <w:rFonts w:ascii="微软雅黑" w:hAnsi="微软雅黑" w:eastAsia="微软雅黑"/>
        </w:rPr>
        <w:t>本结果不能单独用于诊断敏感肌、皮肤屏障受损或玫瑰痤疮。</w:t>
      </w:r>
    </w:p>
    <w:p w14:paraId="78386360">
      <w:pPr>
        <w:pStyle w:val="3"/>
      </w:pPr>
      <w:r>
        <w:t>四、局灶性炎症样红色表型报告</w:t>
      </w:r>
    </w:p>
    <w:p w14:paraId="18E24487">
      <w:pPr>
        <w:pStyle w:val="4"/>
      </w:pPr>
      <w:r>
        <w:t>4.1 检测目标</w:t>
      </w:r>
    </w:p>
    <w:p w14:paraId="6AC2855D">
      <w:r>
        <w:rPr>
          <w:rFonts w:ascii="微软雅黑" w:hAnsi="微软雅黑" w:eastAsia="微软雅黑"/>
        </w:rPr>
        <w:t>识别与周围正常皮肤具有相对明确边界的点状或小片状红色目标，评价面部局部炎症样红色负担。</w:t>
      </w:r>
    </w:p>
    <w:p w14:paraId="63C30901">
      <w:r>
        <w:rPr>
          <w:rFonts w:ascii="微软雅黑" w:hAnsi="微软雅黑" w:eastAsia="微软雅黑"/>
        </w:rPr>
        <w:t>主要提示：</w:t>
      </w:r>
    </w:p>
    <w:p w14:paraId="76930B20">
      <w:pPr>
        <w:spacing w:before="80" w:after="160"/>
        <w:ind w:left="360"/>
      </w:pPr>
      <w:r>
        <w:rPr>
          <w:rFonts w:ascii="微软雅黑" w:hAnsi="微软雅黑" w:eastAsia="微软雅黑"/>
          <w:b/>
        </w:rPr>
        <w:t>局灶性活动炎症样红色表型。</w:t>
      </w:r>
    </w:p>
    <w:p w14:paraId="2A9FEBA4">
      <w:r>
        <w:rPr>
          <w:rFonts w:ascii="微软雅黑" w:hAnsi="微软雅黑" w:eastAsia="微软雅黑"/>
        </w:rPr>
        <w:t>明确以毛囊为中心的目标进入“毛囊炎症及痤疮样表型报告”，不在本报告中重复统计。</w:t>
      </w:r>
    </w:p>
    <w:p w14:paraId="09BF5CA2">
      <w:pPr>
        <w:pStyle w:val="4"/>
      </w:pPr>
      <w:r>
        <w:t>4.2 使用的检测结果</w:t>
      </w:r>
    </w:p>
    <w:p w14:paraId="66C2411B">
      <w:pPr>
        <w:pStyle w:val="16"/>
      </w:pPr>
      <w:r>
        <w:rPr>
          <w:rFonts w:ascii="微软雅黑" w:hAnsi="微软雅黑" w:eastAsia="微软雅黑"/>
        </w:rPr>
        <w:t>VISIA红色区中的局灶性红色部分；</w:t>
      </w:r>
    </w:p>
    <w:p w14:paraId="366A1657">
      <w:pPr>
        <w:pStyle w:val="16"/>
      </w:pPr>
      <w:r>
        <w:rPr>
          <w:rFonts w:ascii="微软雅黑" w:hAnsi="微软雅黑" w:eastAsia="微软雅黑"/>
        </w:rPr>
        <w:t>可见红色色差图层；</w:t>
      </w:r>
    </w:p>
    <w:p w14:paraId="50F482F7">
      <w:pPr>
        <w:pStyle w:val="16"/>
      </w:pPr>
      <w:r>
        <w:rPr>
          <w:rFonts w:ascii="微软雅黑" w:hAnsi="微软雅黑" w:eastAsia="微软雅黑"/>
        </w:rPr>
        <w:t>标准白光图像；</w:t>
      </w:r>
    </w:p>
    <w:p w14:paraId="3D8505DA">
      <w:pPr>
        <w:pStyle w:val="16"/>
      </w:pPr>
      <w:r>
        <w:rPr>
          <w:rFonts w:ascii="微软雅黑" w:hAnsi="微软雅黑" w:eastAsia="微软雅黑"/>
        </w:rPr>
        <w:t>局部隆起识别结果；</w:t>
      </w:r>
    </w:p>
    <w:p w14:paraId="68C5C35E">
      <w:pPr>
        <w:pStyle w:val="16"/>
      </w:pPr>
      <w:r>
        <w:rPr>
          <w:rFonts w:ascii="微软雅黑" w:hAnsi="微软雅黑" w:eastAsia="微软雅黑"/>
        </w:rPr>
        <w:t>白色或黄色中心识别结果；</w:t>
      </w:r>
    </w:p>
    <w:p w14:paraId="78AF6C8F">
      <w:pPr>
        <w:pStyle w:val="16"/>
      </w:pPr>
      <w:r>
        <w:rPr>
          <w:rFonts w:ascii="微软雅黑" w:hAnsi="微软雅黑" w:eastAsia="微软雅黑"/>
        </w:rPr>
        <w:t>毛孔中心位置；</w:t>
      </w:r>
    </w:p>
    <w:p w14:paraId="6EFF8880">
      <w:pPr>
        <w:pStyle w:val="16"/>
      </w:pPr>
      <w:r>
        <w:rPr>
          <w:rFonts w:ascii="微软雅黑" w:hAnsi="微软雅黑" w:eastAsia="微软雅黑"/>
        </w:rPr>
        <w:t>紫质位置；</w:t>
      </w:r>
    </w:p>
    <w:p w14:paraId="2FBB4FC1">
      <w:pPr>
        <w:pStyle w:val="16"/>
      </w:pPr>
      <w:r>
        <w:rPr>
          <w:rFonts w:ascii="微软雅黑" w:hAnsi="微软雅黑" w:eastAsia="微软雅黑"/>
        </w:rPr>
        <w:t>弥漫性背景泛红结果。</w:t>
      </w:r>
    </w:p>
    <w:p w14:paraId="6571CD47">
      <w:r>
        <w:rPr>
          <w:rFonts w:ascii="微软雅黑" w:hAnsi="微软雅黑" w:eastAsia="微软雅黑"/>
        </w:rPr>
        <w:t>弥漫性泛红主要用于校正局灶红色目标周围的背景颜色，不直接作为局灶性炎症评分。</w:t>
      </w:r>
    </w:p>
    <w:p w14:paraId="6ECF381A">
      <w:pPr>
        <w:pStyle w:val="4"/>
      </w:pPr>
      <w:r>
        <w:t>4.3 目标类型</w:t>
      </w:r>
    </w:p>
    <w:p w14:paraId="5647FB5B">
      <w:pPr>
        <w:pStyle w:val="5"/>
      </w:pPr>
      <w:r>
        <w:t>4.3.1 平坦局灶红斑样目标</w:t>
      </w:r>
    </w:p>
    <w:p w14:paraId="6A34EE30">
      <w:r>
        <w:rPr>
          <w:rFonts w:ascii="微软雅黑" w:hAnsi="微软雅黑" w:eastAsia="微软雅黑"/>
        </w:rPr>
        <w:t>表现为：</w:t>
      </w:r>
    </w:p>
    <w:p w14:paraId="593F2426">
      <w:pPr>
        <w:pStyle w:val="16"/>
      </w:pPr>
      <w:r>
        <w:rPr>
          <w:rFonts w:ascii="微软雅黑" w:hAnsi="微软雅黑" w:eastAsia="微软雅黑"/>
        </w:rPr>
        <w:t>独立红色目标；</w:t>
      </w:r>
    </w:p>
    <w:p w14:paraId="10EED3F4">
      <w:pPr>
        <w:pStyle w:val="16"/>
      </w:pPr>
      <w:r>
        <w:rPr>
          <w:rFonts w:ascii="微软雅黑" w:hAnsi="微软雅黑" w:eastAsia="微软雅黑"/>
        </w:rPr>
        <w:t>与周围皮肤存在明确或相对明确的红色色差；</w:t>
      </w:r>
    </w:p>
    <w:p w14:paraId="4A543420">
      <w:pPr>
        <w:pStyle w:val="16"/>
      </w:pPr>
      <w:r>
        <w:rPr>
          <w:rFonts w:ascii="微软雅黑" w:hAnsi="微软雅黑" w:eastAsia="微软雅黑"/>
        </w:rPr>
        <w:t>无明显隆起；</w:t>
      </w:r>
    </w:p>
    <w:p w14:paraId="7D157190">
      <w:pPr>
        <w:pStyle w:val="16"/>
      </w:pPr>
      <w:r>
        <w:rPr>
          <w:rFonts w:ascii="微软雅黑" w:hAnsi="微软雅黑" w:eastAsia="微软雅黑"/>
        </w:rPr>
        <w:t>无白色或黄色中心；</w:t>
      </w:r>
    </w:p>
    <w:p w14:paraId="4F125A0C">
      <w:pPr>
        <w:pStyle w:val="16"/>
      </w:pPr>
      <w:r>
        <w:rPr>
          <w:rFonts w:ascii="微软雅黑" w:hAnsi="微软雅黑" w:eastAsia="微软雅黑"/>
        </w:rPr>
        <w:t>毛囊中心定位不明确。</w:t>
      </w:r>
    </w:p>
    <w:p w14:paraId="7D6CA238">
      <w:r>
        <w:rPr>
          <w:rFonts w:ascii="微软雅黑" w:hAnsi="微软雅黑" w:eastAsia="微软雅黑"/>
        </w:rPr>
        <w:t>主要反映局部红斑或红色印记样外观。</w:t>
      </w:r>
    </w:p>
    <w:p w14:paraId="15553304">
      <w:pPr>
        <w:pStyle w:val="5"/>
      </w:pPr>
      <w:r>
        <w:t>4.3.2 非明确毛囊性的红色丘疹样目标</w:t>
      </w:r>
    </w:p>
    <w:p w14:paraId="55BFB4AA">
      <w:r>
        <w:rPr>
          <w:rFonts w:ascii="微软雅黑" w:hAnsi="微软雅黑" w:eastAsia="微软雅黑"/>
        </w:rPr>
        <w:t>表现为：</w:t>
      </w:r>
    </w:p>
    <w:p w14:paraId="2D651B77">
      <w:pPr>
        <w:pStyle w:val="16"/>
      </w:pPr>
      <w:r>
        <w:rPr>
          <w:rFonts w:ascii="微软雅黑" w:hAnsi="微软雅黑" w:eastAsia="微软雅黑"/>
        </w:rPr>
        <w:t>独立红色目标；</w:t>
      </w:r>
    </w:p>
    <w:p w14:paraId="7D24E000">
      <w:pPr>
        <w:pStyle w:val="16"/>
      </w:pPr>
      <w:r>
        <w:rPr>
          <w:rFonts w:ascii="微软雅黑" w:hAnsi="微软雅黑" w:eastAsia="微软雅黑"/>
        </w:rPr>
        <w:t>存在局部隆起；</w:t>
      </w:r>
    </w:p>
    <w:p w14:paraId="1935E965">
      <w:pPr>
        <w:pStyle w:val="16"/>
      </w:pPr>
      <w:r>
        <w:rPr>
          <w:rFonts w:ascii="微软雅黑" w:hAnsi="微软雅黑" w:eastAsia="微软雅黑"/>
        </w:rPr>
        <w:t>无明显白色或黄色中心；</w:t>
      </w:r>
    </w:p>
    <w:p w14:paraId="6925FB39">
      <w:pPr>
        <w:pStyle w:val="16"/>
      </w:pPr>
      <w:r>
        <w:rPr>
          <w:rFonts w:ascii="微软雅黑" w:hAnsi="微软雅黑" w:eastAsia="微软雅黑"/>
        </w:rPr>
        <w:t>毛囊中心定位不明确。</w:t>
      </w:r>
    </w:p>
    <w:p w14:paraId="4BEBEB9F">
      <w:r>
        <w:rPr>
          <w:rFonts w:ascii="微软雅黑" w:hAnsi="微软雅黑" w:eastAsia="微软雅黑"/>
        </w:rPr>
        <w:t>主要反映局部活动性丘疹样炎症表型。</w:t>
      </w:r>
    </w:p>
    <w:p w14:paraId="372BDDEE">
      <w:pPr>
        <w:pStyle w:val="5"/>
      </w:pPr>
      <w:r>
        <w:t>4.3.3 非明确毛囊性的丘脓疱样目标</w:t>
      </w:r>
    </w:p>
    <w:p w14:paraId="1A60C247">
      <w:r>
        <w:rPr>
          <w:rFonts w:ascii="微软雅黑" w:hAnsi="微软雅黑" w:eastAsia="微软雅黑"/>
        </w:rPr>
        <w:t>表现为：</w:t>
      </w:r>
    </w:p>
    <w:p w14:paraId="441C4378">
      <w:pPr>
        <w:pStyle w:val="16"/>
      </w:pPr>
      <w:r>
        <w:rPr>
          <w:rFonts w:ascii="微软雅黑" w:hAnsi="微软雅黑" w:eastAsia="微软雅黑"/>
        </w:rPr>
        <w:t>独立红色目标；</w:t>
      </w:r>
    </w:p>
    <w:p w14:paraId="327AD74A">
      <w:pPr>
        <w:pStyle w:val="16"/>
      </w:pPr>
      <w:r>
        <w:rPr>
          <w:rFonts w:ascii="微软雅黑" w:hAnsi="微软雅黑" w:eastAsia="微软雅黑"/>
        </w:rPr>
        <w:t>存在局部隆起；</w:t>
      </w:r>
    </w:p>
    <w:p w14:paraId="25021B79">
      <w:pPr>
        <w:pStyle w:val="16"/>
      </w:pPr>
      <w:r>
        <w:rPr>
          <w:rFonts w:ascii="微软雅黑" w:hAnsi="微软雅黑" w:eastAsia="微软雅黑"/>
        </w:rPr>
        <w:t>中心存在白色或黄色区域；</w:t>
      </w:r>
    </w:p>
    <w:p w14:paraId="4B4C5D92">
      <w:pPr>
        <w:pStyle w:val="16"/>
      </w:pPr>
      <w:r>
        <w:rPr>
          <w:rFonts w:ascii="微软雅黑" w:hAnsi="微软雅黑" w:eastAsia="微软雅黑"/>
        </w:rPr>
        <w:t>毛囊中心定位不明确。</w:t>
      </w:r>
    </w:p>
    <w:p w14:paraId="6FF51927">
      <w:r>
        <w:rPr>
          <w:rFonts w:ascii="微软雅黑" w:hAnsi="微软雅黑" w:eastAsia="微软雅黑"/>
        </w:rPr>
        <w:t>主要反映局部丘脓疱样炎症表型。</w:t>
      </w:r>
    </w:p>
    <w:p w14:paraId="3E2BB3FD">
      <w:pPr>
        <w:pStyle w:val="4"/>
      </w:pPr>
      <w:r>
        <w:t>4.4 需要检测的指标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2359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6A003B3D">
            <w:pPr>
              <w:spacing w:after="0"/>
            </w:pPr>
            <w:r>
              <w:rPr>
                <w:rFonts w:ascii="微软雅黑" w:hAnsi="微软雅黑" w:eastAsia="微软雅黑"/>
                <w:b/>
                <w:sz w:val="18"/>
              </w:rPr>
              <w:t>指标</w:t>
            </w:r>
          </w:p>
        </w:tc>
        <w:tc>
          <w:tcPr>
            <w:tcW w:w="4680" w:type="dxa"/>
            <w:shd w:val="clear" w:color="auto" w:fill="E8EEF5"/>
            <w:tcMar>
              <w:top w:w="80" w:type="dxa"/>
              <w:left w:w="120" w:type="dxa"/>
              <w:bottom w:w="80" w:type="dxa"/>
              <w:right w:w="120" w:type="dxa"/>
            </w:tcMar>
            <w:vAlign w:val="center"/>
          </w:tcPr>
          <w:p w14:paraId="004BEBD0">
            <w:pPr>
              <w:spacing w:after="0"/>
            </w:pPr>
            <w:r>
              <w:rPr>
                <w:rFonts w:ascii="微软雅黑" w:hAnsi="微软雅黑" w:eastAsia="微软雅黑"/>
                <w:b/>
                <w:sz w:val="18"/>
              </w:rPr>
              <w:t>医学意义</w:t>
            </w:r>
          </w:p>
        </w:tc>
      </w:tr>
      <w:tr w14:paraId="58322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2A72B5E">
            <w:pPr>
              <w:spacing w:after="0"/>
            </w:pPr>
            <w:r>
              <w:rPr>
                <w:rFonts w:ascii="微软雅黑" w:hAnsi="微软雅黑" w:eastAsia="微软雅黑"/>
                <w:b w:val="0"/>
                <w:sz w:val="18"/>
              </w:rPr>
              <w:t>局灶红色目标数量</w:t>
            </w:r>
          </w:p>
        </w:tc>
        <w:tc>
          <w:tcPr>
            <w:tcW w:w="4680" w:type="dxa"/>
            <w:tcMar>
              <w:top w:w="80" w:type="dxa"/>
              <w:left w:w="120" w:type="dxa"/>
              <w:bottom w:w="80" w:type="dxa"/>
              <w:right w:w="120" w:type="dxa"/>
            </w:tcMar>
            <w:vAlign w:val="center"/>
          </w:tcPr>
          <w:p w14:paraId="4CA11193">
            <w:pPr>
              <w:spacing w:after="0"/>
            </w:pPr>
            <w:r>
              <w:rPr>
                <w:rFonts w:ascii="微软雅黑" w:hAnsi="微软雅黑" w:eastAsia="微软雅黑"/>
                <w:b w:val="0"/>
                <w:sz w:val="18"/>
              </w:rPr>
              <w:t>独立红色目标总数</w:t>
            </w:r>
          </w:p>
        </w:tc>
      </w:tr>
      <w:tr w14:paraId="0AC4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35745EF">
            <w:pPr>
              <w:spacing w:after="0"/>
            </w:pPr>
            <w:r>
              <w:rPr>
                <w:rFonts w:ascii="微软雅黑" w:hAnsi="微软雅黑" w:eastAsia="微软雅黑"/>
                <w:b w:val="0"/>
                <w:sz w:val="18"/>
              </w:rPr>
              <w:t>局灶红色目标密度</w:t>
            </w:r>
          </w:p>
        </w:tc>
        <w:tc>
          <w:tcPr>
            <w:tcW w:w="4680" w:type="dxa"/>
            <w:tcMar>
              <w:top w:w="80" w:type="dxa"/>
              <w:left w:w="120" w:type="dxa"/>
              <w:bottom w:w="80" w:type="dxa"/>
              <w:right w:w="120" w:type="dxa"/>
            </w:tcMar>
            <w:vAlign w:val="center"/>
          </w:tcPr>
          <w:p w14:paraId="35AC6A32">
            <w:pPr>
              <w:spacing w:after="0"/>
            </w:pPr>
            <w:r>
              <w:rPr>
                <w:rFonts w:ascii="微软雅黑" w:hAnsi="微软雅黑" w:eastAsia="微软雅黑"/>
                <w:b w:val="0"/>
                <w:sz w:val="18"/>
              </w:rPr>
              <w:t>单位有效皮肤面积的目标数量</w:t>
            </w:r>
          </w:p>
        </w:tc>
      </w:tr>
      <w:tr w14:paraId="2F34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50DBC17">
            <w:pPr>
              <w:spacing w:after="0"/>
            </w:pPr>
            <w:r>
              <w:rPr>
                <w:rFonts w:ascii="微软雅黑" w:hAnsi="微软雅黑" w:eastAsia="微软雅黑"/>
                <w:b w:val="0"/>
                <w:sz w:val="18"/>
              </w:rPr>
              <w:t>局灶红色总面积</w:t>
            </w:r>
          </w:p>
        </w:tc>
        <w:tc>
          <w:tcPr>
            <w:tcW w:w="4680" w:type="dxa"/>
            <w:tcMar>
              <w:top w:w="80" w:type="dxa"/>
              <w:left w:w="120" w:type="dxa"/>
              <w:bottom w:w="80" w:type="dxa"/>
              <w:right w:w="120" w:type="dxa"/>
            </w:tcMar>
            <w:vAlign w:val="center"/>
          </w:tcPr>
          <w:p w14:paraId="6392F934">
            <w:pPr>
              <w:spacing w:after="0"/>
            </w:pPr>
            <w:r>
              <w:rPr>
                <w:rFonts w:ascii="微软雅黑" w:hAnsi="微软雅黑" w:eastAsia="微软雅黑"/>
                <w:b w:val="0"/>
                <w:sz w:val="18"/>
              </w:rPr>
              <w:t>所有局灶红色目标面积之和</w:t>
            </w:r>
          </w:p>
        </w:tc>
      </w:tr>
      <w:tr w14:paraId="331B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E11FF57">
            <w:pPr>
              <w:spacing w:after="0"/>
            </w:pPr>
            <w:r>
              <w:rPr>
                <w:rFonts w:ascii="微软雅黑" w:hAnsi="微软雅黑" w:eastAsia="微软雅黑"/>
                <w:b w:val="0"/>
                <w:sz w:val="18"/>
              </w:rPr>
              <w:t>局灶红色面积占比</w:t>
            </w:r>
          </w:p>
        </w:tc>
        <w:tc>
          <w:tcPr>
            <w:tcW w:w="4680" w:type="dxa"/>
            <w:tcMar>
              <w:top w:w="80" w:type="dxa"/>
              <w:left w:w="120" w:type="dxa"/>
              <w:bottom w:w="80" w:type="dxa"/>
              <w:right w:w="120" w:type="dxa"/>
            </w:tcMar>
            <w:vAlign w:val="center"/>
          </w:tcPr>
          <w:p w14:paraId="784CBF14">
            <w:pPr>
              <w:spacing w:after="0"/>
            </w:pPr>
            <w:r>
              <w:rPr>
                <w:rFonts w:ascii="微软雅黑" w:hAnsi="微软雅黑" w:eastAsia="微软雅黑"/>
                <w:b w:val="0"/>
                <w:sz w:val="18"/>
              </w:rPr>
              <w:t>局部红色覆盖范围</w:t>
            </w:r>
          </w:p>
        </w:tc>
      </w:tr>
      <w:tr w14:paraId="406D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E0B2A6F">
            <w:pPr>
              <w:spacing w:after="0"/>
            </w:pPr>
            <w:r>
              <w:rPr>
                <w:rFonts w:ascii="微软雅黑" w:hAnsi="微软雅黑" w:eastAsia="微软雅黑"/>
                <w:b w:val="0"/>
                <w:sz w:val="18"/>
              </w:rPr>
              <w:t>P50目标面积</w:t>
            </w:r>
          </w:p>
        </w:tc>
        <w:tc>
          <w:tcPr>
            <w:tcW w:w="4680" w:type="dxa"/>
            <w:tcMar>
              <w:top w:w="80" w:type="dxa"/>
              <w:left w:w="120" w:type="dxa"/>
              <w:bottom w:w="80" w:type="dxa"/>
              <w:right w:w="120" w:type="dxa"/>
            </w:tcMar>
            <w:vAlign w:val="center"/>
          </w:tcPr>
          <w:p w14:paraId="05FA32C0">
            <w:pPr>
              <w:spacing w:after="0"/>
            </w:pPr>
            <w:r>
              <w:rPr>
                <w:rFonts w:ascii="微软雅黑" w:hAnsi="微软雅黑" w:eastAsia="微软雅黑"/>
                <w:b w:val="0"/>
                <w:sz w:val="18"/>
              </w:rPr>
              <w:t>典型局灶红色目标大小</w:t>
            </w:r>
          </w:p>
        </w:tc>
      </w:tr>
      <w:tr w14:paraId="4745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C0B69BA">
            <w:pPr>
              <w:spacing w:after="0"/>
            </w:pPr>
            <w:r>
              <w:rPr>
                <w:rFonts w:ascii="微软雅黑" w:hAnsi="微软雅黑" w:eastAsia="微软雅黑"/>
                <w:b w:val="0"/>
                <w:sz w:val="18"/>
              </w:rPr>
              <w:t>P90目标面积</w:t>
            </w:r>
          </w:p>
        </w:tc>
        <w:tc>
          <w:tcPr>
            <w:tcW w:w="4680" w:type="dxa"/>
            <w:tcMar>
              <w:top w:w="80" w:type="dxa"/>
              <w:left w:w="120" w:type="dxa"/>
              <w:bottom w:w="80" w:type="dxa"/>
              <w:right w:w="120" w:type="dxa"/>
            </w:tcMar>
            <w:vAlign w:val="center"/>
          </w:tcPr>
          <w:p w14:paraId="720A1695">
            <w:pPr>
              <w:spacing w:after="0"/>
            </w:pPr>
            <w:r>
              <w:rPr>
                <w:rFonts w:ascii="微软雅黑" w:hAnsi="微软雅黑" w:eastAsia="微软雅黑"/>
                <w:b w:val="0"/>
                <w:sz w:val="18"/>
              </w:rPr>
              <w:t>较大局灶红色目标水平</w:t>
            </w:r>
          </w:p>
        </w:tc>
      </w:tr>
      <w:tr w14:paraId="32D1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76A47DC">
            <w:pPr>
              <w:spacing w:after="0"/>
            </w:pPr>
            <w:r>
              <w:rPr>
                <w:rFonts w:ascii="微软雅黑" w:hAnsi="微软雅黑" w:eastAsia="微软雅黑"/>
                <w:b w:val="0"/>
                <w:sz w:val="18"/>
              </w:rPr>
              <w:t>平均红色强度</w:t>
            </w:r>
          </w:p>
        </w:tc>
        <w:tc>
          <w:tcPr>
            <w:tcW w:w="4680" w:type="dxa"/>
            <w:tcMar>
              <w:top w:w="80" w:type="dxa"/>
              <w:left w:w="120" w:type="dxa"/>
              <w:bottom w:w="80" w:type="dxa"/>
              <w:right w:w="120" w:type="dxa"/>
            </w:tcMar>
            <w:vAlign w:val="center"/>
          </w:tcPr>
          <w:p w14:paraId="73F3EBFB">
            <w:pPr>
              <w:spacing w:after="0"/>
            </w:pPr>
            <w:r>
              <w:rPr>
                <w:rFonts w:ascii="微软雅黑" w:hAnsi="微软雅黑" w:eastAsia="微软雅黑"/>
                <w:b w:val="0"/>
                <w:sz w:val="18"/>
              </w:rPr>
              <w:t>典型局灶红色程度</w:t>
            </w:r>
          </w:p>
        </w:tc>
      </w:tr>
      <w:tr w14:paraId="604C2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AB9C1D4">
            <w:pPr>
              <w:spacing w:after="0"/>
            </w:pPr>
            <w:r>
              <w:rPr>
                <w:rFonts w:ascii="微软雅黑" w:hAnsi="微软雅黑" w:eastAsia="微软雅黑"/>
                <w:b w:val="0"/>
                <w:sz w:val="18"/>
              </w:rPr>
              <w:t>P90红色强度</w:t>
            </w:r>
          </w:p>
        </w:tc>
        <w:tc>
          <w:tcPr>
            <w:tcW w:w="4680" w:type="dxa"/>
            <w:tcMar>
              <w:top w:w="80" w:type="dxa"/>
              <w:left w:w="120" w:type="dxa"/>
              <w:bottom w:w="80" w:type="dxa"/>
              <w:right w:w="120" w:type="dxa"/>
            </w:tcMar>
            <w:vAlign w:val="center"/>
          </w:tcPr>
          <w:p w14:paraId="3F7613F9">
            <w:pPr>
              <w:spacing w:after="0"/>
            </w:pPr>
            <w:r>
              <w:rPr>
                <w:rFonts w:ascii="微软雅黑" w:hAnsi="微软雅黑" w:eastAsia="微软雅黑"/>
                <w:b w:val="0"/>
                <w:sz w:val="18"/>
              </w:rPr>
              <w:t>较明显目标的红色程度</w:t>
            </w:r>
          </w:p>
        </w:tc>
      </w:tr>
      <w:tr w14:paraId="02B3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8192359">
            <w:pPr>
              <w:spacing w:after="0"/>
            </w:pPr>
            <w:r>
              <w:rPr>
                <w:rFonts w:ascii="微软雅黑" w:hAnsi="微软雅黑" w:eastAsia="微软雅黑"/>
                <w:b w:val="0"/>
                <w:sz w:val="18"/>
              </w:rPr>
              <w:t>隆起目标数量</w:t>
            </w:r>
          </w:p>
        </w:tc>
        <w:tc>
          <w:tcPr>
            <w:tcW w:w="4680" w:type="dxa"/>
            <w:tcMar>
              <w:top w:w="80" w:type="dxa"/>
              <w:left w:w="120" w:type="dxa"/>
              <w:bottom w:w="80" w:type="dxa"/>
              <w:right w:w="120" w:type="dxa"/>
            </w:tcMar>
            <w:vAlign w:val="center"/>
          </w:tcPr>
          <w:p w14:paraId="44185E1C">
            <w:pPr>
              <w:spacing w:after="0"/>
            </w:pPr>
            <w:r>
              <w:rPr>
                <w:rFonts w:ascii="微软雅黑" w:hAnsi="微软雅黑" w:eastAsia="微软雅黑"/>
                <w:b w:val="0"/>
                <w:sz w:val="18"/>
              </w:rPr>
              <w:t>伴丘疹样形态的目标数量</w:t>
            </w:r>
          </w:p>
        </w:tc>
      </w:tr>
      <w:tr w14:paraId="3F6E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56DC5E1">
            <w:pPr>
              <w:spacing w:after="0"/>
            </w:pPr>
            <w:r>
              <w:rPr>
                <w:rFonts w:ascii="微软雅黑" w:hAnsi="微软雅黑" w:eastAsia="微软雅黑"/>
                <w:b w:val="0"/>
                <w:sz w:val="18"/>
              </w:rPr>
              <w:t>隆起目标比例</w:t>
            </w:r>
          </w:p>
        </w:tc>
        <w:tc>
          <w:tcPr>
            <w:tcW w:w="4680" w:type="dxa"/>
            <w:tcMar>
              <w:top w:w="80" w:type="dxa"/>
              <w:left w:w="120" w:type="dxa"/>
              <w:bottom w:w="80" w:type="dxa"/>
              <w:right w:w="120" w:type="dxa"/>
            </w:tcMar>
            <w:vAlign w:val="center"/>
          </w:tcPr>
          <w:p w14:paraId="55904EFE">
            <w:pPr>
              <w:spacing w:after="0"/>
            </w:pPr>
            <w:r>
              <w:rPr>
                <w:rFonts w:ascii="微软雅黑" w:hAnsi="微软雅黑" w:eastAsia="微软雅黑"/>
                <w:b w:val="0"/>
                <w:sz w:val="18"/>
              </w:rPr>
              <w:t>局灶红色目标中伴隆起的比例</w:t>
            </w:r>
          </w:p>
        </w:tc>
      </w:tr>
      <w:tr w14:paraId="40BC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FC7109E">
            <w:pPr>
              <w:spacing w:after="0"/>
            </w:pPr>
            <w:r>
              <w:rPr>
                <w:rFonts w:ascii="微软雅黑" w:hAnsi="微软雅黑" w:eastAsia="微软雅黑"/>
                <w:b w:val="0"/>
                <w:sz w:val="18"/>
              </w:rPr>
              <w:t>隆起程度</w:t>
            </w:r>
          </w:p>
        </w:tc>
        <w:tc>
          <w:tcPr>
            <w:tcW w:w="4680" w:type="dxa"/>
            <w:tcMar>
              <w:top w:w="80" w:type="dxa"/>
              <w:left w:w="120" w:type="dxa"/>
              <w:bottom w:w="80" w:type="dxa"/>
              <w:right w:w="120" w:type="dxa"/>
            </w:tcMar>
            <w:vAlign w:val="center"/>
          </w:tcPr>
          <w:p w14:paraId="7A5EAD76">
            <w:pPr>
              <w:spacing w:after="0"/>
            </w:pPr>
            <w:r>
              <w:rPr>
                <w:rFonts w:ascii="微软雅黑" w:hAnsi="微软雅黑" w:eastAsia="微软雅黑"/>
                <w:b w:val="0"/>
                <w:sz w:val="18"/>
              </w:rPr>
              <w:t>丘疹样形态明显程度</w:t>
            </w:r>
          </w:p>
        </w:tc>
      </w:tr>
      <w:tr w14:paraId="2BBF9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726E726">
            <w:pPr>
              <w:spacing w:after="0"/>
            </w:pPr>
            <w:r>
              <w:rPr>
                <w:rFonts w:ascii="微软雅黑" w:hAnsi="微软雅黑" w:eastAsia="微软雅黑"/>
                <w:b w:val="0"/>
                <w:sz w:val="18"/>
              </w:rPr>
              <w:t>隆起范围</w:t>
            </w:r>
          </w:p>
        </w:tc>
        <w:tc>
          <w:tcPr>
            <w:tcW w:w="4680" w:type="dxa"/>
            <w:tcMar>
              <w:top w:w="80" w:type="dxa"/>
              <w:left w:w="120" w:type="dxa"/>
              <w:bottom w:w="80" w:type="dxa"/>
              <w:right w:w="120" w:type="dxa"/>
            </w:tcMar>
            <w:vAlign w:val="center"/>
          </w:tcPr>
          <w:p w14:paraId="1B407448">
            <w:pPr>
              <w:spacing w:after="0"/>
            </w:pPr>
            <w:r>
              <w:rPr>
                <w:rFonts w:ascii="微软雅黑" w:hAnsi="微软雅黑" w:eastAsia="微软雅黑"/>
                <w:b w:val="0"/>
                <w:sz w:val="18"/>
              </w:rPr>
              <w:t>局部形态改变范围</w:t>
            </w:r>
          </w:p>
        </w:tc>
      </w:tr>
      <w:tr w14:paraId="35DD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5286B12">
            <w:pPr>
              <w:spacing w:after="0"/>
            </w:pPr>
            <w:r>
              <w:rPr>
                <w:rFonts w:ascii="微软雅黑" w:hAnsi="微软雅黑" w:eastAsia="微软雅黑"/>
                <w:b w:val="0"/>
                <w:sz w:val="18"/>
              </w:rPr>
              <w:t>白黄中心目标数量</w:t>
            </w:r>
          </w:p>
        </w:tc>
        <w:tc>
          <w:tcPr>
            <w:tcW w:w="4680" w:type="dxa"/>
            <w:tcMar>
              <w:top w:w="80" w:type="dxa"/>
              <w:left w:w="120" w:type="dxa"/>
              <w:bottom w:w="80" w:type="dxa"/>
              <w:right w:w="120" w:type="dxa"/>
            </w:tcMar>
            <w:vAlign w:val="center"/>
          </w:tcPr>
          <w:p w14:paraId="2E321B59">
            <w:pPr>
              <w:spacing w:after="0"/>
            </w:pPr>
            <w:r>
              <w:rPr>
                <w:rFonts w:ascii="微软雅黑" w:hAnsi="微软雅黑" w:eastAsia="微软雅黑"/>
                <w:b w:val="0"/>
                <w:sz w:val="18"/>
              </w:rPr>
              <w:t>丘脓疱样目标负担</w:t>
            </w:r>
          </w:p>
        </w:tc>
      </w:tr>
      <w:tr w14:paraId="72CEE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9597406">
            <w:pPr>
              <w:spacing w:after="0"/>
            </w:pPr>
            <w:r>
              <w:rPr>
                <w:rFonts w:ascii="微软雅黑" w:hAnsi="微软雅黑" w:eastAsia="微软雅黑"/>
                <w:b w:val="0"/>
                <w:sz w:val="18"/>
              </w:rPr>
              <w:t>白黄中心面积</w:t>
            </w:r>
          </w:p>
        </w:tc>
        <w:tc>
          <w:tcPr>
            <w:tcW w:w="4680" w:type="dxa"/>
            <w:tcMar>
              <w:top w:w="80" w:type="dxa"/>
              <w:left w:w="120" w:type="dxa"/>
              <w:bottom w:w="80" w:type="dxa"/>
              <w:right w:w="120" w:type="dxa"/>
            </w:tcMar>
            <w:vAlign w:val="center"/>
          </w:tcPr>
          <w:p w14:paraId="0C970FC5">
            <w:pPr>
              <w:spacing w:after="0"/>
            </w:pPr>
            <w:r>
              <w:rPr>
                <w:rFonts w:ascii="微软雅黑" w:hAnsi="微软雅黑" w:eastAsia="微软雅黑"/>
                <w:b w:val="0"/>
                <w:sz w:val="18"/>
              </w:rPr>
              <w:t>中心白色或黄色区域大小</w:t>
            </w:r>
          </w:p>
        </w:tc>
      </w:tr>
      <w:tr w14:paraId="59CC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6D82BC0">
            <w:pPr>
              <w:spacing w:after="0"/>
            </w:pPr>
            <w:r>
              <w:rPr>
                <w:rFonts w:ascii="微软雅黑" w:hAnsi="微软雅黑" w:eastAsia="微软雅黑"/>
                <w:b w:val="0"/>
                <w:sz w:val="18"/>
              </w:rPr>
              <w:t>白黄中心置信度</w:t>
            </w:r>
          </w:p>
        </w:tc>
        <w:tc>
          <w:tcPr>
            <w:tcW w:w="4680" w:type="dxa"/>
            <w:tcMar>
              <w:top w:w="80" w:type="dxa"/>
              <w:left w:w="120" w:type="dxa"/>
              <w:bottom w:w="80" w:type="dxa"/>
              <w:right w:w="120" w:type="dxa"/>
            </w:tcMar>
            <w:vAlign w:val="center"/>
          </w:tcPr>
          <w:p w14:paraId="056303E6">
            <w:pPr>
              <w:spacing w:after="0"/>
            </w:pPr>
            <w:r>
              <w:rPr>
                <w:rFonts w:ascii="微软雅黑" w:hAnsi="微软雅黑" w:eastAsia="微软雅黑"/>
                <w:b w:val="0"/>
                <w:sz w:val="18"/>
              </w:rPr>
              <w:t>排除高光、反光及护肤品残留</w:t>
            </w:r>
          </w:p>
        </w:tc>
      </w:tr>
      <w:tr w14:paraId="778AA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967E554">
            <w:pPr>
              <w:spacing w:after="0"/>
            </w:pPr>
            <w:r>
              <w:rPr>
                <w:rFonts w:ascii="微软雅黑" w:hAnsi="微软雅黑" w:eastAsia="微软雅黑"/>
                <w:b w:val="0"/>
                <w:sz w:val="18"/>
              </w:rPr>
              <w:t>红色—隆起重叠度</w:t>
            </w:r>
          </w:p>
        </w:tc>
        <w:tc>
          <w:tcPr>
            <w:tcW w:w="4680" w:type="dxa"/>
            <w:tcMar>
              <w:top w:w="80" w:type="dxa"/>
              <w:left w:w="120" w:type="dxa"/>
              <w:bottom w:w="80" w:type="dxa"/>
              <w:right w:w="120" w:type="dxa"/>
            </w:tcMar>
            <w:vAlign w:val="center"/>
          </w:tcPr>
          <w:p w14:paraId="7D9BD0EC">
            <w:pPr>
              <w:spacing w:after="0"/>
            </w:pPr>
            <w:r>
              <w:rPr>
                <w:rFonts w:ascii="微软雅黑" w:hAnsi="微软雅黑" w:eastAsia="微软雅黑"/>
                <w:b w:val="0"/>
                <w:sz w:val="18"/>
              </w:rPr>
              <w:t>确认颜色与隆起属于同一目标</w:t>
            </w:r>
          </w:p>
        </w:tc>
      </w:tr>
      <w:tr w14:paraId="12668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371C9A0">
            <w:pPr>
              <w:spacing w:after="0"/>
            </w:pPr>
            <w:r>
              <w:rPr>
                <w:rFonts w:ascii="微软雅黑" w:hAnsi="微软雅黑" w:eastAsia="微软雅黑"/>
                <w:b w:val="0"/>
                <w:sz w:val="18"/>
              </w:rPr>
              <w:t>白黄中心—隆起重叠度</w:t>
            </w:r>
          </w:p>
        </w:tc>
        <w:tc>
          <w:tcPr>
            <w:tcW w:w="4680" w:type="dxa"/>
            <w:tcMar>
              <w:top w:w="80" w:type="dxa"/>
              <w:left w:w="120" w:type="dxa"/>
              <w:bottom w:w="80" w:type="dxa"/>
              <w:right w:w="120" w:type="dxa"/>
            </w:tcMar>
            <w:vAlign w:val="center"/>
          </w:tcPr>
          <w:p w14:paraId="6F9B5D06">
            <w:pPr>
              <w:spacing w:after="0"/>
            </w:pPr>
            <w:r>
              <w:rPr>
                <w:rFonts w:ascii="微软雅黑" w:hAnsi="微软雅黑" w:eastAsia="微软雅黑"/>
                <w:b w:val="0"/>
                <w:sz w:val="18"/>
              </w:rPr>
              <w:t>确认白黄中心位于隆起内部</w:t>
            </w:r>
          </w:p>
        </w:tc>
      </w:tr>
      <w:tr w14:paraId="36144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1D84C35">
            <w:pPr>
              <w:spacing w:after="0"/>
            </w:pPr>
            <w:r>
              <w:rPr>
                <w:rFonts w:ascii="微软雅黑" w:hAnsi="微软雅黑" w:eastAsia="微软雅黑"/>
                <w:b w:val="0"/>
                <w:sz w:val="18"/>
              </w:rPr>
              <w:t>红褐混合比例</w:t>
            </w:r>
          </w:p>
        </w:tc>
        <w:tc>
          <w:tcPr>
            <w:tcW w:w="4680" w:type="dxa"/>
            <w:tcMar>
              <w:top w:w="80" w:type="dxa"/>
              <w:left w:w="120" w:type="dxa"/>
              <w:bottom w:w="80" w:type="dxa"/>
              <w:right w:w="120" w:type="dxa"/>
            </w:tcMar>
            <w:vAlign w:val="center"/>
          </w:tcPr>
          <w:p w14:paraId="7716A74E">
            <w:pPr>
              <w:spacing w:after="0"/>
            </w:pPr>
            <w:r>
              <w:rPr>
                <w:rFonts w:ascii="微软雅黑" w:hAnsi="微软雅黑" w:eastAsia="微软雅黑"/>
                <w:b w:val="0"/>
                <w:sz w:val="18"/>
              </w:rPr>
              <w:t>是否同时存在褐色色差</w:t>
            </w:r>
          </w:p>
        </w:tc>
      </w:tr>
      <w:tr w14:paraId="592C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96C8663">
            <w:pPr>
              <w:spacing w:after="0"/>
            </w:pPr>
            <w:r>
              <w:rPr>
                <w:rFonts w:ascii="微软雅黑" w:hAnsi="微软雅黑" w:eastAsia="微软雅黑"/>
                <w:b w:val="0"/>
                <w:sz w:val="18"/>
              </w:rPr>
              <w:t>聚集程度</w:t>
            </w:r>
          </w:p>
        </w:tc>
        <w:tc>
          <w:tcPr>
            <w:tcW w:w="4680" w:type="dxa"/>
            <w:tcMar>
              <w:top w:w="80" w:type="dxa"/>
              <w:left w:w="120" w:type="dxa"/>
              <w:bottom w:w="80" w:type="dxa"/>
              <w:right w:w="120" w:type="dxa"/>
            </w:tcMar>
            <w:vAlign w:val="center"/>
          </w:tcPr>
          <w:p w14:paraId="0BBDD747">
            <w:pPr>
              <w:spacing w:after="0"/>
            </w:pPr>
            <w:r>
              <w:rPr>
                <w:rFonts w:ascii="微软雅黑" w:hAnsi="微软雅黑" w:eastAsia="微软雅黑"/>
                <w:b w:val="0"/>
                <w:sz w:val="18"/>
              </w:rPr>
              <w:t>是否在局部成簇分布</w:t>
            </w:r>
          </w:p>
        </w:tc>
      </w:tr>
      <w:tr w14:paraId="0A34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1E99513">
            <w:pPr>
              <w:spacing w:after="0"/>
            </w:pPr>
            <w:r>
              <w:rPr>
                <w:rFonts w:ascii="微软雅黑" w:hAnsi="微软雅黑" w:eastAsia="微软雅黑"/>
                <w:b w:val="0"/>
                <w:sz w:val="18"/>
              </w:rPr>
              <w:t>分区分布</w:t>
            </w:r>
          </w:p>
        </w:tc>
        <w:tc>
          <w:tcPr>
            <w:tcW w:w="4680" w:type="dxa"/>
            <w:tcMar>
              <w:top w:w="80" w:type="dxa"/>
              <w:left w:w="120" w:type="dxa"/>
              <w:bottom w:w="80" w:type="dxa"/>
              <w:right w:w="120" w:type="dxa"/>
            </w:tcMar>
            <w:vAlign w:val="center"/>
          </w:tcPr>
          <w:p w14:paraId="255C8F62">
            <w:pPr>
              <w:spacing w:after="0"/>
            </w:pPr>
            <w:r>
              <w:rPr>
                <w:rFonts w:ascii="微软雅黑" w:hAnsi="微软雅黑" w:eastAsia="微软雅黑"/>
                <w:b w:val="0"/>
                <w:sz w:val="18"/>
              </w:rPr>
              <w:t>主要受累区域</w:t>
            </w:r>
          </w:p>
        </w:tc>
      </w:tr>
      <w:tr w14:paraId="5DC0C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289DD7F">
            <w:pPr>
              <w:spacing w:after="0"/>
            </w:pPr>
            <w:r>
              <w:rPr>
                <w:rFonts w:ascii="微软雅黑" w:hAnsi="微软雅黑" w:eastAsia="微软雅黑"/>
                <w:b w:val="0"/>
                <w:sz w:val="18"/>
              </w:rPr>
              <w:t>左右不对称性</w:t>
            </w:r>
          </w:p>
        </w:tc>
        <w:tc>
          <w:tcPr>
            <w:tcW w:w="4680" w:type="dxa"/>
            <w:tcMar>
              <w:top w:w="80" w:type="dxa"/>
              <w:left w:w="120" w:type="dxa"/>
              <w:bottom w:w="80" w:type="dxa"/>
              <w:right w:w="120" w:type="dxa"/>
            </w:tcMar>
            <w:vAlign w:val="center"/>
          </w:tcPr>
          <w:p w14:paraId="671E8172">
            <w:pPr>
              <w:spacing w:after="0"/>
            </w:pPr>
            <w:r>
              <w:rPr>
                <w:rFonts w:ascii="微软雅黑" w:hAnsi="微软雅黑" w:eastAsia="微软雅黑"/>
                <w:b w:val="0"/>
                <w:sz w:val="18"/>
              </w:rPr>
              <w:t>是否存在明显单侧集中</w:t>
            </w:r>
          </w:p>
        </w:tc>
      </w:tr>
    </w:tbl>
    <w:p w14:paraId="6E905668"/>
    <w:p w14:paraId="6E556777">
      <w:pPr>
        <w:pStyle w:val="4"/>
      </w:pPr>
      <w:r>
        <w:t>4.5 建议评分组成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83B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5B78D8F4">
            <w:pPr>
              <w:spacing w:after="0"/>
            </w:pPr>
            <w:r>
              <w:rPr>
                <w:rFonts w:ascii="微软雅黑" w:hAnsi="微软雅黑" w:eastAsia="微软雅黑"/>
                <w:b/>
                <w:sz w:val="18"/>
              </w:rPr>
              <w:t>指标组</w:t>
            </w:r>
          </w:p>
        </w:tc>
        <w:tc>
          <w:tcPr>
            <w:tcW w:w="4680" w:type="dxa"/>
            <w:shd w:val="clear" w:color="auto" w:fill="E8EEF5"/>
            <w:tcMar>
              <w:top w:w="80" w:type="dxa"/>
              <w:left w:w="120" w:type="dxa"/>
              <w:bottom w:w="80" w:type="dxa"/>
              <w:right w:w="120" w:type="dxa"/>
            </w:tcMar>
            <w:vAlign w:val="center"/>
          </w:tcPr>
          <w:p w14:paraId="1B1B5C79">
            <w:pPr>
              <w:spacing w:after="0"/>
            </w:pPr>
            <w:r>
              <w:rPr>
                <w:rFonts w:ascii="微软雅黑" w:hAnsi="微软雅黑" w:eastAsia="微软雅黑"/>
                <w:b/>
                <w:sz w:val="18"/>
              </w:rPr>
              <w:t>初始医学权重</w:t>
            </w:r>
          </w:p>
        </w:tc>
      </w:tr>
      <w:tr w14:paraId="4983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B233C1F">
            <w:pPr>
              <w:spacing w:after="0"/>
            </w:pPr>
            <w:r>
              <w:rPr>
                <w:rFonts w:ascii="微软雅黑" w:hAnsi="微软雅黑" w:eastAsia="微软雅黑"/>
                <w:b w:val="0"/>
                <w:sz w:val="18"/>
              </w:rPr>
              <w:t>目标数量、密度及面积</w:t>
            </w:r>
          </w:p>
        </w:tc>
        <w:tc>
          <w:tcPr>
            <w:tcW w:w="4680" w:type="dxa"/>
            <w:tcMar>
              <w:top w:w="80" w:type="dxa"/>
              <w:left w:w="120" w:type="dxa"/>
              <w:bottom w:w="80" w:type="dxa"/>
              <w:right w:w="120" w:type="dxa"/>
            </w:tcMar>
            <w:vAlign w:val="center"/>
          </w:tcPr>
          <w:p w14:paraId="6363914C">
            <w:pPr>
              <w:spacing w:after="0"/>
            </w:pPr>
            <w:r>
              <w:rPr>
                <w:rFonts w:ascii="微软雅黑" w:hAnsi="微软雅黑" w:eastAsia="微软雅黑"/>
                <w:b w:val="0"/>
                <w:sz w:val="18"/>
              </w:rPr>
              <w:t>25%</w:t>
            </w:r>
          </w:p>
        </w:tc>
      </w:tr>
      <w:tr w14:paraId="7571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CBADA67">
            <w:pPr>
              <w:spacing w:after="0"/>
            </w:pPr>
            <w:r>
              <w:rPr>
                <w:rFonts w:ascii="微软雅黑" w:hAnsi="微软雅黑" w:eastAsia="微软雅黑"/>
                <w:b w:val="0"/>
                <w:sz w:val="18"/>
              </w:rPr>
              <w:t>红色强度</w:t>
            </w:r>
          </w:p>
        </w:tc>
        <w:tc>
          <w:tcPr>
            <w:tcW w:w="4680" w:type="dxa"/>
            <w:tcMar>
              <w:top w:w="80" w:type="dxa"/>
              <w:left w:w="120" w:type="dxa"/>
              <w:bottom w:w="80" w:type="dxa"/>
              <w:right w:w="120" w:type="dxa"/>
            </w:tcMar>
            <w:vAlign w:val="center"/>
          </w:tcPr>
          <w:p w14:paraId="26F8DE08">
            <w:pPr>
              <w:spacing w:after="0"/>
            </w:pPr>
            <w:r>
              <w:rPr>
                <w:rFonts w:ascii="微软雅黑" w:hAnsi="微软雅黑" w:eastAsia="微软雅黑"/>
                <w:b w:val="0"/>
                <w:sz w:val="18"/>
              </w:rPr>
              <w:t>20%</w:t>
            </w:r>
          </w:p>
        </w:tc>
      </w:tr>
      <w:tr w14:paraId="3184C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5C0020D">
            <w:pPr>
              <w:spacing w:after="0"/>
            </w:pPr>
            <w:r>
              <w:rPr>
                <w:rFonts w:ascii="微软雅黑" w:hAnsi="微软雅黑" w:eastAsia="微软雅黑"/>
                <w:b w:val="0"/>
                <w:sz w:val="18"/>
              </w:rPr>
              <w:t>局部隆起形态</w:t>
            </w:r>
          </w:p>
        </w:tc>
        <w:tc>
          <w:tcPr>
            <w:tcW w:w="4680" w:type="dxa"/>
            <w:tcMar>
              <w:top w:w="80" w:type="dxa"/>
              <w:left w:w="120" w:type="dxa"/>
              <w:bottom w:w="80" w:type="dxa"/>
              <w:right w:w="120" w:type="dxa"/>
            </w:tcMar>
            <w:vAlign w:val="center"/>
          </w:tcPr>
          <w:p w14:paraId="0C5C8F6B">
            <w:pPr>
              <w:spacing w:after="0"/>
            </w:pPr>
            <w:r>
              <w:rPr>
                <w:rFonts w:ascii="微软雅黑" w:hAnsi="微软雅黑" w:eastAsia="微软雅黑"/>
                <w:b w:val="0"/>
                <w:sz w:val="18"/>
              </w:rPr>
              <w:t>25%</w:t>
            </w:r>
          </w:p>
        </w:tc>
      </w:tr>
      <w:tr w14:paraId="3DCC0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40B2B14">
            <w:pPr>
              <w:spacing w:after="0"/>
            </w:pPr>
            <w:r>
              <w:rPr>
                <w:rFonts w:ascii="微软雅黑" w:hAnsi="微软雅黑" w:eastAsia="微软雅黑"/>
                <w:b w:val="0"/>
                <w:sz w:val="18"/>
              </w:rPr>
              <w:t>白黄中心及丘脓疱样形态</w:t>
            </w:r>
          </w:p>
        </w:tc>
        <w:tc>
          <w:tcPr>
            <w:tcW w:w="4680" w:type="dxa"/>
            <w:tcMar>
              <w:top w:w="80" w:type="dxa"/>
              <w:left w:w="120" w:type="dxa"/>
              <w:bottom w:w="80" w:type="dxa"/>
              <w:right w:w="120" w:type="dxa"/>
            </w:tcMar>
            <w:vAlign w:val="center"/>
          </w:tcPr>
          <w:p w14:paraId="4E9CCA70">
            <w:pPr>
              <w:spacing w:after="0"/>
            </w:pPr>
            <w:r>
              <w:rPr>
                <w:rFonts w:ascii="微软雅黑" w:hAnsi="微软雅黑" w:eastAsia="微软雅黑"/>
                <w:b w:val="0"/>
                <w:sz w:val="18"/>
              </w:rPr>
              <w:t>15%</w:t>
            </w:r>
          </w:p>
        </w:tc>
      </w:tr>
      <w:tr w14:paraId="6891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BFF9E2D">
            <w:pPr>
              <w:spacing w:after="0"/>
            </w:pPr>
            <w:r>
              <w:rPr>
                <w:rFonts w:ascii="微软雅黑" w:hAnsi="微软雅黑" w:eastAsia="微软雅黑"/>
                <w:b w:val="0"/>
                <w:sz w:val="18"/>
              </w:rPr>
              <w:t>目标边界和独立性</w:t>
            </w:r>
          </w:p>
        </w:tc>
        <w:tc>
          <w:tcPr>
            <w:tcW w:w="4680" w:type="dxa"/>
            <w:tcMar>
              <w:top w:w="80" w:type="dxa"/>
              <w:left w:w="120" w:type="dxa"/>
              <w:bottom w:w="80" w:type="dxa"/>
              <w:right w:w="120" w:type="dxa"/>
            </w:tcMar>
            <w:vAlign w:val="center"/>
          </w:tcPr>
          <w:p w14:paraId="474BB53F">
            <w:pPr>
              <w:spacing w:after="0"/>
            </w:pPr>
            <w:r>
              <w:rPr>
                <w:rFonts w:ascii="微软雅黑" w:hAnsi="微软雅黑" w:eastAsia="微软雅黑"/>
                <w:b w:val="0"/>
                <w:sz w:val="18"/>
              </w:rPr>
              <w:t>10%</w:t>
            </w:r>
          </w:p>
        </w:tc>
      </w:tr>
      <w:tr w14:paraId="22C5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B59B1FA">
            <w:pPr>
              <w:spacing w:after="0"/>
            </w:pPr>
            <w:r>
              <w:rPr>
                <w:rFonts w:ascii="微软雅黑" w:hAnsi="微软雅黑" w:eastAsia="微软雅黑"/>
                <w:b w:val="0"/>
                <w:sz w:val="18"/>
              </w:rPr>
              <w:t>分区及聚集程度</w:t>
            </w:r>
          </w:p>
        </w:tc>
        <w:tc>
          <w:tcPr>
            <w:tcW w:w="4680" w:type="dxa"/>
            <w:tcMar>
              <w:top w:w="80" w:type="dxa"/>
              <w:left w:w="120" w:type="dxa"/>
              <w:bottom w:w="80" w:type="dxa"/>
              <w:right w:w="120" w:type="dxa"/>
            </w:tcMar>
            <w:vAlign w:val="center"/>
          </w:tcPr>
          <w:p w14:paraId="7072D029">
            <w:pPr>
              <w:spacing w:after="0"/>
            </w:pPr>
            <w:r>
              <w:rPr>
                <w:rFonts w:ascii="微软雅黑" w:hAnsi="微软雅黑" w:eastAsia="微软雅黑"/>
                <w:b w:val="0"/>
                <w:sz w:val="18"/>
              </w:rPr>
              <w:t>5%</w:t>
            </w:r>
          </w:p>
        </w:tc>
      </w:tr>
    </w:tbl>
    <w:p w14:paraId="53DAFD4F"/>
    <w:p w14:paraId="0AD0E498">
      <w:pPr>
        <w:pStyle w:val="4"/>
      </w:pPr>
      <w:r>
        <w:t>4.6 可反映的临床问题</w:t>
      </w:r>
    </w:p>
    <w:p w14:paraId="46D352B2">
      <w:r>
        <w:rPr>
          <w:rFonts w:ascii="微软雅黑" w:hAnsi="微软雅黑" w:eastAsia="微软雅黑"/>
        </w:rPr>
        <w:t>可以提示：</w:t>
      </w:r>
    </w:p>
    <w:p w14:paraId="74864FD4">
      <w:pPr>
        <w:pStyle w:val="16"/>
      </w:pPr>
      <w:r>
        <w:rPr>
          <w:rFonts w:ascii="微软雅黑" w:hAnsi="微软雅黑" w:eastAsia="微软雅黑"/>
        </w:rPr>
        <w:t>局部活动性炎症样红色目标；</w:t>
      </w:r>
    </w:p>
    <w:p w14:paraId="40CBC452">
      <w:pPr>
        <w:pStyle w:val="16"/>
      </w:pPr>
      <w:r>
        <w:rPr>
          <w:rFonts w:ascii="微软雅黑" w:hAnsi="微软雅黑" w:eastAsia="微软雅黑"/>
        </w:rPr>
        <w:t>平坦局灶红斑样目标；</w:t>
      </w:r>
    </w:p>
    <w:p w14:paraId="172145B8">
      <w:pPr>
        <w:pStyle w:val="16"/>
      </w:pPr>
      <w:r>
        <w:rPr>
          <w:rFonts w:ascii="微软雅黑" w:hAnsi="微软雅黑" w:eastAsia="微软雅黑"/>
        </w:rPr>
        <w:t>非明确毛囊性的红色丘疹样表型；</w:t>
      </w:r>
    </w:p>
    <w:p w14:paraId="7AB7DB74">
      <w:pPr>
        <w:pStyle w:val="16"/>
      </w:pPr>
      <w:r>
        <w:rPr>
          <w:rFonts w:ascii="微软雅黑" w:hAnsi="微软雅黑" w:eastAsia="微软雅黑"/>
        </w:rPr>
        <w:t>非明确毛囊性的丘脓疱样表型；</w:t>
      </w:r>
    </w:p>
    <w:p w14:paraId="1F3AD97B">
      <w:pPr>
        <w:pStyle w:val="16"/>
      </w:pPr>
      <w:r>
        <w:rPr>
          <w:rFonts w:ascii="微软雅黑" w:hAnsi="微软雅黑" w:eastAsia="微软雅黑"/>
        </w:rPr>
        <w:t>红褐混合的炎症后色差；</w:t>
      </w:r>
    </w:p>
    <w:p w14:paraId="307ED509">
      <w:pPr>
        <w:pStyle w:val="16"/>
      </w:pPr>
      <w:r>
        <w:rPr>
          <w:rFonts w:ascii="微软雅黑" w:hAnsi="微软雅黑" w:eastAsia="微软雅黑"/>
        </w:rPr>
        <w:t>局部非特异性炎症反应。</w:t>
      </w:r>
    </w:p>
    <w:p w14:paraId="5E5D1F91">
      <w:r>
        <w:rPr>
          <w:rFonts w:ascii="微软雅黑" w:hAnsi="微软雅黑" w:eastAsia="微软雅黑"/>
        </w:rPr>
        <w:t>不能单独确定：</w:t>
      </w:r>
    </w:p>
    <w:p w14:paraId="3E9CBDBE">
      <w:pPr>
        <w:pStyle w:val="16"/>
      </w:pPr>
      <w:r>
        <w:rPr>
          <w:rFonts w:ascii="微软雅黑" w:hAnsi="微软雅黑" w:eastAsia="微软雅黑"/>
        </w:rPr>
        <w:t>痤疮；</w:t>
      </w:r>
    </w:p>
    <w:p w14:paraId="3D73C4D5">
      <w:pPr>
        <w:pStyle w:val="16"/>
      </w:pPr>
      <w:r>
        <w:rPr>
          <w:rFonts w:ascii="微软雅黑" w:hAnsi="微软雅黑" w:eastAsia="微软雅黑"/>
        </w:rPr>
        <w:t>毛囊炎；</w:t>
      </w:r>
    </w:p>
    <w:p w14:paraId="6DFB8471">
      <w:pPr>
        <w:pStyle w:val="16"/>
      </w:pPr>
      <w:r>
        <w:rPr>
          <w:rFonts w:ascii="微软雅黑" w:hAnsi="微软雅黑" w:eastAsia="微软雅黑"/>
        </w:rPr>
        <w:t>玫瑰痤疮丘疹脓疱型；</w:t>
      </w:r>
    </w:p>
    <w:p w14:paraId="74F95631">
      <w:pPr>
        <w:pStyle w:val="16"/>
      </w:pPr>
      <w:r>
        <w:rPr>
          <w:rFonts w:ascii="微软雅黑" w:hAnsi="微软雅黑" w:eastAsia="微软雅黑"/>
        </w:rPr>
        <w:t>口周皮炎；</w:t>
      </w:r>
    </w:p>
    <w:p w14:paraId="496007C0">
      <w:pPr>
        <w:pStyle w:val="16"/>
      </w:pPr>
      <w:r>
        <w:rPr>
          <w:rFonts w:ascii="微软雅黑" w:hAnsi="微软雅黑" w:eastAsia="微软雅黑"/>
        </w:rPr>
        <w:t>过敏性或刺激性皮炎；</w:t>
      </w:r>
    </w:p>
    <w:p w14:paraId="5E05902B">
      <w:pPr>
        <w:pStyle w:val="16"/>
      </w:pPr>
      <w:r>
        <w:rPr>
          <w:rFonts w:ascii="微软雅黑" w:hAnsi="微软雅黑" w:eastAsia="微软雅黑"/>
        </w:rPr>
        <w:t>具体炎症病因。</w:t>
      </w:r>
    </w:p>
    <w:p w14:paraId="4A5B025F">
      <w:pPr>
        <w:pStyle w:val="4"/>
      </w:pPr>
      <w:r>
        <w:t>4.7 报告示例</w:t>
      </w:r>
    </w:p>
    <w:p w14:paraId="7C1459BA">
      <w:pPr>
        <w:pStyle w:val="5"/>
      </w:pPr>
      <w:r>
        <w:t>局灶性炎症样红色评分：54分，中度</w:t>
      </w:r>
    </w:p>
    <w:p w14:paraId="619E2794">
      <w:r>
        <w:rPr>
          <w:rFonts w:ascii="微软雅黑" w:hAnsi="微软雅黑" w:eastAsia="微软雅黑"/>
        </w:rPr>
        <w:t>本次共检测到37个非明确毛囊性的局灶红色目标，主要集中于双侧面颊和口周。</w:t>
      </w:r>
    </w:p>
    <w:p w14:paraId="2CCBD4D1">
      <w:r>
        <w:rPr>
          <w:rFonts w:ascii="微软雅黑" w:hAnsi="微软雅黑" w:eastAsia="微软雅黑"/>
        </w:rPr>
        <w:t>其中：</w:t>
      </w:r>
    </w:p>
    <w:p w14:paraId="724F1DB7">
      <w:pPr>
        <w:pStyle w:val="16"/>
      </w:pPr>
      <w:r>
        <w:rPr>
          <w:rFonts w:ascii="微软雅黑" w:hAnsi="微软雅黑" w:eastAsia="微软雅黑"/>
        </w:rPr>
        <w:t>平坦局灶红斑样目标：22个；</w:t>
      </w:r>
    </w:p>
    <w:p w14:paraId="33A9AB38">
      <w:pPr>
        <w:pStyle w:val="16"/>
      </w:pPr>
      <w:r>
        <w:rPr>
          <w:rFonts w:ascii="微软雅黑" w:hAnsi="微软雅黑" w:eastAsia="微软雅黑"/>
        </w:rPr>
        <w:t>红色丘疹样目标：11个；</w:t>
      </w:r>
    </w:p>
    <w:p w14:paraId="17ADAD60">
      <w:pPr>
        <w:pStyle w:val="16"/>
      </w:pPr>
      <w:r>
        <w:rPr>
          <w:rFonts w:ascii="微软雅黑" w:hAnsi="微软雅黑" w:eastAsia="微软雅黑"/>
        </w:rPr>
        <w:t>丘脓疱样目标：4个。</w:t>
      </w:r>
    </w:p>
    <w:p w14:paraId="1F3CCE5C">
      <w:r>
        <w:rPr>
          <w:rFonts w:ascii="微软雅黑" w:hAnsi="微软雅黑" w:eastAsia="微软雅黑"/>
        </w:rPr>
        <w:t>部分平坦红色目标同时伴轻度褐色色差，提示除当前活动性炎症样改变外，还存在一定红褐混合印记样外观。</w:t>
      </w:r>
    </w:p>
    <w:p w14:paraId="721EC6B8">
      <w:r>
        <w:rPr>
          <w:rFonts w:ascii="微软雅黑" w:hAnsi="微软雅黑" w:eastAsia="微软雅黑"/>
        </w:rPr>
        <w:t>本结果提示中度局灶性炎症样红色负担。由于多种皮肤问题均可能表现为局灶红斑、丘疹或丘脓疱样目标，本结果不能单独确定具体疾病。</w:t>
      </w:r>
    </w:p>
    <w:p w14:paraId="6B38674E">
      <w:pPr>
        <w:pStyle w:val="3"/>
      </w:pPr>
      <w:r>
        <w:t>五、线状血管扩张样表型报告</w:t>
      </w:r>
    </w:p>
    <w:p w14:paraId="778A87D9">
      <w:pPr>
        <w:pStyle w:val="4"/>
      </w:pPr>
      <w:r>
        <w:t>5.1 检测目标</w:t>
      </w:r>
    </w:p>
    <w:p w14:paraId="570B6397">
      <w:r>
        <w:rPr>
          <w:rFonts w:ascii="微软雅黑" w:hAnsi="微软雅黑" w:eastAsia="微软雅黑"/>
        </w:rPr>
        <w:t>识别面部的红色线状、分支状、网状或放射状结构。</w:t>
      </w:r>
    </w:p>
    <w:p w14:paraId="79EF8966">
      <w:r>
        <w:rPr>
          <w:rFonts w:ascii="微软雅黑" w:hAnsi="微软雅黑" w:eastAsia="微软雅黑"/>
        </w:rPr>
        <w:t>主要提示：</w:t>
      </w:r>
    </w:p>
    <w:p w14:paraId="37C5BCF7">
      <w:pPr>
        <w:spacing w:before="80" w:after="160"/>
        <w:ind w:left="360"/>
      </w:pPr>
      <w:r>
        <w:rPr>
          <w:rFonts w:ascii="微软雅黑" w:hAnsi="微软雅黑" w:eastAsia="微软雅黑"/>
          <w:b/>
        </w:rPr>
        <w:t>浅表线状血管扩张样表型。</w:t>
      </w:r>
    </w:p>
    <w:p w14:paraId="364CA2E7">
      <w:pPr>
        <w:pStyle w:val="4"/>
      </w:pPr>
      <w:r>
        <w:t>5.2 使用的检测结果</w:t>
      </w:r>
    </w:p>
    <w:p w14:paraId="656B1553">
      <w:pPr>
        <w:pStyle w:val="16"/>
      </w:pPr>
      <w:r>
        <w:rPr>
          <w:rFonts w:ascii="微软雅黑" w:hAnsi="微软雅黑" w:eastAsia="微软雅黑"/>
        </w:rPr>
        <w:t>VISIA红色区中的线状红色结构；</w:t>
      </w:r>
    </w:p>
    <w:p w14:paraId="4B4DD7B8">
      <w:pPr>
        <w:pStyle w:val="16"/>
      </w:pPr>
      <w:r>
        <w:rPr>
          <w:rFonts w:ascii="微软雅黑" w:hAnsi="微软雅黑" w:eastAsia="微软雅黑"/>
        </w:rPr>
        <w:t>标准白光图像中的线状红色结构；</w:t>
      </w:r>
    </w:p>
    <w:p w14:paraId="792B63B3">
      <w:pPr>
        <w:pStyle w:val="16"/>
      </w:pPr>
      <w:r>
        <w:rPr>
          <w:rFonts w:ascii="微软雅黑" w:hAnsi="微软雅黑" w:eastAsia="微软雅黑"/>
        </w:rPr>
        <w:t>多角度照片；</w:t>
      </w:r>
    </w:p>
    <w:p w14:paraId="0095C37F">
      <w:pPr>
        <w:pStyle w:val="16"/>
      </w:pPr>
      <w:r>
        <w:rPr>
          <w:rFonts w:ascii="微软雅黑" w:hAnsi="微软雅黑" w:eastAsia="微软雅黑"/>
        </w:rPr>
        <w:t>面部分区；</w:t>
      </w:r>
    </w:p>
    <w:p w14:paraId="5D31E1F9">
      <w:pPr>
        <w:pStyle w:val="16"/>
      </w:pPr>
      <w:r>
        <w:rPr>
          <w:rFonts w:ascii="微软雅黑" w:hAnsi="微软雅黑" w:eastAsia="微软雅黑"/>
        </w:rPr>
        <w:t>弥漫性背景泛红结果。</w:t>
      </w:r>
    </w:p>
    <w:p w14:paraId="14D8214A">
      <w:r>
        <w:rPr>
          <w:rFonts w:ascii="微软雅黑" w:hAnsi="微软雅黑" w:eastAsia="微软雅黑"/>
        </w:rPr>
        <w:t>紫质、毛孔和局部隆起不作为该报告的主要评价依据。</w:t>
      </w:r>
    </w:p>
    <w:p w14:paraId="2FA30D59">
      <w:pPr>
        <w:pStyle w:val="4"/>
      </w:pPr>
      <w:r>
        <w:t>5.3 主要检测区域</w:t>
      </w:r>
    </w:p>
    <w:p w14:paraId="7A87FA51">
      <w:r>
        <w:rPr>
          <w:rFonts w:ascii="微软雅黑" w:hAnsi="微软雅黑" w:eastAsia="微软雅黑"/>
        </w:rPr>
        <w:t>分别评价：</w:t>
      </w:r>
    </w:p>
    <w:p w14:paraId="6AE8BCC0">
      <w:pPr>
        <w:pStyle w:val="16"/>
      </w:pPr>
      <w:r>
        <w:rPr>
          <w:rFonts w:ascii="微软雅黑" w:hAnsi="微软雅黑" w:eastAsia="微软雅黑"/>
        </w:rPr>
        <w:t>鼻翼及鼻旁；</w:t>
      </w:r>
    </w:p>
    <w:p w14:paraId="6ABFB2E8">
      <w:pPr>
        <w:pStyle w:val="16"/>
      </w:pPr>
      <w:r>
        <w:rPr>
          <w:rFonts w:ascii="微软雅黑" w:hAnsi="微软雅黑" w:eastAsia="微软雅黑"/>
        </w:rPr>
        <w:t>左右面颊；</w:t>
      </w:r>
    </w:p>
    <w:p w14:paraId="2C4284F7">
      <w:pPr>
        <w:pStyle w:val="16"/>
      </w:pPr>
      <w:r>
        <w:rPr>
          <w:rFonts w:ascii="微软雅黑" w:hAnsi="微软雅黑" w:eastAsia="微软雅黑"/>
        </w:rPr>
        <w:t>左右颧部；</w:t>
      </w:r>
    </w:p>
    <w:p w14:paraId="2BF4EC3E">
      <w:pPr>
        <w:pStyle w:val="16"/>
      </w:pPr>
      <w:r>
        <w:rPr>
          <w:rFonts w:ascii="微软雅黑" w:hAnsi="微软雅黑" w:eastAsia="微软雅黑"/>
        </w:rPr>
        <w:t>额部；</w:t>
      </w:r>
    </w:p>
    <w:p w14:paraId="2B6A99B3">
      <w:pPr>
        <w:pStyle w:val="16"/>
      </w:pPr>
      <w:r>
        <w:rPr>
          <w:rFonts w:ascii="微软雅黑" w:hAnsi="微软雅黑" w:eastAsia="微软雅黑"/>
        </w:rPr>
        <w:t>眼周；</w:t>
      </w:r>
    </w:p>
    <w:p w14:paraId="3E5449EE">
      <w:pPr>
        <w:pStyle w:val="16"/>
      </w:pPr>
      <w:r>
        <w:rPr>
          <w:rFonts w:ascii="微软雅黑" w:hAnsi="微软雅黑" w:eastAsia="微软雅黑"/>
        </w:rPr>
        <w:t>下颌。</w:t>
      </w:r>
    </w:p>
    <w:p w14:paraId="58076AAA">
      <w:pPr>
        <w:pStyle w:val="4"/>
      </w:pPr>
      <w:r>
        <w:t>5.4 需要检测的指标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405F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739C187E">
            <w:pPr>
              <w:spacing w:after="0"/>
            </w:pPr>
            <w:r>
              <w:rPr>
                <w:rFonts w:ascii="微软雅黑" w:hAnsi="微软雅黑" w:eastAsia="微软雅黑"/>
                <w:b/>
                <w:sz w:val="18"/>
              </w:rPr>
              <w:t>指标</w:t>
            </w:r>
          </w:p>
        </w:tc>
        <w:tc>
          <w:tcPr>
            <w:tcW w:w="4680" w:type="dxa"/>
            <w:shd w:val="clear" w:color="auto" w:fill="E8EEF5"/>
            <w:tcMar>
              <w:top w:w="80" w:type="dxa"/>
              <w:left w:w="120" w:type="dxa"/>
              <w:bottom w:w="80" w:type="dxa"/>
              <w:right w:w="120" w:type="dxa"/>
            </w:tcMar>
            <w:vAlign w:val="center"/>
          </w:tcPr>
          <w:p w14:paraId="56FD54F2">
            <w:pPr>
              <w:spacing w:after="0"/>
            </w:pPr>
            <w:r>
              <w:rPr>
                <w:rFonts w:ascii="微软雅黑" w:hAnsi="微软雅黑" w:eastAsia="微软雅黑"/>
                <w:b/>
                <w:sz w:val="18"/>
              </w:rPr>
              <w:t>医学意义</w:t>
            </w:r>
          </w:p>
        </w:tc>
      </w:tr>
      <w:tr w14:paraId="48D2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3D54068">
            <w:pPr>
              <w:spacing w:after="0"/>
            </w:pPr>
            <w:r>
              <w:rPr>
                <w:rFonts w:ascii="微软雅黑" w:hAnsi="微软雅黑" w:eastAsia="微软雅黑"/>
                <w:b w:val="0"/>
                <w:sz w:val="18"/>
              </w:rPr>
              <w:t>线状血管样目标数量</w:t>
            </w:r>
          </w:p>
        </w:tc>
        <w:tc>
          <w:tcPr>
            <w:tcW w:w="4680" w:type="dxa"/>
            <w:tcMar>
              <w:top w:w="80" w:type="dxa"/>
              <w:left w:w="120" w:type="dxa"/>
              <w:bottom w:w="80" w:type="dxa"/>
              <w:right w:w="120" w:type="dxa"/>
            </w:tcMar>
            <w:vAlign w:val="center"/>
          </w:tcPr>
          <w:p w14:paraId="6E6388B9">
            <w:pPr>
              <w:spacing w:after="0"/>
            </w:pPr>
            <w:r>
              <w:rPr>
                <w:rFonts w:ascii="微软雅黑" w:hAnsi="微软雅黑" w:eastAsia="微软雅黑"/>
                <w:b w:val="0"/>
                <w:sz w:val="18"/>
              </w:rPr>
              <w:t>独立线状红色结构数量</w:t>
            </w:r>
          </w:p>
        </w:tc>
      </w:tr>
      <w:tr w14:paraId="7193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0844FDD">
            <w:pPr>
              <w:spacing w:after="0"/>
            </w:pPr>
            <w:r>
              <w:rPr>
                <w:rFonts w:ascii="微软雅黑" w:hAnsi="微软雅黑" w:eastAsia="微软雅黑"/>
                <w:b w:val="0"/>
                <w:sz w:val="18"/>
              </w:rPr>
              <w:t>线状结构总长度</w:t>
            </w:r>
          </w:p>
        </w:tc>
        <w:tc>
          <w:tcPr>
            <w:tcW w:w="4680" w:type="dxa"/>
            <w:tcMar>
              <w:top w:w="80" w:type="dxa"/>
              <w:left w:w="120" w:type="dxa"/>
              <w:bottom w:w="80" w:type="dxa"/>
              <w:right w:w="120" w:type="dxa"/>
            </w:tcMar>
            <w:vAlign w:val="center"/>
          </w:tcPr>
          <w:p w14:paraId="7EDD1934">
            <w:pPr>
              <w:spacing w:after="0"/>
            </w:pPr>
            <w:r>
              <w:rPr>
                <w:rFonts w:ascii="微软雅黑" w:hAnsi="微软雅黑" w:eastAsia="微软雅黑"/>
                <w:b w:val="0"/>
                <w:sz w:val="18"/>
              </w:rPr>
              <w:t>血管样线条总体负担</w:t>
            </w:r>
          </w:p>
        </w:tc>
      </w:tr>
      <w:tr w14:paraId="4DC9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A41E2A3">
            <w:pPr>
              <w:spacing w:after="0"/>
            </w:pPr>
            <w:r>
              <w:rPr>
                <w:rFonts w:ascii="微软雅黑" w:hAnsi="微软雅黑" w:eastAsia="微软雅黑"/>
                <w:b w:val="0"/>
                <w:sz w:val="18"/>
              </w:rPr>
              <w:t>线长度密度</w:t>
            </w:r>
          </w:p>
        </w:tc>
        <w:tc>
          <w:tcPr>
            <w:tcW w:w="4680" w:type="dxa"/>
            <w:tcMar>
              <w:top w:w="80" w:type="dxa"/>
              <w:left w:w="120" w:type="dxa"/>
              <w:bottom w:w="80" w:type="dxa"/>
              <w:right w:w="120" w:type="dxa"/>
            </w:tcMar>
            <w:vAlign w:val="center"/>
          </w:tcPr>
          <w:p w14:paraId="3596B398">
            <w:pPr>
              <w:spacing w:after="0"/>
            </w:pPr>
            <w:r>
              <w:rPr>
                <w:rFonts w:ascii="微软雅黑" w:hAnsi="微软雅黑" w:eastAsia="微软雅黑"/>
                <w:b w:val="0"/>
                <w:sz w:val="18"/>
              </w:rPr>
              <w:t>单位有效皮肤面积的线状结构长度</w:t>
            </w:r>
          </w:p>
        </w:tc>
      </w:tr>
      <w:tr w14:paraId="276A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F69BC1D">
            <w:pPr>
              <w:spacing w:after="0"/>
            </w:pPr>
            <w:r>
              <w:rPr>
                <w:rFonts w:ascii="微软雅黑" w:hAnsi="微软雅黑" w:eastAsia="微软雅黑"/>
                <w:b w:val="0"/>
                <w:sz w:val="18"/>
              </w:rPr>
              <w:t>线状结构总面积</w:t>
            </w:r>
          </w:p>
        </w:tc>
        <w:tc>
          <w:tcPr>
            <w:tcW w:w="4680" w:type="dxa"/>
            <w:tcMar>
              <w:top w:w="80" w:type="dxa"/>
              <w:left w:w="120" w:type="dxa"/>
              <w:bottom w:w="80" w:type="dxa"/>
              <w:right w:w="120" w:type="dxa"/>
            </w:tcMar>
            <w:vAlign w:val="center"/>
          </w:tcPr>
          <w:p w14:paraId="393E0C24">
            <w:pPr>
              <w:spacing w:after="0"/>
            </w:pPr>
            <w:r>
              <w:rPr>
                <w:rFonts w:ascii="微软雅黑" w:hAnsi="微软雅黑" w:eastAsia="微软雅黑"/>
                <w:b w:val="0"/>
                <w:sz w:val="18"/>
              </w:rPr>
              <w:t>血管样结构总体覆盖范围</w:t>
            </w:r>
          </w:p>
        </w:tc>
      </w:tr>
      <w:tr w14:paraId="3A3E8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7A9A1E9">
            <w:pPr>
              <w:spacing w:after="0"/>
            </w:pPr>
            <w:r>
              <w:rPr>
                <w:rFonts w:ascii="微软雅黑" w:hAnsi="微软雅黑" w:eastAsia="微软雅黑"/>
                <w:b w:val="0"/>
                <w:sz w:val="18"/>
              </w:rPr>
              <w:t>线状结构面积占比</w:t>
            </w:r>
          </w:p>
        </w:tc>
        <w:tc>
          <w:tcPr>
            <w:tcW w:w="4680" w:type="dxa"/>
            <w:tcMar>
              <w:top w:w="80" w:type="dxa"/>
              <w:left w:w="120" w:type="dxa"/>
              <w:bottom w:w="80" w:type="dxa"/>
              <w:right w:w="120" w:type="dxa"/>
            </w:tcMar>
            <w:vAlign w:val="center"/>
          </w:tcPr>
          <w:p w14:paraId="79074C1E">
            <w:pPr>
              <w:spacing w:after="0"/>
            </w:pPr>
            <w:r>
              <w:rPr>
                <w:rFonts w:ascii="微软雅黑" w:hAnsi="微软雅黑" w:eastAsia="微软雅黑"/>
                <w:b w:val="0"/>
                <w:sz w:val="18"/>
              </w:rPr>
              <w:t>血管样结构占有效皮肤面积的比例</w:t>
            </w:r>
          </w:p>
        </w:tc>
      </w:tr>
      <w:tr w14:paraId="188F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56799FD">
            <w:pPr>
              <w:spacing w:after="0"/>
            </w:pPr>
            <w:r>
              <w:rPr>
                <w:rFonts w:ascii="微软雅黑" w:hAnsi="微软雅黑" w:eastAsia="微软雅黑"/>
                <w:b w:val="0"/>
                <w:sz w:val="18"/>
              </w:rPr>
              <w:t>P50宽度</w:t>
            </w:r>
          </w:p>
        </w:tc>
        <w:tc>
          <w:tcPr>
            <w:tcW w:w="4680" w:type="dxa"/>
            <w:tcMar>
              <w:top w:w="80" w:type="dxa"/>
              <w:left w:w="120" w:type="dxa"/>
              <w:bottom w:w="80" w:type="dxa"/>
              <w:right w:w="120" w:type="dxa"/>
            </w:tcMar>
            <w:vAlign w:val="center"/>
          </w:tcPr>
          <w:p w14:paraId="143D6E3B">
            <w:pPr>
              <w:spacing w:after="0"/>
            </w:pPr>
            <w:r>
              <w:rPr>
                <w:rFonts w:ascii="微软雅黑" w:hAnsi="微软雅黑" w:eastAsia="微软雅黑"/>
                <w:b w:val="0"/>
                <w:sz w:val="18"/>
              </w:rPr>
              <w:t>典型线状结构宽度</w:t>
            </w:r>
          </w:p>
        </w:tc>
      </w:tr>
      <w:tr w14:paraId="08783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5CB1EC7">
            <w:pPr>
              <w:spacing w:after="0"/>
            </w:pPr>
            <w:r>
              <w:rPr>
                <w:rFonts w:ascii="微软雅黑" w:hAnsi="微软雅黑" w:eastAsia="微软雅黑"/>
                <w:b w:val="0"/>
                <w:sz w:val="18"/>
              </w:rPr>
              <w:t>P90宽度</w:t>
            </w:r>
          </w:p>
        </w:tc>
        <w:tc>
          <w:tcPr>
            <w:tcW w:w="4680" w:type="dxa"/>
            <w:tcMar>
              <w:top w:w="80" w:type="dxa"/>
              <w:left w:w="120" w:type="dxa"/>
              <w:bottom w:w="80" w:type="dxa"/>
              <w:right w:w="120" w:type="dxa"/>
            </w:tcMar>
            <w:vAlign w:val="center"/>
          </w:tcPr>
          <w:p w14:paraId="7A04C865">
            <w:pPr>
              <w:spacing w:after="0"/>
            </w:pPr>
            <w:r>
              <w:rPr>
                <w:rFonts w:ascii="微软雅黑" w:hAnsi="微软雅黑" w:eastAsia="微软雅黑"/>
                <w:b w:val="0"/>
                <w:sz w:val="18"/>
              </w:rPr>
              <w:t>较宽线状结构水平</w:t>
            </w:r>
          </w:p>
        </w:tc>
      </w:tr>
      <w:tr w14:paraId="6015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4ABC8EE">
            <w:pPr>
              <w:spacing w:after="0"/>
            </w:pPr>
            <w:r>
              <w:rPr>
                <w:rFonts w:ascii="微软雅黑" w:hAnsi="微软雅黑" w:eastAsia="微软雅黑"/>
                <w:b w:val="0"/>
                <w:sz w:val="18"/>
              </w:rPr>
              <w:t>P50红色强度</w:t>
            </w:r>
          </w:p>
        </w:tc>
        <w:tc>
          <w:tcPr>
            <w:tcW w:w="4680" w:type="dxa"/>
            <w:tcMar>
              <w:top w:w="80" w:type="dxa"/>
              <w:left w:w="120" w:type="dxa"/>
              <w:bottom w:w="80" w:type="dxa"/>
              <w:right w:w="120" w:type="dxa"/>
            </w:tcMar>
            <w:vAlign w:val="center"/>
          </w:tcPr>
          <w:p w14:paraId="71AFE1D6">
            <w:pPr>
              <w:spacing w:after="0"/>
            </w:pPr>
            <w:r>
              <w:rPr>
                <w:rFonts w:ascii="微软雅黑" w:hAnsi="微软雅黑" w:eastAsia="微软雅黑"/>
                <w:b w:val="0"/>
                <w:sz w:val="18"/>
              </w:rPr>
              <w:t>典型线状结构显著程度</w:t>
            </w:r>
          </w:p>
        </w:tc>
      </w:tr>
      <w:tr w14:paraId="1151F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D879B08">
            <w:pPr>
              <w:spacing w:after="0"/>
            </w:pPr>
            <w:r>
              <w:rPr>
                <w:rFonts w:ascii="微软雅黑" w:hAnsi="微软雅黑" w:eastAsia="微软雅黑"/>
                <w:b w:val="0"/>
                <w:sz w:val="18"/>
              </w:rPr>
              <w:t>P90红色强度</w:t>
            </w:r>
          </w:p>
        </w:tc>
        <w:tc>
          <w:tcPr>
            <w:tcW w:w="4680" w:type="dxa"/>
            <w:tcMar>
              <w:top w:w="80" w:type="dxa"/>
              <w:left w:w="120" w:type="dxa"/>
              <w:bottom w:w="80" w:type="dxa"/>
              <w:right w:w="120" w:type="dxa"/>
            </w:tcMar>
            <w:vAlign w:val="center"/>
          </w:tcPr>
          <w:p w14:paraId="2E19506E">
            <w:pPr>
              <w:spacing w:after="0"/>
            </w:pPr>
            <w:r>
              <w:rPr>
                <w:rFonts w:ascii="微软雅黑" w:hAnsi="微软雅黑" w:eastAsia="微软雅黑"/>
                <w:b w:val="0"/>
                <w:sz w:val="18"/>
              </w:rPr>
              <w:t>较明显线状结构红色程度</w:t>
            </w:r>
          </w:p>
        </w:tc>
      </w:tr>
      <w:tr w14:paraId="6DFEA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2DEEDD8">
            <w:pPr>
              <w:spacing w:after="0"/>
            </w:pPr>
            <w:r>
              <w:rPr>
                <w:rFonts w:ascii="微软雅黑" w:hAnsi="微软雅黑" w:eastAsia="微软雅黑"/>
                <w:b w:val="0"/>
                <w:sz w:val="18"/>
              </w:rPr>
              <w:t>分支点数量及密度</w:t>
            </w:r>
          </w:p>
        </w:tc>
        <w:tc>
          <w:tcPr>
            <w:tcW w:w="4680" w:type="dxa"/>
            <w:tcMar>
              <w:top w:w="80" w:type="dxa"/>
              <w:left w:w="120" w:type="dxa"/>
              <w:bottom w:w="80" w:type="dxa"/>
              <w:right w:w="120" w:type="dxa"/>
            </w:tcMar>
            <w:vAlign w:val="center"/>
          </w:tcPr>
          <w:p w14:paraId="11C23DDE">
            <w:pPr>
              <w:spacing w:after="0"/>
            </w:pPr>
            <w:r>
              <w:rPr>
                <w:rFonts w:ascii="微软雅黑" w:hAnsi="微软雅黑" w:eastAsia="微软雅黑"/>
                <w:b w:val="0"/>
                <w:sz w:val="18"/>
              </w:rPr>
              <w:t>血管样网络复杂程度</w:t>
            </w:r>
          </w:p>
        </w:tc>
      </w:tr>
      <w:tr w14:paraId="4B7E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C36742A">
            <w:pPr>
              <w:spacing w:after="0"/>
            </w:pPr>
            <w:r>
              <w:rPr>
                <w:rFonts w:ascii="微软雅黑" w:hAnsi="微软雅黑" w:eastAsia="微软雅黑"/>
                <w:b w:val="0"/>
                <w:sz w:val="18"/>
              </w:rPr>
              <w:t>曲折度</w:t>
            </w:r>
          </w:p>
        </w:tc>
        <w:tc>
          <w:tcPr>
            <w:tcW w:w="4680" w:type="dxa"/>
            <w:tcMar>
              <w:top w:w="80" w:type="dxa"/>
              <w:left w:w="120" w:type="dxa"/>
              <w:bottom w:w="80" w:type="dxa"/>
              <w:right w:w="120" w:type="dxa"/>
            </w:tcMar>
            <w:vAlign w:val="center"/>
          </w:tcPr>
          <w:p w14:paraId="7CF8D814">
            <w:pPr>
              <w:spacing w:after="0"/>
            </w:pPr>
            <w:r>
              <w:rPr>
                <w:rFonts w:ascii="微软雅黑" w:hAnsi="微软雅黑" w:eastAsia="微软雅黑"/>
                <w:b w:val="0"/>
                <w:sz w:val="18"/>
              </w:rPr>
              <w:t>线状结构弯曲程度</w:t>
            </w:r>
          </w:p>
        </w:tc>
      </w:tr>
      <w:tr w14:paraId="6D6C0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5B6FB39">
            <w:pPr>
              <w:spacing w:after="0"/>
            </w:pPr>
            <w:r>
              <w:rPr>
                <w:rFonts w:ascii="微软雅黑" w:hAnsi="微软雅黑" w:eastAsia="微软雅黑"/>
                <w:b w:val="0"/>
                <w:sz w:val="18"/>
              </w:rPr>
              <w:t>网状结构比例</w:t>
            </w:r>
          </w:p>
        </w:tc>
        <w:tc>
          <w:tcPr>
            <w:tcW w:w="4680" w:type="dxa"/>
            <w:tcMar>
              <w:top w:w="80" w:type="dxa"/>
              <w:left w:w="120" w:type="dxa"/>
              <w:bottom w:w="80" w:type="dxa"/>
              <w:right w:w="120" w:type="dxa"/>
            </w:tcMar>
            <w:vAlign w:val="center"/>
          </w:tcPr>
          <w:p w14:paraId="3D3AD7FB">
            <w:pPr>
              <w:spacing w:after="0"/>
            </w:pPr>
            <w:r>
              <w:rPr>
                <w:rFonts w:ascii="微软雅黑" w:hAnsi="微软雅黑" w:eastAsia="微软雅黑"/>
                <w:b w:val="0"/>
                <w:sz w:val="18"/>
              </w:rPr>
              <w:t>是否形成相互连接的网络</w:t>
            </w:r>
          </w:p>
        </w:tc>
      </w:tr>
      <w:tr w14:paraId="6318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BA68F98">
            <w:pPr>
              <w:spacing w:after="0"/>
            </w:pPr>
            <w:r>
              <w:rPr>
                <w:rFonts w:ascii="微软雅黑" w:hAnsi="微软雅黑" w:eastAsia="微软雅黑"/>
                <w:b w:val="0"/>
                <w:sz w:val="18"/>
              </w:rPr>
              <w:t>放射状结构数量</w:t>
            </w:r>
          </w:p>
        </w:tc>
        <w:tc>
          <w:tcPr>
            <w:tcW w:w="4680" w:type="dxa"/>
            <w:tcMar>
              <w:top w:w="80" w:type="dxa"/>
              <w:left w:w="120" w:type="dxa"/>
              <w:bottom w:w="80" w:type="dxa"/>
              <w:right w:w="120" w:type="dxa"/>
            </w:tcMar>
            <w:vAlign w:val="center"/>
          </w:tcPr>
          <w:p w14:paraId="2C9FBF75">
            <w:pPr>
              <w:spacing w:after="0"/>
            </w:pPr>
            <w:r>
              <w:rPr>
                <w:rFonts w:ascii="微软雅黑" w:hAnsi="微软雅黑" w:eastAsia="微软雅黑"/>
                <w:b w:val="0"/>
                <w:sz w:val="18"/>
              </w:rPr>
              <w:t>是否形成中心向外放射结构</w:t>
            </w:r>
          </w:p>
        </w:tc>
      </w:tr>
      <w:tr w14:paraId="1220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9512738">
            <w:pPr>
              <w:spacing w:after="0"/>
            </w:pPr>
            <w:r>
              <w:rPr>
                <w:rFonts w:ascii="微软雅黑" w:hAnsi="微软雅黑" w:eastAsia="微软雅黑"/>
                <w:b w:val="0"/>
                <w:sz w:val="18"/>
              </w:rPr>
              <w:t>最大连续网络长度</w:t>
            </w:r>
          </w:p>
        </w:tc>
        <w:tc>
          <w:tcPr>
            <w:tcW w:w="4680" w:type="dxa"/>
            <w:tcMar>
              <w:top w:w="80" w:type="dxa"/>
              <w:left w:w="120" w:type="dxa"/>
              <w:bottom w:w="80" w:type="dxa"/>
              <w:right w:w="120" w:type="dxa"/>
            </w:tcMar>
            <w:vAlign w:val="center"/>
          </w:tcPr>
          <w:p w14:paraId="08FDA3D6">
            <w:pPr>
              <w:spacing w:after="0"/>
            </w:pPr>
            <w:r>
              <w:rPr>
                <w:rFonts w:ascii="微软雅黑" w:hAnsi="微软雅黑" w:eastAsia="微软雅黑"/>
                <w:b w:val="0"/>
                <w:sz w:val="18"/>
              </w:rPr>
              <w:t>最大血管样网络范围</w:t>
            </w:r>
          </w:p>
        </w:tc>
      </w:tr>
      <w:tr w14:paraId="4D1A0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CDAD0CC">
            <w:pPr>
              <w:spacing w:after="0"/>
            </w:pPr>
            <w:r>
              <w:rPr>
                <w:rFonts w:ascii="微软雅黑" w:hAnsi="微软雅黑" w:eastAsia="微软雅黑"/>
                <w:b w:val="0"/>
                <w:sz w:val="18"/>
              </w:rPr>
              <w:t>白光与VISIA重叠率</w:t>
            </w:r>
          </w:p>
        </w:tc>
        <w:tc>
          <w:tcPr>
            <w:tcW w:w="4680" w:type="dxa"/>
            <w:tcMar>
              <w:top w:w="80" w:type="dxa"/>
              <w:left w:w="120" w:type="dxa"/>
              <w:bottom w:w="80" w:type="dxa"/>
              <w:right w:w="120" w:type="dxa"/>
            </w:tcMar>
            <w:vAlign w:val="center"/>
          </w:tcPr>
          <w:p w14:paraId="7BDF13CF">
            <w:pPr>
              <w:spacing w:after="0"/>
            </w:pPr>
            <w:r>
              <w:rPr>
                <w:rFonts w:ascii="微软雅黑" w:hAnsi="微软雅黑" w:eastAsia="微软雅黑"/>
                <w:b w:val="0"/>
                <w:sz w:val="18"/>
              </w:rPr>
              <w:t>两种成像是否共同支持</w:t>
            </w:r>
          </w:p>
        </w:tc>
      </w:tr>
      <w:tr w14:paraId="45E01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73A723B">
            <w:pPr>
              <w:spacing w:after="0"/>
            </w:pPr>
            <w:r>
              <w:rPr>
                <w:rFonts w:ascii="微软雅黑" w:hAnsi="微软雅黑" w:eastAsia="微软雅黑"/>
                <w:b w:val="0"/>
                <w:sz w:val="18"/>
              </w:rPr>
              <w:t>多角度一致性</w:t>
            </w:r>
          </w:p>
        </w:tc>
        <w:tc>
          <w:tcPr>
            <w:tcW w:w="4680" w:type="dxa"/>
            <w:tcMar>
              <w:top w:w="80" w:type="dxa"/>
              <w:left w:w="120" w:type="dxa"/>
              <w:bottom w:w="80" w:type="dxa"/>
              <w:right w:w="120" w:type="dxa"/>
            </w:tcMar>
            <w:vAlign w:val="center"/>
          </w:tcPr>
          <w:p w14:paraId="00915738">
            <w:pPr>
              <w:spacing w:after="0"/>
            </w:pPr>
            <w:r>
              <w:rPr>
                <w:rFonts w:ascii="微软雅黑" w:hAnsi="微软雅黑" w:eastAsia="微软雅黑"/>
                <w:b w:val="0"/>
                <w:sz w:val="18"/>
              </w:rPr>
              <w:t>线状结构是否稳定存在</w:t>
            </w:r>
          </w:p>
        </w:tc>
      </w:tr>
      <w:tr w14:paraId="4DF5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0B62CF6">
            <w:pPr>
              <w:spacing w:after="0"/>
            </w:pPr>
            <w:r>
              <w:rPr>
                <w:rFonts w:ascii="微软雅黑" w:hAnsi="微软雅黑" w:eastAsia="微软雅黑"/>
                <w:b w:val="0"/>
                <w:sz w:val="18"/>
              </w:rPr>
              <w:t>分区分布</w:t>
            </w:r>
          </w:p>
        </w:tc>
        <w:tc>
          <w:tcPr>
            <w:tcW w:w="4680" w:type="dxa"/>
            <w:tcMar>
              <w:top w:w="80" w:type="dxa"/>
              <w:left w:w="120" w:type="dxa"/>
              <w:bottom w:w="80" w:type="dxa"/>
              <w:right w:w="120" w:type="dxa"/>
            </w:tcMar>
            <w:vAlign w:val="center"/>
          </w:tcPr>
          <w:p w14:paraId="1418BB01">
            <w:pPr>
              <w:spacing w:after="0"/>
            </w:pPr>
            <w:r>
              <w:rPr>
                <w:rFonts w:ascii="微软雅黑" w:hAnsi="微软雅黑" w:eastAsia="微软雅黑"/>
                <w:b w:val="0"/>
                <w:sz w:val="18"/>
              </w:rPr>
              <w:t>主要受累区域</w:t>
            </w:r>
          </w:p>
        </w:tc>
      </w:tr>
      <w:tr w14:paraId="0AE26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23ED3DF">
            <w:pPr>
              <w:spacing w:after="0"/>
            </w:pPr>
            <w:r>
              <w:rPr>
                <w:rFonts w:ascii="微软雅黑" w:hAnsi="微软雅黑" w:eastAsia="微软雅黑"/>
                <w:b w:val="0"/>
                <w:sz w:val="18"/>
              </w:rPr>
              <w:t>左右不对称性</w:t>
            </w:r>
          </w:p>
        </w:tc>
        <w:tc>
          <w:tcPr>
            <w:tcW w:w="4680" w:type="dxa"/>
            <w:tcMar>
              <w:top w:w="80" w:type="dxa"/>
              <w:left w:w="120" w:type="dxa"/>
              <w:bottom w:w="80" w:type="dxa"/>
              <w:right w:w="120" w:type="dxa"/>
            </w:tcMar>
            <w:vAlign w:val="center"/>
          </w:tcPr>
          <w:p w14:paraId="65CF1547">
            <w:pPr>
              <w:spacing w:after="0"/>
            </w:pPr>
            <w:r>
              <w:rPr>
                <w:rFonts w:ascii="微软雅黑" w:hAnsi="微软雅黑" w:eastAsia="微软雅黑"/>
                <w:b w:val="0"/>
                <w:sz w:val="18"/>
              </w:rPr>
              <w:t>是否单侧血管样结构更明显</w:t>
            </w:r>
          </w:p>
        </w:tc>
      </w:tr>
    </w:tbl>
    <w:p w14:paraId="578CBD38"/>
    <w:p w14:paraId="37EA1597">
      <w:pPr>
        <w:pStyle w:val="4"/>
      </w:pPr>
      <w:r>
        <w:t>5.5 建议评分组成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360C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431B29FF">
            <w:pPr>
              <w:spacing w:after="0"/>
            </w:pPr>
            <w:r>
              <w:rPr>
                <w:rFonts w:ascii="微软雅黑" w:hAnsi="微软雅黑" w:eastAsia="微软雅黑"/>
                <w:b/>
                <w:sz w:val="18"/>
              </w:rPr>
              <w:t>指标组</w:t>
            </w:r>
          </w:p>
        </w:tc>
        <w:tc>
          <w:tcPr>
            <w:tcW w:w="4680" w:type="dxa"/>
            <w:shd w:val="clear" w:color="auto" w:fill="E8EEF5"/>
            <w:tcMar>
              <w:top w:w="80" w:type="dxa"/>
              <w:left w:w="120" w:type="dxa"/>
              <w:bottom w:w="80" w:type="dxa"/>
              <w:right w:w="120" w:type="dxa"/>
            </w:tcMar>
            <w:vAlign w:val="center"/>
          </w:tcPr>
          <w:p w14:paraId="1BD637E3">
            <w:pPr>
              <w:spacing w:after="0"/>
            </w:pPr>
            <w:r>
              <w:rPr>
                <w:rFonts w:ascii="微软雅黑" w:hAnsi="微软雅黑" w:eastAsia="微软雅黑"/>
                <w:b/>
                <w:sz w:val="18"/>
              </w:rPr>
              <w:t>初始医学权重</w:t>
            </w:r>
          </w:p>
        </w:tc>
      </w:tr>
      <w:tr w14:paraId="0FE00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16752F1">
            <w:pPr>
              <w:spacing w:after="0"/>
            </w:pPr>
            <w:r>
              <w:rPr>
                <w:rFonts w:ascii="微软雅黑" w:hAnsi="微软雅黑" w:eastAsia="微软雅黑"/>
                <w:b w:val="0"/>
                <w:sz w:val="18"/>
              </w:rPr>
              <w:t>总长度、密度及面积</w:t>
            </w:r>
          </w:p>
        </w:tc>
        <w:tc>
          <w:tcPr>
            <w:tcW w:w="4680" w:type="dxa"/>
            <w:tcMar>
              <w:top w:w="80" w:type="dxa"/>
              <w:left w:w="120" w:type="dxa"/>
              <w:bottom w:w="80" w:type="dxa"/>
              <w:right w:w="120" w:type="dxa"/>
            </w:tcMar>
            <w:vAlign w:val="center"/>
          </w:tcPr>
          <w:p w14:paraId="4CC4AEDC">
            <w:pPr>
              <w:spacing w:after="0"/>
            </w:pPr>
            <w:r>
              <w:rPr>
                <w:rFonts w:ascii="微软雅黑" w:hAnsi="微软雅黑" w:eastAsia="微软雅黑"/>
                <w:b w:val="0"/>
                <w:sz w:val="18"/>
              </w:rPr>
              <w:t>30%</w:t>
            </w:r>
          </w:p>
        </w:tc>
      </w:tr>
      <w:tr w14:paraId="3AEF3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ADF6C1D">
            <w:pPr>
              <w:spacing w:after="0"/>
            </w:pPr>
            <w:r>
              <w:rPr>
                <w:rFonts w:ascii="微软雅黑" w:hAnsi="微软雅黑" w:eastAsia="微软雅黑"/>
                <w:b w:val="0"/>
                <w:sz w:val="18"/>
              </w:rPr>
              <w:t>红色强度及宽度</w:t>
            </w:r>
          </w:p>
        </w:tc>
        <w:tc>
          <w:tcPr>
            <w:tcW w:w="4680" w:type="dxa"/>
            <w:tcMar>
              <w:top w:w="80" w:type="dxa"/>
              <w:left w:w="120" w:type="dxa"/>
              <w:bottom w:w="80" w:type="dxa"/>
              <w:right w:w="120" w:type="dxa"/>
            </w:tcMar>
            <w:vAlign w:val="center"/>
          </w:tcPr>
          <w:p w14:paraId="4126F7E7">
            <w:pPr>
              <w:spacing w:after="0"/>
            </w:pPr>
            <w:r>
              <w:rPr>
                <w:rFonts w:ascii="微软雅黑" w:hAnsi="微软雅黑" w:eastAsia="微软雅黑"/>
                <w:b w:val="0"/>
                <w:sz w:val="18"/>
              </w:rPr>
              <w:t>20%</w:t>
            </w:r>
          </w:p>
        </w:tc>
      </w:tr>
      <w:tr w14:paraId="5CB1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DB88AD5">
            <w:pPr>
              <w:spacing w:after="0"/>
            </w:pPr>
            <w:r>
              <w:rPr>
                <w:rFonts w:ascii="微软雅黑" w:hAnsi="微软雅黑" w:eastAsia="微软雅黑"/>
                <w:b w:val="0"/>
                <w:sz w:val="18"/>
              </w:rPr>
              <w:t>分支、网状及曲折形态</w:t>
            </w:r>
          </w:p>
        </w:tc>
        <w:tc>
          <w:tcPr>
            <w:tcW w:w="4680" w:type="dxa"/>
            <w:tcMar>
              <w:top w:w="80" w:type="dxa"/>
              <w:left w:w="120" w:type="dxa"/>
              <w:bottom w:w="80" w:type="dxa"/>
              <w:right w:w="120" w:type="dxa"/>
            </w:tcMar>
            <w:vAlign w:val="center"/>
          </w:tcPr>
          <w:p w14:paraId="24804421">
            <w:pPr>
              <w:spacing w:after="0"/>
            </w:pPr>
            <w:r>
              <w:rPr>
                <w:rFonts w:ascii="微软雅黑" w:hAnsi="微软雅黑" w:eastAsia="微软雅黑"/>
                <w:b w:val="0"/>
                <w:sz w:val="18"/>
              </w:rPr>
              <w:t>20%</w:t>
            </w:r>
          </w:p>
        </w:tc>
      </w:tr>
      <w:tr w14:paraId="1183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1BE03BC">
            <w:pPr>
              <w:spacing w:after="0"/>
            </w:pPr>
            <w:r>
              <w:rPr>
                <w:rFonts w:ascii="微软雅黑" w:hAnsi="微软雅黑" w:eastAsia="微软雅黑"/>
                <w:b w:val="0"/>
                <w:sz w:val="18"/>
              </w:rPr>
              <w:t>白光与VISIA一致性</w:t>
            </w:r>
          </w:p>
        </w:tc>
        <w:tc>
          <w:tcPr>
            <w:tcW w:w="4680" w:type="dxa"/>
            <w:tcMar>
              <w:top w:w="80" w:type="dxa"/>
              <w:left w:w="120" w:type="dxa"/>
              <w:bottom w:w="80" w:type="dxa"/>
              <w:right w:w="120" w:type="dxa"/>
            </w:tcMar>
            <w:vAlign w:val="center"/>
          </w:tcPr>
          <w:p w14:paraId="37E3A93E">
            <w:pPr>
              <w:spacing w:after="0"/>
            </w:pPr>
            <w:r>
              <w:rPr>
                <w:rFonts w:ascii="微软雅黑" w:hAnsi="微软雅黑" w:eastAsia="微软雅黑"/>
                <w:b w:val="0"/>
                <w:sz w:val="18"/>
              </w:rPr>
              <w:t>20%</w:t>
            </w:r>
          </w:p>
        </w:tc>
      </w:tr>
      <w:tr w14:paraId="1195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3FA6702">
            <w:pPr>
              <w:spacing w:after="0"/>
            </w:pPr>
            <w:r>
              <w:rPr>
                <w:rFonts w:ascii="微软雅黑" w:hAnsi="微软雅黑" w:eastAsia="微软雅黑"/>
                <w:b w:val="0"/>
                <w:sz w:val="18"/>
              </w:rPr>
              <w:t>分区及左右差异</w:t>
            </w:r>
          </w:p>
        </w:tc>
        <w:tc>
          <w:tcPr>
            <w:tcW w:w="4680" w:type="dxa"/>
            <w:tcMar>
              <w:top w:w="80" w:type="dxa"/>
              <w:left w:w="120" w:type="dxa"/>
              <w:bottom w:w="80" w:type="dxa"/>
              <w:right w:w="120" w:type="dxa"/>
            </w:tcMar>
            <w:vAlign w:val="center"/>
          </w:tcPr>
          <w:p w14:paraId="0D6D2E15">
            <w:pPr>
              <w:spacing w:after="0"/>
            </w:pPr>
            <w:r>
              <w:rPr>
                <w:rFonts w:ascii="微软雅黑" w:hAnsi="微软雅黑" w:eastAsia="微软雅黑"/>
                <w:b w:val="0"/>
                <w:sz w:val="18"/>
              </w:rPr>
              <w:t>10%</w:t>
            </w:r>
          </w:p>
        </w:tc>
      </w:tr>
    </w:tbl>
    <w:p w14:paraId="44DDE0CB"/>
    <w:p w14:paraId="2E0C4298">
      <w:pPr>
        <w:pStyle w:val="4"/>
      </w:pPr>
      <w:r>
        <w:t>5.6 可反映的临床问题</w:t>
      </w:r>
    </w:p>
    <w:p w14:paraId="04B27BA3">
      <w:r>
        <w:rPr>
          <w:rFonts w:ascii="微软雅黑" w:hAnsi="微软雅黑" w:eastAsia="微软雅黑"/>
        </w:rPr>
        <w:t>可以提示：</w:t>
      </w:r>
    </w:p>
    <w:p w14:paraId="61F5541F">
      <w:pPr>
        <w:pStyle w:val="16"/>
      </w:pPr>
      <w:r>
        <w:rPr>
          <w:rFonts w:ascii="微软雅黑" w:hAnsi="微软雅黑" w:eastAsia="微软雅黑"/>
        </w:rPr>
        <w:t>浅表可见血管增多；</w:t>
      </w:r>
    </w:p>
    <w:p w14:paraId="59DA534F">
      <w:pPr>
        <w:pStyle w:val="16"/>
      </w:pPr>
      <w:r>
        <w:rPr>
          <w:rFonts w:ascii="微软雅黑" w:hAnsi="微软雅黑" w:eastAsia="微软雅黑"/>
        </w:rPr>
        <w:t>线状血管扩张样外观；</w:t>
      </w:r>
    </w:p>
    <w:p w14:paraId="51220910">
      <w:pPr>
        <w:pStyle w:val="16"/>
      </w:pPr>
      <w:r>
        <w:rPr>
          <w:rFonts w:ascii="微软雅黑" w:hAnsi="微软雅黑" w:eastAsia="微软雅黑"/>
        </w:rPr>
        <w:t>分支状或网状血管样结构；</w:t>
      </w:r>
    </w:p>
    <w:p w14:paraId="385D9C0F">
      <w:pPr>
        <w:pStyle w:val="16"/>
      </w:pPr>
      <w:r>
        <w:rPr>
          <w:rFonts w:ascii="微软雅黑" w:hAnsi="微软雅黑" w:eastAsia="微软雅黑"/>
        </w:rPr>
        <w:t>背景泛红伴线状血管；</w:t>
      </w:r>
    </w:p>
    <w:p w14:paraId="56757BEA">
      <w:pPr>
        <w:pStyle w:val="16"/>
      </w:pPr>
      <w:r>
        <w:rPr>
          <w:rFonts w:ascii="微软雅黑" w:hAnsi="微软雅黑" w:eastAsia="微软雅黑"/>
        </w:rPr>
        <w:t>局部血管样结构不对称。</w:t>
      </w:r>
    </w:p>
    <w:p w14:paraId="16342D7B">
      <w:r>
        <w:rPr>
          <w:rFonts w:ascii="微软雅黑" w:hAnsi="微软雅黑" w:eastAsia="微软雅黑"/>
        </w:rPr>
        <w:t>不能单独诊断：</w:t>
      </w:r>
    </w:p>
    <w:p w14:paraId="42687976">
      <w:pPr>
        <w:pStyle w:val="16"/>
      </w:pPr>
      <w:r>
        <w:rPr>
          <w:rFonts w:ascii="微软雅黑" w:hAnsi="微软雅黑" w:eastAsia="微软雅黑"/>
        </w:rPr>
        <w:t>毛细血管扩张症；</w:t>
      </w:r>
    </w:p>
    <w:p w14:paraId="66BB78C9">
      <w:pPr>
        <w:pStyle w:val="16"/>
      </w:pPr>
      <w:r>
        <w:rPr>
          <w:rFonts w:ascii="微软雅黑" w:hAnsi="微软雅黑" w:eastAsia="微软雅黑"/>
        </w:rPr>
        <w:t>玫瑰痤疮；</w:t>
      </w:r>
    </w:p>
    <w:p w14:paraId="2BC7FFCF">
      <w:pPr>
        <w:pStyle w:val="16"/>
      </w:pPr>
      <w:r>
        <w:rPr>
          <w:rFonts w:ascii="微软雅黑" w:hAnsi="微软雅黑" w:eastAsia="微软雅黑"/>
        </w:rPr>
        <w:t>蜘蛛痣；</w:t>
      </w:r>
    </w:p>
    <w:p w14:paraId="524130DB">
      <w:pPr>
        <w:pStyle w:val="16"/>
      </w:pPr>
      <w:r>
        <w:rPr>
          <w:rFonts w:ascii="微软雅黑" w:hAnsi="微软雅黑" w:eastAsia="微软雅黑"/>
        </w:rPr>
        <w:t>其他血管性疾病。</w:t>
      </w:r>
    </w:p>
    <w:p w14:paraId="2EC96D89">
      <w:r>
        <w:rPr>
          <w:rFonts w:ascii="微软雅黑" w:hAnsi="微软雅黑" w:eastAsia="微软雅黑"/>
        </w:rPr>
        <w:t>系统不能直接测量：</w:t>
      </w:r>
    </w:p>
    <w:p w14:paraId="1DE9045B">
      <w:pPr>
        <w:pStyle w:val="16"/>
      </w:pPr>
      <w:r>
        <w:rPr>
          <w:rFonts w:ascii="微软雅黑" w:hAnsi="微软雅黑" w:eastAsia="微软雅黑"/>
        </w:rPr>
        <w:t>真实血管直径；</w:t>
      </w:r>
    </w:p>
    <w:p w14:paraId="5FEFE8E9">
      <w:pPr>
        <w:pStyle w:val="16"/>
      </w:pPr>
      <w:r>
        <w:rPr>
          <w:rFonts w:ascii="微软雅黑" w:hAnsi="微软雅黑" w:eastAsia="微软雅黑"/>
        </w:rPr>
        <w:t>血流速度；</w:t>
      </w:r>
    </w:p>
    <w:p w14:paraId="23DF8D50">
      <w:pPr>
        <w:pStyle w:val="16"/>
      </w:pPr>
      <w:r>
        <w:rPr>
          <w:rFonts w:ascii="微软雅黑" w:hAnsi="微软雅黑" w:eastAsia="微软雅黑"/>
        </w:rPr>
        <w:t>血管壁状态；</w:t>
      </w:r>
    </w:p>
    <w:p w14:paraId="12166AA7">
      <w:pPr>
        <w:pStyle w:val="16"/>
      </w:pPr>
      <w:r>
        <w:rPr>
          <w:rFonts w:ascii="微软雅黑" w:hAnsi="微软雅黑" w:eastAsia="微软雅黑"/>
        </w:rPr>
        <w:t>血管反应性。</w:t>
      </w:r>
    </w:p>
    <w:p w14:paraId="5F37D38E">
      <w:pPr>
        <w:pStyle w:val="4"/>
      </w:pPr>
      <w:r>
        <w:t>5.7 报告示例</w:t>
      </w:r>
    </w:p>
    <w:p w14:paraId="6F8348E0">
      <w:pPr>
        <w:pStyle w:val="5"/>
      </w:pPr>
      <w:r>
        <w:t>线状血管扩张样评分：63分，较明显</w:t>
      </w:r>
    </w:p>
    <w:p w14:paraId="7EC9E0BA">
      <w:r>
        <w:rPr>
          <w:rFonts w:ascii="微软雅黑" w:hAnsi="微软雅黑" w:eastAsia="微软雅黑"/>
        </w:rPr>
        <w:t>鼻翼两侧和双侧面颊为主要受累区域，左侧略高于右侧。</w:t>
      </w:r>
    </w:p>
    <w:p w14:paraId="17850049">
      <w:r>
        <w:rPr>
          <w:rFonts w:ascii="微软雅黑" w:hAnsi="微软雅黑" w:eastAsia="微软雅黑"/>
        </w:rPr>
        <w:t>线状红色结构总长度和长度密度均偏高，其中约34%的线状结构形成分支或小型网状连接。标准白光图像与VISIA红色区中的主要线状结构具有较高一致性，多数主要目标在不同角度照片中均可重复识别。</w:t>
      </w:r>
    </w:p>
    <w:p w14:paraId="111654F0">
      <w:r>
        <w:rPr>
          <w:rFonts w:ascii="微软雅黑" w:hAnsi="微软雅黑" w:eastAsia="微软雅黑"/>
        </w:rPr>
        <w:t>结果提示较明显的浅表线状血管扩张样表型，以鼻翼和左侧面颊最明显，并伴轻度弥漫性背景泛红。</w:t>
      </w:r>
    </w:p>
    <w:p w14:paraId="0A2F9C66">
      <w:r>
        <w:rPr>
          <w:rFonts w:ascii="微软雅黑" w:hAnsi="微软雅黑" w:eastAsia="微软雅黑"/>
        </w:rPr>
        <w:t>本结果不能单独诊断毛细血管扩张症或玫瑰痤疮。</w:t>
      </w:r>
    </w:p>
    <w:p w14:paraId="696F194E">
      <w:pPr>
        <w:pStyle w:val="3"/>
      </w:pPr>
      <w:r>
        <w:t>六、毛囊炎症及痤疮样表型报告</w:t>
      </w:r>
    </w:p>
    <w:p w14:paraId="574159A0">
      <w:pPr>
        <w:pStyle w:val="4"/>
      </w:pPr>
      <w:r>
        <w:t>6.1 检测目标</w:t>
      </w:r>
    </w:p>
    <w:p w14:paraId="029FA459">
      <w:r>
        <w:rPr>
          <w:rFonts w:ascii="微软雅黑" w:hAnsi="微软雅黑" w:eastAsia="微软雅黑"/>
        </w:rPr>
        <w:t>以毛囊皮脂腺单位为中心，综合评价面部是否存在：</w:t>
      </w:r>
    </w:p>
    <w:p w14:paraId="4849EEEB">
      <w:pPr>
        <w:pStyle w:val="16"/>
      </w:pPr>
      <w:r>
        <w:rPr>
          <w:rFonts w:ascii="微软雅黑" w:hAnsi="微软雅黑" w:eastAsia="微软雅黑"/>
        </w:rPr>
        <w:t>毛囊周围红色；</w:t>
      </w:r>
    </w:p>
    <w:p w14:paraId="0637EBCB">
      <w:pPr>
        <w:pStyle w:val="16"/>
      </w:pPr>
      <w:r>
        <w:rPr>
          <w:rFonts w:ascii="微软雅黑" w:hAnsi="微软雅黑" w:eastAsia="微软雅黑"/>
        </w:rPr>
        <w:t>毛囊中心性红色隆起；</w:t>
      </w:r>
    </w:p>
    <w:p w14:paraId="5FD4BD11">
      <w:pPr>
        <w:pStyle w:val="16"/>
      </w:pPr>
      <w:r>
        <w:rPr>
          <w:rFonts w:ascii="微软雅黑" w:hAnsi="微软雅黑" w:eastAsia="微软雅黑"/>
        </w:rPr>
        <w:t>毛囊中心性丘脓疱样目标；</w:t>
      </w:r>
    </w:p>
    <w:p w14:paraId="3218A4AB">
      <w:pPr>
        <w:pStyle w:val="16"/>
      </w:pPr>
      <w:r>
        <w:rPr>
          <w:rFonts w:ascii="微软雅黑" w:hAnsi="微软雅黑" w:eastAsia="微软雅黑"/>
        </w:rPr>
        <w:t>毛囊内紫质信号；</w:t>
      </w:r>
    </w:p>
    <w:p w14:paraId="2A2D1B35">
      <w:pPr>
        <w:pStyle w:val="16"/>
      </w:pPr>
      <w:r>
        <w:rPr>
          <w:rFonts w:ascii="微软雅黑" w:hAnsi="微软雅黑" w:eastAsia="微软雅黑"/>
        </w:rPr>
        <w:t>毛囊性目标的数量、密度、分布及聚集特征。</w:t>
      </w:r>
    </w:p>
    <w:p w14:paraId="07345D70">
      <w:r>
        <w:rPr>
          <w:rFonts w:ascii="微软雅黑" w:hAnsi="微软雅黑" w:eastAsia="微软雅黑"/>
        </w:rPr>
        <w:t>主要提示：</w:t>
      </w:r>
    </w:p>
    <w:p w14:paraId="48D6097F">
      <w:pPr>
        <w:spacing w:before="80" w:after="160"/>
        <w:ind w:left="360"/>
      </w:pPr>
      <w:r>
        <w:rPr>
          <w:rFonts w:ascii="微软雅黑" w:hAnsi="微软雅黑" w:eastAsia="微软雅黑"/>
          <w:b/>
        </w:rPr>
        <w:t>毛囊炎症及痤疮样图像表型。</w:t>
      </w:r>
    </w:p>
    <w:p w14:paraId="3D5107D6">
      <w:r>
        <w:rPr>
          <w:rFonts w:ascii="微软雅黑" w:hAnsi="微软雅黑" w:eastAsia="微软雅黑"/>
        </w:rPr>
        <w:t>本报告检测的是毛囊中心性红色及炎症样形态，不能替代临床问诊、皮损触诊、皮肤镜或微生物学检查。</w:t>
      </w:r>
    </w:p>
    <w:p w14:paraId="6399D3C2">
      <w:pPr>
        <w:pStyle w:val="4"/>
      </w:pPr>
      <w:r>
        <w:t>6.2 使用的检测结果</w:t>
      </w:r>
    </w:p>
    <w:p w14:paraId="450C9FB4">
      <w:pPr>
        <w:pStyle w:val="16"/>
      </w:pPr>
      <w:r>
        <w:rPr>
          <w:rFonts w:ascii="微软雅黑" w:hAnsi="微软雅黑" w:eastAsia="微软雅黑"/>
        </w:rPr>
        <w:t>VISIA红色区；</w:t>
      </w:r>
    </w:p>
    <w:p w14:paraId="1992BF37">
      <w:pPr>
        <w:pStyle w:val="16"/>
      </w:pPr>
      <w:r>
        <w:rPr>
          <w:rFonts w:ascii="微软雅黑" w:hAnsi="微软雅黑" w:eastAsia="微软雅黑"/>
        </w:rPr>
        <w:t>可见红色色差图层；</w:t>
      </w:r>
    </w:p>
    <w:p w14:paraId="6E0ECE48">
      <w:pPr>
        <w:pStyle w:val="16"/>
      </w:pPr>
      <w:r>
        <w:rPr>
          <w:rFonts w:ascii="微软雅黑" w:hAnsi="微软雅黑" w:eastAsia="微软雅黑"/>
        </w:rPr>
        <w:t>VISIA毛孔位置；</w:t>
      </w:r>
    </w:p>
    <w:p w14:paraId="7C700068">
      <w:pPr>
        <w:pStyle w:val="16"/>
      </w:pPr>
      <w:r>
        <w:rPr>
          <w:rFonts w:ascii="微软雅黑" w:hAnsi="微软雅黑" w:eastAsia="微软雅黑"/>
        </w:rPr>
        <w:t>VISIA紫质位置及强度；</w:t>
      </w:r>
    </w:p>
    <w:p w14:paraId="1BED579E">
      <w:pPr>
        <w:pStyle w:val="16"/>
      </w:pPr>
      <w:r>
        <w:rPr>
          <w:rFonts w:ascii="微软雅黑" w:hAnsi="微软雅黑" w:eastAsia="微软雅黑"/>
        </w:rPr>
        <w:t>标准白光图像中的局部隆起；</w:t>
      </w:r>
    </w:p>
    <w:p w14:paraId="21C89510">
      <w:pPr>
        <w:pStyle w:val="16"/>
      </w:pPr>
      <w:r>
        <w:rPr>
          <w:rFonts w:ascii="微软雅黑" w:hAnsi="微软雅黑" w:eastAsia="微软雅黑"/>
        </w:rPr>
        <w:t>标准白光图像中的白色或黄色中心；</w:t>
      </w:r>
    </w:p>
    <w:p w14:paraId="0E0BE603">
      <w:pPr>
        <w:pStyle w:val="16"/>
      </w:pPr>
      <w:r>
        <w:rPr>
          <w:rFonts w:ascii="微软雅黑" w:hAnsi="微软雅黑" w:eastAsia="微软雅黑"/>
        </w:rPr>
        <w:t>多角度照片中的目标一致性；</w:t>
      </w:r>
    </w:p>
    <w:p w14:paraId="03682383">
      <w:pPr>
        <w:pStyle w:val="16"/>
      </w:pPr>
      <w:r>
        <w:rPr>
          <w:rFonts w:ascii="微软雅黑" w:hAnsi="微软雅黑" w:eastAsia="微软雅黑"/>
        </w:rPr>
        <w:t>面部分区。</w:t>
      </w:r>
    </w:p>
    <w:p w14:paraId="05D893A4">
      <w:r>
        <w:rPr>
          <w:rFonts w:ascii="微软雅黑" w:hAnsi="微软雅黑" w:eastAsia="微软雅黑"/>
        </w:rPr>
        <w:t>紫质作为每个毛囊性目标内部的辅助证据，用于判断红色或隆起目标是否与卟啉阳性毛囊存在空间关联。</w:t>
      </w:r>
    </w:p>
    <w:p w14:paraId="55247646">
      <w:pPr>
        <w:pStyle w:val="4"/>
      </w:pPr>
      <w:r>
        <w:t>6.3 主要检测区域</w:t>
      </w:r>
    </w:p>
    <w:p w14:paraId="7CFC2DE7">
      <w:r>
        <w:rPr>
          <w:rFonts w:ascii="微软雅黑" w:hAnsi="微软雅黑" w:eastAsia="微软雅黑"/>
        </w:rPr>
        <w:t>分别检测：</w:t>
      </w:r>
    </w:p>
    <w:p w14:paraId="1882D8BD">
      <w:pPr>
        <w:pStyle w:val="16"/>
      </w:pPr>
      <w:r>
        <w:rPr>
          <w:rFonts w:ascii="微软雅黑" w:hAnsi="微软雅黑" w:eastAsia="微软雅黑"/>
        </w:rPr>
        <w:t>额部；</w:t>
      </w:r>
    </w:p>
    <w:p w14:paraId="0C6F2958">
      <w:pPr>
        <w:pStyle w:val="16"/>
      </w:pPr>
      <w:r>
        <w:rPr>
          <w:rFonts w:ascii="微软雅黑" w:hAnsi="微软雅黑" w:eastAsia="微软雅黑"/>
        </w:rPr>
        <w:t>鼻部及鼻旁；</w:t>
      </w:r>
    </w:p>
    <w:p w14:paraId="64722C80">
      <w:pPr>
        <w:pStyle w:val="16"/>
      </w:pPr>
      <w:r>
        <w:rPr>
          <w:rFonts w:ascii="微软雅黑" w:hAnsi="微软雅黑" w:eastAsia="微软雅黑"/>
        </w:rPr>
        <w:t>左右颧部；</w:t>
      </w:r>
    </w:p>
    <w:p w14:paraId="107EC2B6">
      <w:pPr>
        <w:pStyle w:val="16"/>
      </w:pPr>
      <w:r>
        <w:rPr>
          <w:rFonts w:ascii="微软雅黑" w:hAnsi="微软雅黑" w:eastAsia="微软雅黑"/>
        </w:rPr>
        <w:t>左右面颊；</w:t>
      </w:r>
    </w:p>
    <w:p w14:paraId="06D5165D">
      <w:pPr>
        <w:pStyle w:val="16"/>
      </w:pPr>
      <w:r>
        <w:rPr>
          <w:rFonts w:ascii="微软雅黑" w:hAnsi="微软雅黑" w:eastAsia="微软雅黑"/>
        </w:rPr>
        <w:t>口周；</w:t>
      </w:r>
    </w:p>
    <w:p w14:paraId="6C5F2CC1">
      <w:pPr>
        <w:pStyle w:val="16"/>
      </w:pPr>
      <w:r>
        <w:rPr>
          <w:rFonts w:ascii="微软雅黑" w:hAnsi="微软雅黑" w:eastAsia="微软雅黑"/>
        </w:rPr>
        <w:t>左右下颌。</w:t>
      </w:r>
    </w:p>
    <w:p w14:paraId="55F20E93">
      <w:r>
        <w:rPr>
          <w:rFonts w:ascii="微软雅黑" w:hAnsi="微软雅黑" w:eastAsia="微软雅黑"/>
        </w:rPr>
        <w:t>重点关注：</w:t>
      </w:r>
    </w:p>
    <w:p w14:paraId="40D8945E">
      <w:pPr>
        <w:pStyle w:val="16"/>
      </w:pPr>
      <w:r>
        <w:rPr>
          <w:rFonts w:ascii="微软雅黑" w:hAnsi="微软雅黑" w:eastAsia="微软雅黑"/>
        </w:rPr>
        <w:t>额部；</w:t>
      </w:r>
    </w:p>
    <w:p w14:paraId="1CAEC640">
      <w:pPr>
        <w:pStyle w:val="16"/>
      </w:pPr>
      <w:r>
        <w:rPr>
          <w:rFonts w:ascii="微软雅黑" w:hAnsi="微软雅黑" w:eastAsia="微软雅黑"/>
        </w:rPr>
        <w:t>双侧面颊；</w:t>
      </w:r>
    </w:p>
    <w:p w14:paraId="308C3425">
      <w:pPr>
        <w:pStyle w:val="16"/>
      </w:pPr>
      <w:r>
        <w:rPr>
          <w:rFonts w:ascii="微软雅黑" w:hAnsi="微软雅黑" w:eastAsia="微软雅黑"/>
        </w:rPr>
        <w:t>下颌；</w:t>
      </w:r>
    </w:p>
    <w:p w14:paraId="7ADE4B77">
      <w:pPr>
        <w:pStyle w:val="16"/>
      </w:pPr>
      <w:r>
        <w:rPr>
          <w:rFonts w:ascii="微软雅黑" w:hAnsi="微软雅黑" w:eastAsia="微软雅黑"/>
        </w:rPr>
        <w:t>鼻部及鼻旁。</w:t>
      </w:r>
    </w:p>
    <w:p w14:paraId="7E7CE6EE">
      <w:r>
        <w:rPr>
          <w:rFonts w:ascii="微软雅黑" w:hAnsi="微软雅黑" w:eastAsia="微软雅黑"/>
        </w:rPr>
        <w:t>左右对称区域应分别统计，以评价单侧集中或左右差异。</w:t>
      </w:r>
    </w:p>
    <w:p w14:paraId="44C1B245">
      <w:pPr>
        <w:pStyle w:val="4"/>
      </w:pPr>
      <w:r>
        <w:t>6.4 毛囊周围红斑样目标</w:t>
      </w:r>
    </w:p>
    <w:p w14:paraId="57EB607A">
      <w:pPr>
        <w:pStyle w:val="5"/>
      </w:pPr>
      <w:r>
        <w:t>6.4.1 医学定义</w:t>
      </w:r>
    </w:p>
    <w:p w14:paraId="60086191">
      <w:r>
        <w:rPr>
          <w:rFonts w:ascii="微软雅黑" w:hAnsi="微软雅黑" w:eastAsia="微软雅黑"/>
        </w:rPr>
        <w:t>毛囊周围红斑样目标是指：</w:t>
      </w:r>
    </w:p>
    <w:p w14:paraId="26BA86D1">
      <w:pPr>
        <w:pStyle w:val="16"/>
      </w:pPr>
      <w:r>
        <w:rPr>
          <w:rFonts w:ascii="微软雅黑" w:hAnsi="微软雅黑" w:eastAsia="微软雅黑"/>
        </w:rPr>
        <w:t>能够识别毛孔或毛囊中心；</w:t>
      </w:r>
    </w:p>
    <w:p w14:paraId="4A438AEC">
      <w:pPr>
        <w:pStyle w:val="16"/>
      </w:pPr>
      <w:r>
        <w:rPr>
          <w:rFonts w:ascii="微软雅黑" w:hAnsi="微软雅黑" w:eastAsia="微软雅黑"/>
        </w:rPr>
        <w:t>毛囊周围存在环状、点状或小片状红色；</w:t>
      </w:r>
    </w:p>
    <w:p w14:paraId="695A523D">
      <w:pPr>
        <w:pStyle w:val="16"/>
      </w:pPr>
      <w:r>
        <w:rPr>
          <w:rFonts w:ascii="微软雅黑" w:hAnsi="微软雅黑" w:eastAsia="微软雅黑"/>
        </w:rPr>
        <w:t>无明确丘疹样隆起；</w:t>
      </w:r>
    </w:p>
    <w:p w14:paraId="7177500E">
      <w:pPr>
        <w:pStyle w:val="16"/>
      </w:pPr>
      <w:r>
        <w:rPr>
          <w:rFonts w:ascii="微软雅黑" w:hAnsi="微软雅黑" w:eastAsia="微软雅黑"/>
        </w:rPr>
        <w:t>无白色或黄色中心。</w:t>
      </w:r>
    </w:p>
    <w:p w14:paraId="7A660FAB">
      <w:pPr>
        <w:pStyle w:val="5"/>
      </w:pPr>
      <w:r>
        <w:t>6.4.2 紫质的评价意义</w:t>
      </w:r>
    </w:p>
    <w:p w14:paraId="6C1C14A8">
      <w:pPr>
        <w:pStyle w:val="16"/>
      </w:pPr>
      <w:r>
        <w:rPr>
          <w:rFonts w:ascii="微软雅黑" w:hAnsi="微软雅黑" w:eastAsia="微软雅黑"/>
        </w:rPr>
        <w:t>红色目标与紫质中心重合时，更支持该红色反应围绕卟啉阳性毛囊发生；</w:t>
      </w:r>
    </w:p>
    <w:p w14:paraId="5E17B7D6">
      <w:pPr>
        <w:pStyle w:val="16"/>
      </w:pPr>
      <w:r>
        <w:rPr>
          <w:rFonts w:ascii="微软雅黑" w:hAnsi="微软雅黑" w:eastAsia="微软雅黑"/>
        </w:rPr>
        <w:t>紫质不明显时，仍可判断为毛囊周围红斑样目标；</w:t>
      </w:r>
    </w:p>
    <w:p w14:paraId="2FFA3C14">
      <w:pPr>
        <w:pStyle w:val="16"/>
      </w:pPr>
      <w:r>
        <w:rPr>
          <w:rFonts w:ascii="微软雅黑" w:hAnsi="微软雅黑" w:eastAsia="微软雅黑"/>
        </w:rPr>
        <w:t>紫质明显只能作为毛囊相关性的辅助证据，不能单独证明存在活动性炎症。</w:t>
      </w:r>
    </w:p>
    <w:p w14:paraId="3D5852E3">
      <w:pPr>
        <w:pStyle w:val="5"/>
      </w:pPr>
      <w:r>
        <w:t>6.4.3 需要检测的指标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9A0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71E0A9FE">
            <w:pPr>
              <w:spacing w:after="0"/>
            </w:pPr>
            <w:r>
              <w:rPr>
                <w:rFonts w:ascii="微软雅黑" w:hAnsi="微软雅黑" w:eastAsia="微软雅黑"/>
                <w:b/>
                <w:sz w:val="18"/>
              </w:rPr>
              <w:t>指标</w:t>
            </w:r>
          </w:p>
        </w:tc>
        <w:tc>
          <w:tcPr>
            <w:tcW w:w="4680" w:type="dxa"/>
            <w:shd w:val="clear" w:color="auto" w:fill="E8EEF5"/>
            <w:tcMar>
              <w:top w:w="80" w:type="dxa"/>
              <w:left w:w="120" w:type="dxa"/>
              <w:bottom w:w="80" w:type="dxa"/>
              <w:right w:w="120" w:type="dxa"/>
            </w:tcMar>
            <w:vAlign w:val="center"/>
          </w:tcPr>
          <w:p w14:paraId="1E00A25D">
            <w:pPr>
              <w:spacing w:after="0"/>
            </w:pPr>
            <w:r>
              <w:rPr>
                <w:rFonts w:ascii="微软雅黑" w:hAnsi="微软雅黑" w:eastAsia="微软雅黑"/>
                <w:b/>
                <w:sz w:val="18"/>
              </w:rPr>
              <w:t>医学意义</w:t>
            </w:r>
          </w:p>
        </w:tc>
      </w:tr>
      <w:tr w14:paraId="5677E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379F455">
            <w:pPr>
              <w:spacing w:after="0"/>
            </w:pPr>
            <w:r>
              <w:rPr>
                <w:rFonts w:ascii="微软雅黑" w:hAnsi="微软雅黑" w:eastAsia="微软雅黑"/>
                <w:b w:val="0"/>
                <w:sz w:val="18"/>
              </w:rPr>
              <w:t>毛囊中心匹配度</w:t>
            </w:r>
          </w:p>
        </w:tc>
        <w:tc>
          <w:tcPr>
            <w:tcW w:w="4680" w:type="dxa"/>
            <w:tcMar>
              <w:top w:w="80" w:type="dxa"/>
              <w:left w:w="120" w:type="dxa"/>
              <w:bottom w:w="80" w:type="dxa"/>
              <w:right w:w="120" w:type="dxa"/>
            </w:tcMar>
            <w:vAlign w:val="center"/>
          </w:tcPr>
          <w:p w14:paraId="04AD69A6">
            <w:pPr>
              <w:spacing w:after="0"/>
            </w:pPr>
            <w:r>
              <w:rPr>
                <w:rFonts w:ascii="微软雅黑" w:hAnsi="微软雅黑" w:eastAsia="微软雅黑"/>
                <w:b w:val="0"/>
                <w:sz w:val="18"/>
              </w:rPr>
              <w:t>红色是否真正以毛囊为中心</w:t>
            </w:r>
          </w:p>
        </w:tc>
      </w:tr>
      <w:tr w14:paraId="09B1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045BD34">
            <w:pPr>
              <w:spacing w:after="0"/>
            </w:pPr>
            <w:r>
              <w:rPr>
                <w:rFonts w:ascii="微软雅黑" w:hAnsi="微软雅黑" w:eastAsia="微软雅黑"/>
                <w:b w:val="0"/>
                <w:sz w:val="18"/>
              </w:rPr>
              <w:t>毛囊周围红色面积</w:t>
            </w:r>
          </w:p>
        </w:tc>
        <w:tc>
          <w:tcPr>
            <w:tcW w:w="4680" w:type="dxa"/>
            <w:tcMar>
              <w:top w:w="80" w:type="dxa"/>
              <w:left w:w="120" w:type="dxa"/>
              <w:bottom w:w="80" w:type="dxa"/>
              <w:right w:w="120" w:type="dxa"/>
            </w:tcMar>
            <w:vAlign w:val="center"/>
          </w:tcPr>
          <w:p w14:paraId="74CA4E85">
            <w:pPr>
              <w:spacing w:after="0"/>
            </w:pPr>
            <w:r>
              <w:rPr>
                <w:rFonts w:ascii="微软雅黑" w:hAnsi="微软雅黑" w:eastAsia="微软雅黑"/>
                <w:b w:val="0"/>
                <w:sz w:val="18"/>
              </w:rPr>
              <w:t>单个毛囊红晕的影响范围</w:t>
            </w:r>
          </w:p>
        </w:tc>
      </w:tr>
      <w:tr w14:paraId="5811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A945D1C">
            <w:pPr>
              <w:spacing w:after="0"/>
            </w:pPr>
            <w:r>
              <w:rPr>
                <w:rFonts w:ascii="微软雅黑" w:hAnsi="微软雅黑" w:eastAsia="微软雅黑"/>
                <w:b w:val="0"/>
                <w:sz w:val="18"/>
              </w:rPr>
              <w:t>毛囊周围红色强度</w:t>
            </w:r>
          </w:p>
        </w:tc>
        <w:tc>
          <w:tcPr>
            <w:tcW w:w="4680" w:type="dxa"/>
            <w:tcMar>
              <w:top w:w="80" w:type="dxa"/>
              <w:left w:w="120" w:type="dxa"/>
              <w:bottom w:w="80" w:type="dxa"/>
              <w:right w:w="120" w:type="dxa"/>
            </w:tcMar>
            <w:vAlign w:val="center"/>
          </w:tcPr>
          <w:p w14:paraId="556C475F">
            <w:pPr>
              <w:spacing w:after="0"/>
            </w:pPr>
            <w:r>
              <w:rPr>
                <w:rFonts w:ascii="微软雅黑" w:hAnsi="微软雅黑" w:eastAsia="微软雅黑"/>
                <w:b w:val="0"/>
                <w:sz w:val="18"/>
              </w:rPr>
              <w:t>红色反应的明显程度</w:t>
            </w:r>
          </w:p>
        </w:tc>
      </w:tr>
      <w:tr w14:paraId="1D23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9B4298E">
            <w:pPr>
              <w:spacing w:after="0"/>
            </w:pPr>
            <w:r>
              <w:rPr>
                <w:rFonts w:ascii="微软雅黑" w:hAnsi="微软雅黑" w:eastAsia="微软雅黑"/>
                <w:b w:val="0"/>
                <w:sz w:val="18"/>
              </w:rPr>
              <w:t>红晕完整度</w:t>
            </w:r>
          </w:p>
        </w:tc>
        <w:tc>
          <w:tcPr>
            <w:tcW w:w="4680" w:type="dxa"/>
            <w:tcMar>
              <w:top w:w="80" w:type="dxa"/>
              <w:left w:w="120" w:type="dxa"/>
              <w:bottom w:w="80" w:type="dxa"/>
              <w:right w:w="120" w:type="dxa"/>
            </w:tcMar>
            <w:vAlign w:val="center"/>
          </w:tcPr>
          <w:p w14:paraId="7AFD8AC8">
            <w:pPr>
              <w:spacing w:after="0"/>
            </w:pPr>
            <w:r>
              <w:rPr>
                <w:rFonts w:ascii="微软雅黑" w:hAnsi="微软雅黑" w:eastAsia="微软雅黑"/>
                <w:b w:val="0"/>
                <w:sz w:val="18"/>
              </w:rPr>
              <w:t>红色是否完整或部分环绕毛囊</w:t>
            </w:r>
          </w:p>
        </w:tc>
      </w:tr>
      <w:tr w14:paraId="3046C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E89901F">
            <w:pPr>
              <w:spacing w:after="0"/>
            </w:pPr>
            <w:r>
              <w:rPr>
                <w:rFonts w:ascii="微软雅黑" w:hAnsi="微软雅黑" w:eastAsia="微软雅黑"/>
                <w:b w:val="0"/>
                <w:sz w:val="18"/>
              </w:rPr>
              <w:t>红色—紫质中心重叠度</w:t>
            </w:r>
          </w:p>
        </w:tc>
        <w:tc>
          <w:tcPr>
            <w:tcW w:w="4680" w:type="dxa"/>
            <w:tcMar>
              <w:top w:w="80" w:type="dxa"/>
              <w:left w:w="120" w:type="dxa"/>
              <w:bottom w:w="80" w:type="dxa"/>
              <w:right w:w="120" w:type="dxa"/>
            </w:tcMar>
            <w:vAlign w:val="center"/>
          </w:tcPr>
          <w:p w14:paraId="55D10481">
            <w:pPr>
              <w:spacing w:after="0"/>
            </w:pPr>
            <w:r>
              <w:rPr>
                <w:rFonts w:ascii="微软雅黑" w:hAnsi="微软雅黑" w:eastAsia="微软雅黑"/>
                <w:b w:val="0"/>
                <w:sz w:val="18"/>
              </w:rPr>
              <w:t>是否与卟啉阳性毛囊相关</w:t>
            </w:r>
          </w:p>
        </w:tc>
      </w:tr>
      <w:tr w14:paraId="4CE7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C86BC88">
            <w:pPr>
              <w:spacing w:after="0"/>
            </w:pPr>
            <w:r>
              <w:rPr>
                <w:rFonts w:ascii="微软雅黑" w:hAnsi="微软雅黑" w:eastAsia="微软雅黑"/>
                <w:b w:val="0"/>
                <w:sz w:val="18"/>
              </w:rPr>
              <w:t>紫质强度</w:t>
            </w:r>
          </w:p>
        </w:tc>
        <w:tc>
          <w:tcPr>
            <w:tcW w:w="4680" w:type="dxa"/>
            <w:tcMar>
              <w:top w:w="80" w:type="dxa"/>
              <w:left w:w="120" w:type="dxa"/>
              <w:bottom w:w="80" w:type="dxa"/>
              <w:right w:w="120" w:type="dxa"/>
            </w:tcMar>
            <w:vAlign w:val="center"/>
          </w:tcPr>
          <w:p w14:paraId="24DAF1B4">
            <w:pPr>
              <w:spacing w:after="0"/>
            </w:pPr>
            <w:r>
              <w:rPr>
                <w:rFonts w:ascii="微软雅黑" w:hAnsi="微软雅黑" w:eastAsia="微软雅黑"/>
                <w:b w:val="0"/>
                <w:sz w:val="18"/>
              </w:rPr>
              <w:t>该毛囊的卟啉荧光程度</w:t>
            </w:r>
          </w:p>
        </w:tc>
      </w:tr>
      <w:tr w14:paraId="6DF2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46C7BF1">
            <w:pPr>
              <w:spacing w:after="0"/>
            </w:pPr>
            <w:r>
              <w:rPr>
                <w:rFonts w:ascii="微软雅黑" w:hAnsi="微软雅黑" w:eastAsia="微软雅黑"/>
                <w:b w:val="0"/>
                <w:sz w:val="18"/>
              </w:rPr>
              <w:t>局部隆起程度</w:t>
            </w:r>
          </w:p>
        </w:tc>
        <w:tc>
          <w:tcPr>
            <w:tcW w:w="4680" w:type="dxa"/>
            <w:tcMar>
              <w:top w:w="80" w:type="dxa"/>
              <w:left w:w="120" w:type="dxa"/>
              <w:bottom w:w="80" w:type="dxa"/>
              <w:right w:w="120" w:type="dxa"/>
            </w:tcMar>
            <w:vAlign w:val="center"/>
          </w:tcPr>
          <w:p w14:paraId="3C653AB1">
            <w:pPr>
              <w:spacing w:after="0"/>
            </w:pPr>
            <w:r>
              <w:rPr>
                <w:rFonts w:ascii="微软雅黑" w:hAnsi="微软雅黑" w:eastAsia="微软雅黑"/>
                <w:b w:val="0"/>
                <w:sz w:val="18"/>
              </w:rPr>
              <w:t>用于确认是否缺少明显丘疹样隆起</w:t>
            </w:r>
          </w:p>
        </w:tc>
      </w:tr>
      <w:tr w14:paraId="75C48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DAB7094">
            <w:pPr>
              <w:spacing w:after="0"/>
            </w:pPr>
            <w:r>
              <w:rPr>
                <w:rFonts w:ascii="微软雅黑" w:hAnsi="微软雅黑" w:eastAsia="微软雅黑"/>
                <w:b w:val="0"/>
                <w:sz w:val="18"/>
              </w:rPr>
              <w:t>目标数量</w:t>
            </w:r>
          </w:p>
        </w:tc>
        <w:tc>
          <w:tcPr>
            <w:tcW w:w="4680" w:type="dxa"/>
            <w:tcMar>
              <w:top w:w="80" w:type="dxa"/>
              <w:left w:w="120" w:type="dxa"/>
              <w:bottom w:w="80" w:type="dxa"/>
              <w:right w:w="120" w:type="dxa"/>
            </w:tcMar>
            <w:vAlign w:val="center"/>
          </w:tcPr>
          <w:p w14:paraId="63B001F2">
            <w:pPr>
              <w:spacing w:after="0"/>
            </w:pPr>
            <w:r>
              <w:rPr>
                <w:rFonts w:ascii="微软雅黑" w:hAnsi="微软雅黑" w:eastAsia="微软雅黑"/>
                <w:b w:val="0"/>
                <w:sz w:val="18"/>
              </w:rPr>
              <w:t>毛囊周围红斑样目标总数</w:t>
            </w:r>
          </w:p>
        </w:tc>
      </w:tr>
      <w:tr w14:paraId="0A219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6389B81">
            <w:pPr>
              <w:spacing w:after="0"/>
            </w:pPr>
            <w:r>
              <w:rPr>
                <w:rFonts w:ascii="微软雅黑" w:hAnsi="微软雅黑" w:eastAsia="微软雅黑"/>
                <w:b w:val="0"/>
                <w:sz w:val="18"/>
              </w:rPr>
              <w:t>目标密度</w:t>
            </w:r>
          </w:p>
        </w:tc>
        <w:tc>
          <w:tcPr>
            <w:tcW w:w="4680" w:type="dxa"/>
            <w:tcMar>
              <w:top w:w="80" w:type="dxa"/>
              <w:left w:w="120" w:type="dxa"/>
              <w:bottom w:w="80" w:type="dxa"/>
              <w:right w:w="120" w:type="dxa"/>
            </w:tcMar>
            <w:vAlign w:val="center"/>
          </w:tcPr>
          <w:p w14:paraId="07D060E1">
            <w:pPr>
              <w:spacing w:after="0"/>
            </w:pPr>
            <w:r>
              <w:rPr>
                <w:rFonts w:ascii="微软雅黑" w:hAnsi="微软雅黑" w:eastAsia="微软雅黑"/>
                <w:b w:val="0"/>
                <w:sz w:val="18"/>
              </w:rPr>
              <w:t>单位有效皮肤面积内的目标数量</w:t>
            </w:r>
          </w:p>
        </w:tc>
      </w:tr>
      <w:tr w14:paraId="7725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D5A9F0E">
            <w:pPr>
              <w:spacing w:after="0"/>
            </w:pPr>
            <w:r>
              <w:rPr>
                <w:rFonts w:ascii="微软雅黑" w:hAnsi="微软雅黑" w:eastAsia="微软雅黑"/>
                <w:b w:val="0"/>
                <w:sz w:val="18"/>
              </w:rPr>
              <w:t>红斑总面积占比</w:t>
            </w:r>
          </w:p>
        </w:tc>
        <w:tc>
          <w:tcPr>
            <w:tcW w:w="4680" w:type="dxa"/>
            <w:tcMar>
              <w:top w:w="80" w:type="dxa"/>
              <w:left w:w="120" w:type="dxa"/>
              <w:bottom w:w="80" w:type="dxa"/>
              <w:right w:w="120" w:type="dxa"/>
            </w:tcMar>
            <w:vAlign w:val="center"/>
          </w:tcPr>
          <w:p w14:paraId="692C58AB">
            <w:pPr>
              <w:spacing w:after="0"/>
            </w:pPr>
            <w:r>
              <w:rPr>
                <w:rFonts w:ascii="微软雅黑" w:hAnsi="微软雅黑" w:eastAsia="微软雅黑"/>
                <w:b w:val="0"/>
                <w:sz w:val="18"/>
              </w:rPr>
              <w:t>毛囊周围红斑的总体覆盖范围</w:t>
            </w:r>
          </w:p>
        </w:tc>
      </w:tr>
      <w:tr w14:paraId="26BC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C6FA14C">
            <w:pPr>
              <w:spacing w:after="0"/>
            </w:pPr>
            <w:r>
              <w:rPr>
                <w:rFonts w:ascii="微软雅黑" w:hAnsi="微软雅黑" w:eastAsia="微软雅黑"/>
                <w:b w:val="0"/>
                <w:sz w:val="18"/>
              </w:rPr>
              <w:t>分区分布</w:t>
            </w:r>
          </w:p>
        </w:tc>
        <w:tc>
          <w:tcPr>
            <w:tcW w:w="4680" w:type="dxa"/>
            <w:tcMar>
              <w:top w:w="80" w:type="dxa"/>
              <w:left w:w="120" w:type="dxa"/>
              <w:bottom w:w="80" w:type="dxa"/>
              <w:right w:w="120" w:type="dxa"/>
            </w:tcMar>
            <w:vAlign w:val="center"/>
          </w:tcPr>
          <w:p w14:paraId="688A6263">
            <w:pPr>
              <w:spacing w:after="0"/>
            </w:pPr>
            <w:r>
              <w:rPr>
                <w:rFonts w:ascii="微软雅黑" w:hAnsi="微软雅黑" w:eastAsia="微软雅黑"/>
                <w:b w:val="0"/>
                <w:sz w:val="18"/>
              </w:rPr>
              <w:t>主要受累面部区域</w:t>
            </w:r>
          </w:p>
        </w:tc>
      </w:tr>
      <w:tr w14:paraId="1EC52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561FF07">
            <w:pPr>
              <w:spacing w:after="0"/>
            </w:pPr>
            <w:r>
              <w:rPr>
                <w:rFonts w:ascii="微软雅黑" w:hAnsi="微软雅黑" w:eastAsia="微软雅黑"/>
                <w:b w:val="0"/>
                <w:sz w:val="18"/>
              </w:rPr>
              <w:t>左右不对称性</w:t>
            </w:r>
          </w:p>
        </w:tc>
        <w:tc>
          <w:tcPr>
            <w:tcW w:w="4680" w:type="dxa"/>
            <w:tcMar>
              <w:top w:w="80" w:type="dxa"/>
              <w:left w:w="120" w:type="dxa"/>
              <w:bottom w:w="80" w:type="dxa"/>
              <w:right w:w="120" w:type="dxa"/>
            </w:tcMar>
            <w:vAlign w:val="center"/>
          </w:tcPr>
          <w:p w14:paraId="33E3ADAB">
            <w:pPr>
              <w:spacing w:after="0"/>
            </w:pPr>
            <w:r>
              <w:rPr>
                <w:rFonts w:ascii="微软雅黑" w:hAnsi="微软雅黑" w:eastAsia="微软雅黑"/>
                <w:b w:val="0"/>
                <w:sz w:val="18"/>
              </w:rPr>
              <w:t>是否存在明显单侧集中</w:t>
            </w:r>
          </w:p>
        </w:tc>
      </w:tr>
    </w:tbl>
    <w:p w14:paraId="68952BBC"/>
    <w:p w14:paraId="7BD610BC">
      <w:pPr>
        <w:pStyle w:val="5"/>
      </w:pPr>
      <w:r>
        <w:t>6.4.4 单目标评分组成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D6CC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458B18D3">
            <w:pPr>
              <w:spacing w:after="0"/>
            </w:pPr>
            <w:r>
              <w:rPr>
                <w:rFonts w:ascii="微软雅黑" w:hAnsi="微软雅黑" w:eastAsia="微软雅黑"/>
                <w:b/>
                <w:sz w:val="18"/>
              </w:rPr>
              <w:t>证据组</w:t>
            </w:r>
          </w:p>
        </w:tc>
        <w:tc>
          <w:tcPr>
            <w:tcW w:w="4680" w:type="dxa"/>
            <w:shd w:val="clear" w:color="auto" w:fill="E8EEF5"/>
            <w:tcMar>
              <w:top w:w="80" w:type="dxa"/>
              <w:left w:w="120" w:type="dxa"/>
              <w:bottom w:w="80" w:type="dxa"/>
              <w:right w:w="120" w:type="dxa"/>
            </w:tcMar>
            <w:vAlign w:val="center"/>
          </w:tcPr>
          <w:p w14:paraId="78875101">
            <w:pPr>
              <w:spacing w:after="0"/>
            </w:pPr>
            <w:r>
              <w:rPr>
                <w:rFonts w:ascii="微软雅黑" w:hAnsi="微软雅黑" w:eastAsia="微软雅黑"/>
                <w:b/>
                <w:sz w:val="18"/>
              </w:rPr>
              <w:t>初始医学权重</w:t>
            </w:r>
          </w:p>
        </w:tc>
      </w:tr>
      <w:tr w14:paraId="2D0D2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3EC4FBD">
            <w:pPr>
              <w:spacing w:after="0"/>
            </w:pPr>
            <w:r>
              <w:rPr>
                <w:rFonts w:ascii="微软雅黑" w:hAnsi="微软雅黑" w:eastAsia="微软雅黑"/>
                <w:b w:val="0"/>
                <w:sz w:val="18"/>
              </w:rPr>
              <w:t>毛囊中心定位</w:t>
            </w:r>
          </w:p>
        </w:tc>
        <w:tc>
          <w:tcPr>
            <w:tcW w:w="4680" w:type="dxa"/>
            <w:tcMar>
              <w:top w:w="80" w:type="dxa"/>
              <w:left w:w="120" w:type="dxa"/>
              <w:bottom w:w="80" w:type="dxa"/>
              <w:right w:w="120" w:type="dxa"/>
            </w:tcMar>
            <w:vAlign w:val="center"/>
          </w:tcPr>
          <w:p w14:paraId="72D1BDA6">
            <w:pPr>
              <w:spacing w:after="0"/>
            </w:pPr>
            <w:r>
              <w:rPr>
                <w:rFonts w:ascii="微软雅黑" w:hAnsi="微软雅黑" w:eastAsia="微软雅黑"/>
                <w:b w:val="0"/>
                <w:sz w:val="18"/>
              </w:rPr>
              <w:t>30%</w:t>
            </w:r>
          </w:p>
        </w:tc>
      </w:tr>
      <w:tr w14:paraId="66581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F89E8A3">
            <w:pPr>
              <w:spacing w:after="0"/>
            </w:pPr>
            <w:r>
              <w:rPr>
                <w:rFonts w:ascii="微软雅黑" w:hAnsi="微软雅黑" w:eastAsia="微软雅黑"/>
                <w:b w:val="0"/>
                <w:sz w:val="18"/>
              </w:rPr>
              <w:t>周围红色面积及强度</w:t>
            </w:r>
          </w:p>
        </w:tc>
        <w:tc>
          <w:tcPr>
            <w:tcW w:w="4680" w:type="dxa"/>
            <w:tcMar>
              <w:top w:w="80" w:type="dxa"/>
              <w:left w:w="120" w:type="dxa"/>
              <w:bottom w:w="80" w:type="dxa"/>
              <w:right w:w="120" w:type="dxa"/>
            </w:tcMar>
            <w:vAlign w:val="center"/>
          </w:tcPr>
          <w:p w14:paraId="09C8D56C">
            <w:pPr>
              <w:spacing w:after="0"/>
            </w:pPr>
            <w:r>
              <w:rPr>
                <w:rFonts w:ascii="微软雅黑" w:hAnsi="微软雅黑" w:eastAsia="微软雅黑"/>
                <w:b w:val="0"/>
                <w:sz w:val="18"/>
              </w:rPr>
              <w:t>35%</w:t>
            </w:r>
          </w:p>
        </w:tc>
      </w:tr>
      <w:tr w14:paraId="7B51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75C109E">
            <w:pPr>
              <w:spacing w:after="0"/>
            </w:pPr>
            <w:r>
              <w:rPr>
                <w:rFonts w:ascii="微软雅黑" w:hAnsi="微软雅黑" w:eastAsia="微软雅黑"/>
                <w:b w:val="0"/>
                <w:sz w:val="18"/>
              </w:rPr>
              <w:t>环状或毛囊周围分布形态</w:t>
            </w:r>
          </w:p>
        </w:tc>
        <w:tc>
          <w:tcPr>
            <w:tcW w:w="4680" w:type="dxa"/>
            <w:tcMar>
              <w:top w:w="80" w:type="dxa"/>
              <w:left w:w="120" w:type="dxa"/>
              <w:bottom w:w="80" w:type="dxa"/>
              <w:right w:w="120" w:type="dxa"/>
            </w:tcMar>
            <w:vAlign w:val="center"/>
          </w:tcPr>
          <w:p w14:paraId="4FD12BE9">
            <w:pPr>
              <w:spacing w:after="0"/>
            </w:pPr>
            <w:r>
              <w:rPr>
                <w:rFonts w:ascii="微软雅黑" w:hAnsi="微软雅黑" w:eastAsia="微软雅黑"/>
                <w:b w:val="0"/>
                <w:sz w:val="18"/>
              </w:rPr>
              <w:t>20%</w:t>
            </w:r>
          </w:p>
        </w:tc>
      </w:tr>
      <w:tr w14:paraId="4DAC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04F240D">
            <w:pPr>
              <w:spacing w:after="0"/>
            </w:pPr>
            <w:r>
              <w:rPr>
                <w:rFonts w:ascii="微软雅黑" w:hAnsi="微软雅黑" w:eastAsia="微软雅黑"/>
                <w:b w:val="0"/>
                <w:sz w:val="18"/>
              </w:rPr>
              <w:t>紫质重叠及强度</w:t>
            </w:r>
          </w:p>
        </w:tc>
        <w:tc>
          <w:tcPr>
            <w:tcW w:w="4680" w:type="dxa"/>
            <w:tcMar>
              <w:top w:w="80" w:type="dxa"/>
              <w:left w:w="120" w:type="dxa"/>
              <w:bottom w:w="80" w:type="dxa"/>
              <w:right w:w="120" w:type="dxa"/>
            </w:tcMar>
            <w:vAlign w:val="center"/>
          </w:tcPr>
          <w:p w14:paraId="62FEA16C">
            <w:pPr>
              <w:spacing w:after="0"/>
            </w:pPr>
            <w:r>
              <w:rPr>
                <w:rFonts w:ascii="微软雅黑" w:hAnsi="微软雅黑" w:eastAsia="微软雅黑"/>
                <w:b w:val="0"/>
                <w:sz w:val="18"/>
              </w:rPr>
              <w:t>15%</w:t>
            </w:r>
          </w:p>
        </w:tc>
      </w:tr>
    </w:tbl>
    <w:p w14:paraId="312D4D8A"/>
    <w:p w14:paraId="779FF896">
      <w:pPr>
        <w:pStyle w:val="5"/>
      </w:pPr>
      <w:r>
        <w:t>6.4.5 可反映的临床问题</w:t>
      </w:r>
    </w:p>
    <w:p w14:paraId="69277EA5">
      <w:r>
        <w:rPr>
          <w:rFonts w:ascii="微软雅黑" w:hAnsi="微软雅黑" w:eastAsia="微软雅黑"/>
        </w:rPr>
        <w:t>可以提示：</w:t>
      </w:r>
    </w:p>
    <w:p w14:paraId="46722F4F">
      <w:pPr>
        <w:pStyle w:val="16"/>
      </w:pPr>
      <w:r>
        <w:rPr>
          <w:rFonts w:ascii="微软雅黑" w:hAnsi="微软雅黑" w:eastAsia="微软雅黑"/>
        </w:rPr>
        <w:t>毛囊周围局部充血；</w:t>
      </w:r>
    </w:p>
    <w:p w14:paraId="5B86ED84">
      <w:pPr>
        <w:pStyle w:val="16"/>
      </w:pPr>
      <w:r>
        <w:rPr>
          <w:rFonts w:ascii="微软雅黑" w:hAnsi="微软雅黑" w:eastAsia="微软雅黑"/>
        </w:rPr>
        <w:t>毛囊周围刺激样反应；</w:t>
      </w:r>
    </w:p>
    <w:p w14:paraId="1DD69670">
      <w:pPr>
        <w:pStyle w:val="16"/>
      </w:pPr>
      <w:r>
        <w:rPr>
          <w:rFonts w:ascii="微软雅黑" w:hAnsi="微软雅黑" w:eastAsia="微软雅黑"/>
        </w:rPr>
        <w:t>早期或轻度毛囊炎症样反应；</w:t>
      </w:r>
    </w:p>
    <w:p w14:paraId="3392F9A2">
      <w:pPr>
        <w:pStyle w:val="16"/>
      </w:pPr>
      <w:r>
        <w:rPr>
          <w:rFonts w:ascii="微软雅黑" w:hAnsi="微软雅黑" w:eastAsia="微软雅黑"/>
        </w:rPr>
        <w:t>卟啉阳性毛囊周围红色反应。</w:t>
      </w:r>
    </w:p>
    <w:p w14:paraId="38B9FA29">
      <w:r>
        <w:rPr>
          <w:rFonts w:ascii="微软雅黑" w:hAnsi="微软雅黑" w:eastAsia="微软雅黑"/>
        </w:rPr>
        <w:t>不能单独确定：</w:t>
      </w:r>
    </w:p>
    <w:p w14:paraId="2C5B46A7">
      <w:pPr>
        <w:pStyle w:val="16"/>
      </w:pPr>
      <w:r>
        <w:rPr>
          <w:rFonts w:ascii="微软雅黑" w:hAnsi="微软雅黑" w:eastAsia="微软雅黑"/>
        </w:rPr>
        <w:t>痤疮；</w:t>
      </w:r>
    </w:p>
    <w:p w14:paraId="7B376DA5">
      <w:pPr>
        <w:pStyle w:val="16"/>
      </w:pPr>
      <w:r>
        <w:rPr>
          <w:rFonts w:ascii="微软雅黑" w:hAnsi="微软雅黑" w:eastAsia="微软雅黑"/>
        </w:rPr>
        <w:t>毛囊炎；</w:t>
      </w:r>
    </w:p>
    <w:p w14:paraId="332A817C">
      <w:pPr>
        <w:pStyle w:val="16"/>
      </w:pPr>
      <w:r>
        <w:rPr>
          <w:rFonts w:ascii="微软雅黑" w:hAnsi="微软雅黑" w:eastAsia="微软雅黑"/>
        </w:rPr>
        <w:t>具体病原体；</w:t>
      </w:r>
    </w:p>
    <w:p w14:paraId="04387A2D">
      <w:pPr>
        <w:pStyle w:val="16"/>
      </w:pPr>
      <w:r>
        <w:rPr>
          <w:rFonts w:ascii="微软雅黑" w:hAnsi="微软雅黑" w:eastAsia="微软雅黑"/>
        </w:rPr>
        <w:t>炎症类型。</w:t>
      </w:r>
    </w:p>
    <w:p w14:paraId="4745C348">
      <w:pPr>
        <w:pStyle w:val="5"/>
      </w:pPr>
      <w:r>
        <w:t>6.4.6 报告表述示例</w:t>
      </w:r>
    </w:p>
    <w:p w14:paraId="2DB677E3">
      <w:pPr>
        <w:spacing w:before="80" w:after="160"/>
        <w:ind w:left="360"/>
      </w:pPr>
      <w:r>
        <w:rPr>
          <w:rFonts w:ascii="微软雅黑" w:hAnsi="微软雅黑" w:eastAsia="微软雅黑"/>
        </w:rPr>
        <w:t>检测到较多毛囊周围红斑样目标，主要集中于双侧面颊及下颌。部分目标的红色区域与毛囊中心紫质信号重合，提示部分红色反应发生于卟啉阳性毛囊周围。当前目标以平坦毛囊周围红斑为主，未见明显丘疹样隆起。</w:t>
      </w:r>
    </w:p>
    <w:p w14:paraId="39B92C23">
      <w:pPr>
        <w:pStyle w:val="4"/>
      </w:pPr>
      <w:r>
        <w:t>6.5 毛囊性红色丘疹样目标</w:t>
      </w:r>
    </w:p>
    <w:p w14:paraId="14391E71">
      <w:pPr>
        <w:pStyle w:val="5"/>
      </w:pPr>
      <w:r>
        <w:t>6.5.1 医学定义</w:t>
      </w:r>
    </w:p>
    <w:p w14:paraId="24AD9872">
      <w:r>
        <w:rPr>
          <w:rFonts w:ascii="微软雅黑" w:hAnsi="微软雅黑" w:eastAsia="微软雅黑"/>
        </w:rPr>
        <w:t>毛囊性红色丘疹样目标是指：</w:t>
      </w:r>
    </w:p>
    <w:p w14:paraId="565599B1">
      <w:pPr>
        <w:pStyle w:val="16"/>
      </w:pPr>
      <w:r>
        <w:rPr>
          <w:rFonts w:ascii="微软雅黑" w:hAnsi="微软雅黑" w:eastAsia="微软雅黑"/>
        </w:rPr>
        <w:t>红色目标以毛囊为中心；</w:t>
      </w:r>
    </w:p>
    <w:p w14:paraId="1B6B1555">
      <w:pPr>
        <w:pStyle w:val="16"/>
      </w:pPr>
      <w:r>
        <w:rPr>
          <w:rFonts w:ascii="微软雅黑" w:hAnsi="微软雅黑" w:eastAsia="微软雅黑"/>
        </w:rPr>
        <w:t>存在可确认的局部隆起；</w:t>
      </w:r>
    </w:p>
    <w:p w14:paraId="5D92BB37">
      <w:pPr>
        <w:pStyle w:val="16"/>
      </w:pPr>
      <w:r>
        <w:rPr>
          <w:rFonts w:ascii="微软雅黑" w:hAnsi="微软雅黑" w:eastAsia="微软雅黑"/>
        </w:rPr>
        <w:t>无明确白色或黄色中心；</w:t>
      </w:r>
    </w:p>
    <w:p w14:paraId="54A07550">
      <w:pPr>
        <w:pStyle w:val="16"/>
      </w:pPr>
      <w:r>
        <w:rPr>
          <w:rFonts w:ascii="微软雅黑" w:hAnsi="微软雅黑" w:eastAsia="微软雅黑"/>
        </w:rPr>
        <w:t>红色与隆起位于同一个空间目标。</w:t>
      </w:r>
    </w:p>
    <w:p w14:paraId="785F6701">
      <w:pPr>
        <w:pStyle w:val="5"/>
      </w:pPr>
      <w:r>
        <w:t>6.5.2 紫质的评价意义</w:t>
      </w:r>
    </w:p>
    <w:p w14:paraId="572AA0B6">
      <w:pPr>
        <w:pStyle w:val="16"/>
      </w:pPr>
      <w:r>
        <w:rPr>
          <w:rFonts w:ascii="微软雅黑" w:hAnsi="微软雅黑" w:eastAsia="微软雅黑"/>
        </w:rPr>
        <w:t>紫质与毛囊中心重合时，可以增强该目标与卟啉阳性毛囊相关的证据；</w:t>
      </w:r>
    </w:p>
    <w:p w14:paraId="12955665">
      <w:pPr>
        <w:pStyle w:val="16"/>
      </w:pPr>
      <w:r>
        <w:rPr>
          <w:rFonts w:ascii="微软雅黑" w:hAnsi="微软雅黑" w:eastAsia="微软雅黑"/>
        </w:rPr>
        <w:t>紫质明显时，更支持卟啉阳性毛囊相关的痤疮样炎症活动；</w:t>
      </w:r>
    </w:p>
    <w:p w14:paraId="0B9E116B">
      <w:pPr>
        <w:pStyle w:val="16"/>
      </w:pPr>
      <w:r>
        <w:rPr>
          <w:rFonts w:ascii="微软雅黑" w:hAnsi="微软雅黑" w:eastAsia="微软雅黑"/>
        </w:rPr>
        <w:t>紫质不明显不能排除真实毛囊炎症。</w:t>
      </w:r>
    </w:p>
    <w:p w14:paraId="4D6D12AC">
      <w:pPr>
        <w:pStyle w:val="5"/>
      </w:pPr>
      <w:r>
        <w:t>6.5.3 需要检测的指标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BE9C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4AA3126F">
            <w:pPr>
              <w:spacing w:after="0"/>
            </w:pPr>
            <w:r>
              <w:rPr>
                <w:rFonts w:ascii="微软雅黑" w:hAnsi="微软雅黑" w:eastAsia="微软雅黑"/>
                <w:b/>
                <w:sz w:val="18"/>
              </w:rPr>
              <w:t>指标</w:t>
            </w:r>
          </w:p>
        </w:tc>
        <w:tc>
          <w:tcPr>
            <w:tcW w:w="4680" w:type="dxa"/>
            <w:shd w:val="clear" w:color="auto" w:fill="E8EEF5"/>
            <w:tcMar>
              <w:top w:w="80" w:type="dxa"/>
              <w:left w:w="120" w:type="dxa"/>
              <w:bottom w:w="80" w:type="dxa"/>
              <w:right w:w="120" w:type="dxa"/>
            </w:tcMar>
            <w:vAlign w:val="center"/>
          </w:tcPr>
          <w:p w14:paraId="070AA35F">
            <w:pPr>
              <w:spacing w:after="0"/>
            </w:pPr>
            <w:r>
              <w:rPr>
                <w:rFonts w:ascii="微软雅黑" w:hAnsi="微软雅黑" w:eastAsia="微软雅黑"/>
                <w:b/>
                <w:sz w:val="18"/>
              </w:rPr>
              <w:t>医学意义</w:t>
            </w:r>
          </w:p>
        </w:tc>
      </w:tr>
      <w:tr w14:paraId="49554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FF58D53">
            <w:pPr>
              <w:spacing w:after="0"/>
            </w:pPr>
            <w:r>
              <w:rPr>
                <w:rFonts w:ascii="微软雅黑" w:hAnsi="微软雅黑" w:eastAsia="微软雅黑"/>
                <w:b w:val="0"/>
                <w:sz w:val="18"/>
              </w:rPr>
              <w:t>毛囊中心匹配度</w:t>
            </w:r>
          </w:p>
        </w:tc>
        <w:tc>
          <w:tcPr>
            <w:tcW w:w="4680" w:type="dxa"/>
            <w:tcMar>
              <w:top w:w="80" w:type="dxa"/>
              <w:left w:w="120" w:type="dxa"/>
              <w:bottom w:w="80" w:type="dxa"/>
              <w:right w:w="120" w:type="dxa"/>
            </w:tcMar>
            <w:vAlign w:val="center"/>
          </w:tcPr>
          <w:p w14:paraId="32E220FF">
            <w:pPr>
              <w:spacing w:after="0"/>
            </w:pPr>
            <w:r>
              <w:rPr>
                <w:rFonts w:ascii="微软雅黑" w:hAnsi="微软雅黑" w:eastAsia="微软雅黑"/>
                <w:b w:val="0"/>
                <w:sz w:val="18"/>
              </w:rPr>
              <w:t>确认目标是否以毛囊为中心</w:t>
            </w:r>
          </w:p>
        </w:tc>
      </w:tr>
      <w:tr w14:paraId="7F66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E26960E">
            <w:pPr>
              <w:spacing w:after="0"/>
            </w:pPr>
            <w:r>
              <w:rPr>
                <w:rFonts w:ascii="微软雅黑" w:hAnsi="微软雅黑" w:eastAsia="微软雅黑"/>
                <w:b w:val="0"/>
                <w:sz w:val="18"/>
              </w:rPr>
              <w:t>红色面积</w:t>
            </w:r>
          </w:p>
        </w:tc>
        <w:tc>
          <w:tcPr>
            <w:tcW w:w="4680" w:type="dxa"/>
            <w:tcMar>
              <w:top w:w="80" w:type="dxa"/>
              <w:left w:w="120" w:type="dxa"/>
              <w:bottom w:w="80" w:type="dxa"/>
              <w:right w:w="120" w:type="dxa"/>
            </w:tcMar>
            <w:vAlign w:val="center"/>
          </w:tcPr>
          <w:p w14:paraId="16B1A872">
            <w:pPr>
              <w:spacing w:after="0"/>
            </w:pPr>
            <w:r>
              <w:rPr>
                <w:rFonts w:ascii="微软雅黑" w:hAnsi="微软雅黑" w:eastAsia="微软雅黑"/>
                <w:b w:val="0"/>
                <w:sz w:val="18"/>
              </w:rPr>
              <w:t>丘疹周围红色影响范围</w:t>
            </w:r>
          </w:p>
        </w:tc>
      </w:tr>
      <w:tr w14:paraId="7B116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CBBE7A4">
            <w:pPr>
              <w:spacing w:after="0"/>
            </w:pPr>
            <w:r>
              <w:rPr>
                <w:rFonts w:ascii="微软雅黑" w:hAnsi="微软雅黑" w:eastAsia="微软雅黑"/>
                <w:b w:val="0"/>
                <w:sz w:val="18"/>
              </w:rPr>
              <w:t>红色强度</w:t>
            </w:r>
          </w:p>
        </w:tc>
        <w:tc>
          <w:tcPr>
            <w:tcW w:w="4680" w:type="dxa"/>
            <w:tcMar>
              <w:top w:w="80" w:type="dxa"/>
              <w:left w:w="120" w:type="dxa"/>
              <w:bottom w:w="80" w:type="dxa"/>
              <w:right w:w="120" w:type="dxa"/>
            </w:tcMar>
            <w:vAlign w:val="center"/>
          </w:tcPr>
          <w:p w14:paraId="36EA2918">
            <w:pPr>
              <w:spacing w:after="0"/>
            </w:pPr>
            <w:r>
              <w:rPr>
                <w:rFonts w:ascii="微软雅黑" w:hAnsi="微软雅黑" w:eastAsia="微软雅黑"/>
                <w:b w:val="0"/>
                <w:sz w:val="18"/>
              </w:rPr>
              <w:t>炎症样颜色程度</w:t>
            </w:r>
          </w:p>
        </w:tc>
      </w:tr>
      <w:tr w14:paraId="28C8B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B243AE8">
            <w:pPr>
              <w:spacing w:after="0"/>
            </w:pPr>
            <w:r>
              <w:rPr>
                <w:rFonts w:ascii="微软雅黑" w:hAnsi="微软雅黑" w:eastAsia="微软雅黑"/>
                <w:b w:val="0"/>
                <w:sz w:val="18"/>
              </w:rPr>
              <w:t>隆起程度</w:t>
            </w:r>
          </w:p>
        </w:tc>
        <w:tc>
          <w:tcPr>
            <w:tcW w:w="4680" w:type="dxa"/>
            <w:tcMar>
              <w:top w:w="80" w:type="dxa"/>
              <w:left w:w="120" w:type="dxa"/>
              <w:bottom w:w="80" w:type="dxa"/>
              <w:right w:w="120" w:type="dxa"/>
            </w:tcMar>
            <w:vAlign w:val="center"/>
          </w:tcPr>
          <w:p w14:paraId="1F1007C5">
            <w:pPr>
              <w:spacing w:after="0"/>
            </w:pPr>
            <w:r>
              <w:rPr>
                <w:rFonts w:ascii="微软雅黑" w:hAnsi="微软雅黑" w:eastAsia="微软雅黑"/>
                <w:b w:val="0"/>
                <w:sz w:val="18"/>
              </w:rPr>
              <w:t>丘疹样形态的明显程度</w:t>
            </w:r>
          </w:p>
        </w:tc>
      </w:tr>
      <w:tr w14:paraId="777BA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01D6719">
            <w:pPr>
              <w:spacing w:after="0"/>
            </w:pPr>
            <w:r>
              <w:rPr>
                <w:rFonts w:ascii="微软雅黑" w:hAnsi="微软雅黑" w:eastAsia="微软雅黑"/>
                <w:b w:val="0"/>
                <w:sz w:val="18"/>
              </w:rPr>
              <w:t>隆起范围</w:t>
            </w:r>
          </w:p>
        </w:tc>
        <w:tc>
          <w:tcPr>
            <w:tcW w:w="4680" w:type="dxa"/>
            <w:tcMar>
              <w:top w:w="80" w:type="dxa"/>
              <w:left w:w="120" w:type="dxa"/>
              <w:bottom w:w="80" w:type="dxa"/>
              <w:right w:w="120" w:type="dxa"/>
            </w:tcMar>
            <w:vAlign w:val="center"/>
          </w:tcPr>
          <w:p w14:paraId="13013AAC">
            <w:pPr>
              <w:spacing w:after="0"/>
            </w:pPr>
            <w:r>
              <w:rPr>
                <w:rFonts w:ascii="微软雅黑" w:hAnsi="微软雅黑" w:eastAsia="微软雅黑"/>
                <w:b w:val="0"/>
                <w:sz w:val="18"/>
              </w:rPr>
              <w:t>局部形态改变范围</w:t>
            </w:r>
          </w:p>
        </w:tc>
      </w:tr>
      <w:tr w14:paraId="1B8D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AE299BE">
            <w:pPr>
              <w:spacing w:after="0"/>
            </w:pPr>
            <w:r>
              <w:rPr>
                <w:rFonts w:ascii="微软雅黑" w:hAnsi="微软雅黑" w:eastAsia="微软雅黑"/>
                <w:b w:val="0"/>
                <w:sz w:val="18"/>
              </w:rPr>
              <w:t>红色—隆起重叠度</w:t>
            </w:r>
          </w:p>
        </w:tc>
        <w:tc>
          <w:tcPr>
            <w:tcW w:w="4680" w:type="dxa"/>
            <w:tcMar>
              <w:top w:w="80" w:type="dxa"/>
              <w:left w:w="120" w:type="dxa"/>
              <w:bottom w:w="80" w:type="dxa"/>
              <w:right w:w="120" w:type="dxa"/>
            </w:tcMar>
            <w:vAlign w:val="center"/>
          </w:tcPr>
          <w:p w14:paraId="4AC5187C">
            <w:pPr>
              <w:spacing w:after="0"/>
            </w:pPr>
            <w:r>
              <w:rPr>
                <w:rFonts w:ascii="微软雅黑" w:hAnsi="微软雅黑" w:eastAsia="微软雅黑"/>
                <w:b w:val="0"/>
                <w:sz w:val="18"/>
              </w:rPr>
              <w:t>确认红色和隆起属于同一目标</w:t>
            </w:r>
          </w:p>
        </w:tc>
      </w:tr>
      <w:tr w14:paraId="78A9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28C1D7A">
            <w:pPr>
              <w:spacing w:after="0"/>
            </w:pPr>
            <w:r>
              <w:rPr>
                <w:rFonts w:ascii="微软雅黑" w:hAnsi="微软雅黑" w:eastAsia="微软雅黑"/>
                <w:b w:val="0"/>
                <w:sz w:val="18"/>
              </w:rPr>
              <w:t>紫质中心重叠度</w:t>
            </w:r>
          </w:p>
        </w:tc>
        <w:tc>
          <w:tcPr>
            <w:tcW w:w="4680" w:type="dxa"/>
            <w:tcMar>
              <w:top w:w="80" w:type="dxa"/>
              <w:left w:w="120" w:type="dxa"/>
              <w:bottom w:w="80" w:type="dxa"/>
              <w:right w:w="120" w:type="dxa"/>
            </w:tcMar>
            <w:vAlign w:val="center"/>
          </w:tcPr>
          <w:p w14:paraId="1BB96EB7">
            <w:pPr>
              <w:spacing w:after="0"/>
            </w:pPr>
            <w:r>
              <w:rPr>
                <w:rFonts w:ascii="微软雅黑" w:hAnsi="微软雅黑" w:eastAsia="微软雅黑"/>
                <w:b w:val="0"/>
                <w:sz w:val="18"/>
              </w:rPr>
              <w:t>是否伴卟啉阳性毛囊</w:t>
            </w:r>
          </w:p>
        </w:tc>
      </w:tr>
      <w:tr w14:paraId="656C7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95EF88A">
            <w:pPr>
              <w:spacing w:after="0"/>
            </w:pPr>
            <w:r>
              <w:rPr>
                <w:rFonts w:ascii="微软雅黑" w:hAnsi="微软雅黑" w:eastAsia="微软雅黑"/>
                <w:b w:val="0"/>
                <w:sz w:val="18"/>
              </w:rPr>
              <w:t>紫质强度</w:t>
            </w:r>
          </w:p>
        </w:tc>
        <w:tc>
          <w:tcPr>
            <w:tcW w:w="4680" w:type="dxa"/>
            <w:tcMar>
              <w:top w:w="80" w:type="dxa"/>
              <w:left w:w="120" w:type="dxa"/>
              <w:bottom w:w="80" w:type="dxa"/>
              <w:right w:w="120" w:type="dxa"/>
            </w:tcMar>
            <w:vAlign w:val="center"/>
          </w:tcPr>
          <w:p w14:paraId="6A871567">
            <w:pPr>
              <w:spacing w:after="0"/>
            </w:pPr>
            <w:r>
              <w:rPr>
                <w:rFonts w:ascii="微软雅黑" w:hAnsi="微软雅黑" w:eastAsia="微软雅黑"/>
                <w:b w:val="0"/>
                <w:sz w:val="18"/>
              </w:rPr>
              <w:t>毛囊卟啉荧光程度</w:t>
            </w:r>
          </w:p>
        </w:tc>
      </w:tr>
      <w:tr w14:paraId="188E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B1513AB">
            <w:pPr>
              <w:spacing w:after="0"/>
            </w:pPr>
            <w:r>
              <w:rPr>
                <w:rFonts w:ascii="微软雅黑" w:hAnsi="微软雅黑" w:eastAsia="微软雅黑"/>
                <w:b w:val="0"/>
                <w:sz w:val="18"/>
              </w:rPr>
              <w:t>多角度一致性</w:t>
            </w:r>
          </w:p>
        </w:tc>
        <w:tc>
          <w:tcPr>
            <w:tcW w:w="4680" w:type="dxa"/>
            <w:tcMar>
              <w:top w:w="80" w:type="dxa"/>
              <w:left w:w="120" w:type="dxa"/>
              <w:bottom w:w="80" w:type="dxa"/>
              <w:right w:w="120" w:type="dxa"/>
            </w:tcMar>
            <w:vAlign w:val="center"/>
          </w:tcPr>
          <w:p w14:paraId="61A77712">
            <w:pPr>
              <w:spacing w:after="0"/>
            </w:pPr>
            <w:r>
              <w:rPr>
                <w:rFonts w:ascii="微软雅黑" w:hAnsi="微软雅黑" w:eastAsia="微软雅黑"/>
                <w:b w:val="0"/>
                <w:sz w:val="18"/>
              </w:rPr>
              <w:t>排除光照、反光和阴影误判</w:t>
            </w:r>
          </w:p>
        </w:tc>
      </w:tr>
      <w:tr w14:paraId="3953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08F2012">
            <w:pPr>
              <w:spacing w:after="0"/>
            </w:pPr>
            <w:r>
              <w:rPr>
                <w:rFonts w:ascii="微软雅黑" w:hAnsi="微软雅黑" w:eastAsia="微软雅黑"/>
                <w:b w:val="0"/>
                <w:sz w:val="18"/>
              </w:rPr>
              <w:t>目标数量</w:t>
            </w:r>
          </w:p>
        </w:tc>
        <w:tc>
          <w:tcPr>
            <w:tcW w:w="4680" w:type="dxa"/>
            <w:tcMar>
              <w:top w:w="80" w:type="dxa"/>
              <w:left w:w="120" w:type="dxa"/>
              <w:bottom w:w="80" w:type="dxa"/>
              <w:right w:w="120" w:type="dxa"/>
            </w:tcMar>
            <w:vAlign w:val="center"/>
          </w:tcPr>
          <w:p w14:paraId="74583767">
            <w:pPr>
              <w:spacing w:after="0"/>
            </w:pPr>
            <w:r>
              <w:rPr>
                <w:rFonts w:ascii="微软雅黑" w:hAnsi="微软雅黑" w:eastAsia="微软雅黑"/>
                <w:b w:val="0"/>
                <w:sz w:val="18"/>
              </w:rPr>
              <w:t>毛囊性红色丘疹样目标总数</w:t>
            </w:r>
          </w:p>
        </w:tc>
      </w:tr>
      <w:tr w14:paraId="3797A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BE383B7">
            <w:pPr>
              <w:spacing w:after="0"/>
            </w:pPr>
            <w:r>
              <w:rPr>
                <w:rFonts w:ascii="微软雅黑" w:hAnsi="微软雅黑" w:eastAsia="微软雅黑"/>
                <w:b w:val="0"/>
                <w:sz w:val="18"/>
              </w:rPr>
              <w:t>目标密度</w:t>
            </w:r>
          </w:p>
        </w:tc>
        <w:tc>
          <w:tcPr>
            <w:tcW w:w="4680" w:type="dxa"/>
            <w:tcMar>
              <w:top w:w="80" w:type="dxa"/>
              <w:left w:w="120" w:type="dxa"/>
              <w:bottom w:w="80" w:type="dxa"/>
              <w:right w:w="120" w:type="dxa"/>
            </w:tcMar>
            <w:vAlign w:val="center"/>
          </w:tcPr>
          <w:p w14:paraId="66347B01">
            <w:pPr>
              <w:spacing w:after="0"/>
            </w:pPr>
            <w:r>
              <w:rPr>
                <w:rFonts w:ascii="微软雅黑" w:hAnsi="微软雅黑" w:eastAsia="微软雅黑"/>
                <w:b w:val="0"/>
                <w:sz w:val="18"/>
              </w:rPr>
              <w:t>单位面积目标数量</w:t>
            </w:r>
          </w:p>
        </w:tc>
      </w:tr>
      <w:tr w14:paraId="44F3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1339999">
            <w:pPr>
              <w:spacing w:after="0"/>
            </w:pPr>
            <w:r>
              <w:rPr>
                <w:rFonts w:ascii="微软雅黑" w:hAnsi="微软雅黑" w:eastAsia="微软雅黑"/>
                <w:b w:val="0"/>
                <w:sz w:val="18"/>
              </w:rPr>
              <w:t>目标总面积占比</w:t>
            </w:r>
          </w:p>
        </w:tc>
        <w:tc>
          <w:tcPr>
            <w:tcW w:w="4680" w:type="dxa"/>
            <w:tcMar>
              <w:top w:w="80" w:type="dxa"/>
              <w:left w:w="120" w:type="dxa"/>
              <w:bottom w:w="80" w:type="dxa"/>
              <w:right w:w="120" w:type="dxa"/>
            </w:tcMar>
            <w:vAlign w:val="center"/>
          </w:tcPr>
          <w:p w14:paraId="4C809657">
            <w:pPr>
              <w:spacing w:after="0"/>
            </w:pPr>
            <w:r>
              <w:rPr>
                <w:rFonts w:ascii="微软雅黑" w:hAnsi="微软雅黑" w:eastAsia="微软雅黑"/>
                <w:b w:val="0"/>
                <w:sz w:val="18"/>
              </w:rPr>
              <w:t>丘疹样目标总体影响范围</w:t>
            </w:r>
          </w:p>
        </w:tc>
      </w:tr>
      <w:tr w14:paraId="6213A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3F026B3">
            <w:pPr>
              <w:spacing w:after="0"/>
            </w:pPr>
            <w:r>
              <w:rPr>
                <w:rFonts w:ascii="微软雅黑" w:hAnsi="微软雅黑" w:eastAsia="微软雅黑"/>
                <w:b w:val="0"/>
                <w:sz w:val="18"/>
              </w:rPr>
              <w:t>聚集程度</w:t>
            </w:r>
          </w:p>
        </w:tc>
        <w:tc>
          <w:tcPr>
            <w:tcW w:w="4680" w:type="dxa"/>
            <w:tcMar>
              <w:top w:w="80" w:type="dxa"/>
              <w:left w:w="120" w:type="dxa"/>
              <w:bottom w:w="80" w:type="dxa"/>
              <w:right w:w="120" w:type="dxa"/>
            </w:tcMar>
            <w:vAlign w:val="center"/>
          </w:tcPr>
          <w:p w14:paraId="24E4383F">
            <w:pPr>
              <w:spacing w:after="0"/>
            </w:pPr>
            <w:r>
              <w:rPr>
                <w:rFonts w:ascii="微软雅黑" w:hAnsi="微软雅黑" w:eastAsia="微软雅黑"/>
                <w:b w:val="0"/>
                <w:sz w:val="18"/>
              </w:rPr>
              <w:t>是否在局部成簇分布</w:t>
            </w:r>
          </w:p>
        </w:tc>
      </w:tr>
      <w:tr w14:paraId="59597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684BA65">
            <w:pPr>
              <w:spacing w:after="0"/>
            </w:pPr>
            <w:r>
              <w:rPr>
                <w:rFonts w:ascii="微软雅黑" w:hAnsi="微软雅黑" w:eastAsia="微软雅黑"/>
                <w:b w:val="0"/>
                <w:sz w:val="18"/>
              </w:rPr>
              <w:t>分区分布</w:t>
            </w:r>
          </w:p>
        </w:tc>
        <w:tc>
          <w:tcPr>
            <w:tcW w:w="4680" w:type="dxa"/>
            <w:tcMar>
              <w:top w:w="80" w:type="dxa"/>
              <w:left w:w="120" w:type="dxa"/>
              <w:bottom w:w="80" w:type="dxa"/>
              <w:right w:w="120" w:type="dxa"/>
            </w:tcMar>
            <w:vAlign w:val="center"/>
          </w:tcPr>
          <w:p w14:paraId="269FB639">
            <w:pPr>
              <w:spacing w:after="0"/>
            </w:pPr>
            <w:r>
              <w:rPr>
                <w:rFonts w:ascii="微软雅黑" w:hAnsi="微软雅黑" w:eastAsia="微软雅黑"/>
                <w:b w:val="0"/>
                <w:sz w:val="18"/>
              </w:rPr>
              <w:t>主要受累区域</w:t>
            </w:r>
          </w:p>
        </w:tc>
      </w:tr>
      <w:tr w14:paraId="14BB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A1E2372">
            <w:pPr>
              <w:spacing w:after="0"/>
            </w:pPr>
            <w:r>
              <w:rPr>
                <w:rFonts w:ascii="微软雅黑" w:hAnsi="微软雅黑" w:eastAsia="微软雅黑"/>
                <w:b w:val="0"/>
                <w:sz w:val="18"/>
              </w:rPr>
              <w:t>左右不对称性</w:t>
            </w:r>
          </w:p>
        </w:tc>
        <w:tc>
          <w:tcPr>
            <w:tcW w:w="4680" w:type="dxa"/>
            <w:tcMar>
              <w:top w:w="80" w:type="dxa"/>
              <w:left w:w="120" w:type="dxa"/>
              <w:bottom w:w="80" w:type="dxa"/>
              <w:right w:w="120" w:type="dxa"/>
            </w:tcMar>
            <w:vAlign w:val="center"/>
          </w:tcPr>
          <w:p w14:paraId="5377D065">
            <w:pPr>
              <w:spacing w:after="0"/>
            </w:pPr>
            <w:r>
              <w:rPr>
                <w:rFonts w:ascii="微软雅黑" w:hAnsi="微软雅黑" w:eastAsia="微软雅黑"/>
                <w:b w:val="0"/>
                <w:sz w:val="18"/>
              </w:rPr>
              <w:t>是否存在明显单侧集中</w:t>
            </w:r>
          </w:p>
        </w:tc>
      </w:tr>
    </w:tbl>
    <w:p w14:paraId="1A80CD26"/>
    <w:p w14:paraId="3BFB8F4E">
      <w:pPr>
        <w:pStyle w:val="5"/>
      </w:pPr>
      <w:r>
        <w:t>6.5.4 单目标评分组成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E887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80" w:type="dxa"/>
            <w:shd w:val="clear" w:color="auto" w:fill="E8EEF5"/>
            <w:tcMar>
              <w:top w:w="80" w:type="dxa"/>
              <w:left w:w="120" w:type="dxa"/>
              <w:bottom w:w="80" w:type="dxa"/>
              <w:right w:w="120" w:type="dxa"/>
            </w:tcMar>
            <w:vAlign w:val="center"/>
          </w:tcPr>
          <w:p w14:paraId="3D67D7CC">
            <w:pPr>
              <w:spacing w:after="0"/>
            </w:pPr>
            <w:r>
              <w:rPr>
                <w:rFonts w:ascii="微软雅黑" w:hAnsi="微软雅黑" w:eastAsia="微软雅黑"/>
                <w:b/>
                <w:sz w:val="18"/>
              </w:rPr>
              <w:t>证据组</w:t>
            </w:r>
          </w:p>
        </w:tc>
        <w:tc>
          <w:tcPr>
            <w:tcW w:w="4680" w:type="dxa"/>
            <w:shd w:val="clear" w:color="auto" w:fill="E8EEF5"/>
            <w:tcMar>
              <w:top w:w="80" w:type="dxa"/>
              <w:left w:w="120" w:type="dxa"/>
              <w:bottom w:w="80" w:type="dxa"/>
              <w:right w:w="120" w:type="dxa"/>
            </w:tcMar>
            <w:vAlign w:val="center"/>
          </w:tcPr>
          <w:p w14:paraId="1BD57078">
            <w:pPr>
              <w:spacing w:after="0"/>
            </w:pPr>
            <w:r>
              <w:rPr>
                <w:rFonts w:ascii="微软雅黑" w:hAnsi="微软雅黑" w:eastAsia="微软雅黑"/>
                <w:b/>
                <w:sz w:val="18"/>
              </w:rPr>
              <w:t>初始医学权重</w:t>
            </w:r>
          </w:p>
        </w:tc>
      </w:tr>
      <w:tr w14:paraId="57EEA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04E55DD">
            <w:pPr>
              <w:spacing w:after="0"/>
            </w:pPr>
            <w:r>
              <w:rPr>
                <w:rFonts w:ascii="微软雅黑" w:hAnsi="微软雅黑" w:eastAsia="微软雅黑"/>
                <w:b w:val="0"/>
                <w:sz w:val="18"/>
              </w:rPr>
              <w:t>毛囊中心定位</w:t>
            </w:r>
          </w:p>
        </w:tc>
        <w:tc>
          <w:tcPr>
            <w:tcW w:w="4680" w:type="dxa"/>
            <w:tcMar>
              <w:top w:w="80" w:type="dxa"/>
              <w:left w:w="120" w:type="dxa"/>
              <w:bottom w:w="80" w:type="dxa"/>
              <w:right w:w="120" w:type="dxa"/>
            </w:tcMar>
            <w:vAlign w:val="center"/>
          </w:tcPr>
          <w:p w14:paraId="495FFDA9">
            <w:pPr>
              <w:spacing w:after="0"/>
            </w:pPr>
            <w:r>
              <w:rPr>
                <w:rFonts w:ascii="微软雅黑" w:hAnsi="微软雅黑" w:eastAsia="微软雅黑"/>
                <w:b w:val="0"/>
                <w:sz w:val="18"/>
              </w:rPr>
              <w:t>20%</w:t>
            </w:r>
          </w:p>
        </w:tc>
      </w:tr>
      <w:tr w14:paraId="22AF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0AA6949">
            <w:pPr>
              <w:spacing w:after="0"/>
            </w:pPr>
            <w:r>
              <w:rPr>
                <w:rFonts w:ascii="微软雅黑" w:hAnsi="微软雅黑" w:eastAsia="微软雅黑"/>
                <w:b w:val="0"/>
                <w:sz w:val="18"/>
              </w:rPr>
              <w:t>红色面积及强度</w:t>
            </w:r>
          </w:p>
        </w:tc>
        <w:tc>
          <w:tcPr>
            <w:tcW w:w="4680" w:type="dxa"/>
            <w:tcMar>
              <w:top w:w="80" w:type="dxa"/>
              <w:left w:w="120" w:type="dxa"/>
              <w:bottom w:w="80" w:type="dxa"/>
              <w:right w:w="120" w:type="dxa"/>
            </w:tcMar>
            <w:vAlign w:val="center"/>
          </w:tcPr>
          <w:p w14:paraId="7757474E">
            <w:pPr>
              <w:spacing w:after="0"/>
            </w:pPr>
            <w:r>
              <w:rPr>
                <w:rFonts w:ascii="微软雅黑" w:hAnsi="微软雅黑" w:eastAsia="微软雅黑"/>
                <w:b w:val="0"/>
                <w:sz w:val="18"/>
              </w:rPr>
              <w:t>25%</w:t>
            </w:r>
          </w:p>
        </w:tc>
      </w:tr>
      <w:tr w14:paraId="28546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CDE7198">
            <w:pPr>
              <w:spacing w:after="0"/>
            </w:pPr>
            <w:r>
              <w:rPr>
                <w:rFonts w:ascii="微软雅黑" w:hAnsi="微软雅黑" w:eastAsia="微软雅黑"/>
                <w:b w:val="0"/>
                <w:sz w:val="18"/>
              </w:rPr>
              <w:t>隆起形态</w:t>
            </w:r>
          </w:p>
        </w:tc>
        <w:tc>
          <w:tcPr>
            <w:tcW w:w="4680" w:type="dxa"/>
            <w:tcMar>
              <w:top w:w="80" w:type="dxa"/>
              <w:left w:w="120" w:type="dxa"/>
              <w:bottom w:w="80" w:type="dxa"/>
              <w:right w:w="120" w:type="dxa"/>
            </w:tcMar>
            <w:vAlign w:val="center"/>
          </w:tcPr>
          <w:p w14:paraId="5907EC32">
            <w:pPr>
              <w:spacing w:after="0"/>
            </w:pPr>
            <w:r>
              <w:rPr>
                <w:rFonts w:ascii="微软雅黑" w:hAnsi="微软雅黑" w:eastAsia="微软雅黑"/>
                <w:b w:val="0"/>
                <w:sz w:val="18"/>
              </w:rPr>
              <w:t>35%</w:t>
            </w:r>
          </w:p>
        </w:tc>
      </w:tr>
      <w:tr w14:paraId="5E42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E700003">
            <w:pPr>
              <w:spacing w:after="0"/>
            </w:pPr>
            <w:r>
              <w:rPr>
                <w:rFonts w:ascii="微软雅黑" w:hAnsi="微软雅黑" w:eastAsia="微软雅黑"/>
                <w:b w:val="0"/>
                <w:sz w:val="18"/>
              </w:rPr>
              <w:t>紫质重叠及强度</w:t>
            </w:r>
          </w:p>
        </w:tc>
        <w:tc>
          <w:tcPr>
            <w:tcW w:w="4680" w:type="dxa"/>
            <w:tcMar>
              <w:top w:w="80" w:type="dxa"/>
              <w:left w:w="120" w:type="dxa"/>
              <w:bottom w:w="80" w:type="dxa"/>
              <w:right w:w="120" w:type="dxa"/>
            </w:tcMar>
            <w:vAlign w:val="center"/>
          </w:tcPr>
          <w:p w14:paraId="73ADA4D1">
            <w:pPr>
              <w:spacing w:after="0"/>
            </w:pPr>
            <w:r>
              <w:rPr>
                <w:rFonts w:ascii="微软雅黑" w:hAnsi="微软雅黑" w:eastAsia="微软雅黑"/>
                <w:b w:val="0"/>
                <w:sz w:val="18"/>
              </w:rPr>
              <w:t>15%</w:t>
            </w:r>
          </w:p>
        </w:tc>
      </w:tr>
      <w:tr w14:paraId="0B2A7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02F0D3D">
            <w:pPr>
              <w:spacing w:after="0"/>
            </w:pPr>
            <w:r>
              <w:rPr>
                <w:rFonts w:ascii="微软雅黑" w:hAnsi="微软雅黑" w:eastAsia="微软雅黑"/>
                <w:b w:val="0"/>
                <w:sz w:val="18"/>
              </w:rPr>
              <w:t>多角度一致性</w:t>
            </w:r>
          </w:p>
        </w:tc>
        <w:tc>
          <w:tcPr>
            <w:tcW w:w="4680" w:type="dxa"/>
            <w:tcMar>
              <w:top w:w="80" w:type="dxa"/>
              <w:left w:w="120" w:type="dxa"/>
              <w:bottom w:w="80" w:type="dxa"/>
              <w:right w:w="120" w:type="dxa"/>
            </w:tcMar>
            <w:vAlign w:val="center"/>
          </w:tcPr>
          <w:p w14:paraId="18C9D378">
            <w:pPr>
              <w:spacing w:after="0"/>
            </w:pPr>
            <w:r>
              <w:rPr>
                <w:rFonts w:ascii="微软雅黑" w:hAnsi="微软雅黑" w:eastAsia="微软雅黑"/>
                <w:b w:val="0"/>
                <w:sz w:val="18"/>
              </w:rPr>
              <w:t>5%</w:t>
            </w:r>
          </w:p>
        </w:tc>
      </w:tr>
    </w:tbl>
    <w:p w14:paraId="03BB9D72"/>
    <w:p w14:paraId="2DA2F464">
      <w:pPr>
        <w:pStyle w:val="5"/>
      </w:pPr>
      <w:r>
        <w:t>6.5.5 可反映的临床问题</w:t>
      </w:r>
    </w:p>
    <w:p w14:paraId="2FA32F9B">
      <w:r>
        <w:rPr>
          <w:rFonts w:ascii="微软雅黑" w:hAnsi="微软雅黑" w:eastAsia="微软雅黑"/>
        </w:rPr>
        <w:t>可以提示：</w:t>
      </w:r>
    </w:p>
    <w:p w14:paraId="2B815F43">
      <w:pPr>
        <w:pStyle w:val="16"/>
      </w:pPr>
      <w:r>
        <w:rPr>
          <w:rFonts w:ascii="微软雅黑" w:hAnsi="微软雅黑" w:eastAsia="微软雅黑"/>
        </w:rPr>
        <w:t>活动性毛囊性红色丘疹样炎症；</w:t>
      </w:r>
    </w:p>
    <w:p w14:paraId="37572E6D">
      <w:pPr>
        <w:pStyle w:val="16"/>
      </w:pPr>
      <w:r>
        <w:rPr>
          <w:rFonts w:ascii="微软雅黑" w:hAnsi="微软雅黑" w:eastAsia="微软雅黑"/>
        </w:rPr>
        <w:t>毛囊皮脂腺单位相关炎症反应；</w:t>
      </w:r>
    </w:p>
    <w:p w14:paraId="5372A400">
      <w:pPr>
        <w:pStyle w:val="16"/>
      </w:pPr>
      <w:r>
        <w:rPr>
          <w:rFonts w:ascii="微软雅黑" w:hAnsi="微软雅黑" w:eastAsia="微软雅黑"/>
        </w:rPr>
        <w:t>痤疮样炎症活动；</w:t>
      </w:r>
    </w:p>
    <w:p w14:paraId="3247F25C">
      <w:pPr>
        <w:pStyle w:val="16"/>
      </w:pPr>
      <w:r>
        <w:rPr>
          <w:rFonts w:ascii="微软雅黑" w:hAnsi="微软雅黑" w:eastAsia="微软雅黑"/>
        </w:rPr>
        <w:t>卟啉阳性毛囊相关丘疹样活动。</w:t>
      </w:r>
    </w:p>
    <w:p w14:paraId="62D8A688">
      <w:r>
        <w:rPr>
          <w:rFonts w:ascii="微软雅黑" w:hAnsi="微软雅黑" w:eastAsia="微软雅黑"/>
        </w:rPr>
        <w:t>不能单独确定：</w:t>
      </w:r>
    </w:p>
    <w:p w14:paraId="508C1913">
      <w:pPr>
        <w:pStyle w:val="16"/>
      </w:pPr>
      <w:r>
        <w:rPr>
          <w:rFonts w:ascii="微软雅黑" w:hAnsi="微软雅黑" w:eastAsia="微软雅黑"/>
        </w:rPr>
        <w:t>痤疮诊断；</w:t>
      </w:r>
    </w:p>
    <w:p w14:paraId="092F8AD7">
      <w:pPr>
        <w:pStyle w:val="16"/>
      </w:pPr>
      <w:r>
        <w:rPr>
          <w:rFonts w:ascii="微软雅黑" w:hAnsi="微软雅黑" w:eastAsia="微软雅黑"/>
        </w:rPr>
        <w:t>毛囊炎诊断；</w:t>
      </w:r>
    </w:p>
    <w:p w14:paraId="68357B5F">
      <w:pPr>
        <w:pStyle w:val="16"/>
      </w:pPr>
      <w:r>
        <w:rPr>
          <w:rFonts w:ascii="微软雅黑" w:hAnsi="微软雅黑" w:eastAsia="微软雅黑"/>
        </w:rPr>
        <w:t>细菌性或真菌性病因；</w:t>
      </w:r>
    </w:p>
    <w:p w14:paraId="2B72FBC1">
      <w:pPr>
        <w:pStyle w:val="16"/>
      </w:pPr>
      <w:r>
        <w:rPr>
          <w:rFonts w:ascii="微软雅黑" w:hAnsi="微软雅黑" w:eastAsia="微软雅黑"/>
        </w:rPr>
        <w:t>具体病原体。</w:t>
      </w:r>
    </w:p>
    <w:p w14:paraId="69AA5EDE">
      <w:pPr>
        <w:pStyle w:val="5"/>
      </w:pPr>
      <w:r>
        <w:t>6.5.6 报告表述示例</w:t>
      </w:r>
    </w:p>
    <w:p w14:paraId="7301E260">
      <w:r>
        <w:rPr>
          <w:rFonts w:ascii="微软雅黑" w:hAnsi="微软雅黑" w:eastAsia="微软雅黑"/>
        </w:rPr>
        <w:t>紫质不明显时：</w:t>
      </w:r>
    </w:p>
    <w:p w14:paraId="1EF18471">
      <w:pPr>
        <w:spacing w:before="80" w:after="160"/>
        <w:ind w:left="360"/>
      </w:pPr>
      <w:r>
        <w:rPr>
          <w:rFonts w:ascii="微软雅黑" w:hAnsi="微软雅黑" w:eastAsia="微软雅黑"/>
        </w:rPr>
        <w:t>检测到毛囊性红色丘疹样目标，表现为毛囊中心性红色并伴局部隆起，提示活动性毛囊炎症样改变。</w:t>
      </w:r>
    </w:p>
    <w:p w14:paraId="428C5637">
      <w:r>
        <w:rPr>
          <w:rFonts w:ascii="微软雅黑" w:hAnsi="微软雅黑" w:eastAsia="微软雅黑"/>
        </w:rPr>
        <w:t>紫质明显时：</w:t>
      </w:r>
    </w:p>
    <w:p w14:paraId="69763B77">
      <w:pPr>
        <w:spacing w:before="80" w:after="160"/>
        <w:ind w:left="360"/>
      </w:pPr>
      <w:r>
        <w:rPr>
          <w:rFonts w:ascii="微软雅黑" w:hAnsi="微软雅黑" w:eastAsia="微软雅黑"/>
        </w:rPr>
        <w:t>检测到毛囊性红色丘疹样目标，部分目标同时伴明显毛囊中心紫质信号，更支持卟啉阳性毛囊相关的痤疮样炎症活动。</w:t>
      </w:r>
    </w:p>
    <w:p w14:paraId="39271A39">
      <w:pPr>
        <w:pStyle w:val="4"/>
      </w:pPr>
      <w:r>
        <w:t>6.6 毛囊性丘脓疱样目标</w:t>
      </w:r>
    </w:p>
    <w:p w14:paraId="3E8629F8">
      <w:pPr>
        <w:pStyle w:val="5"/>
      </w:pPr>
      <w:r>
        <w:t>6.6.1 医学定义</w:t>
      </w:r>
    </w:p>
    <w:p w14:paraId="0F57ADA0">
      <w:r>
        <w:rPr>
          <w:rFonts w:ascii="微软雅黑" w:hAnsi="微软雅黑" w:eastAsia="微软雅黑"/>
        </w:rPr>
        <w:t>毛囊性丘脓疱样目标是指：</w:t>
      </w:r>
    </w:p>
    <w:p w14:paraId="3D43F47B">
      <w:pPr>
        <w:pStyle w:val="16"/>
      </w:pPr>
      <w:r>
        <w:rPr>
          <w:rFonts w:ascii="微软雅黑" w:hAnsi="微软雅黑" w:eastAsia="微软雅黑"/>
        </w:rPr>
        <w:t>红色目标以毛囊为中心；</w:t>
      </w:r>
    </w:p>
    <w:p w14:paraId="73301A42">
      <w:pPr>
        <w:pStyle w:val="16"/>
      </w:pPr>
      <w:r>
        <w:rPr>
          <w:rFonts w:ascii="微软雅黑" w:hAnsi="微软雅黑" w:eastAsia="微软雅黑"/>
        </w:rPr>
        <w:t>存在明确局部隆起；</w:t>
      </w:r>
    </w:p>
    <w:p w14:paraId="41FC8EAA">
      <w:pPr>
        <w:pStyle w:val="16"/>
      </w:pPr>
      <w:r>
        <w:rPr>
          <w:rFonts w:ascii="微软雅黑" w:hAnsi="微软雅黑" w:eastAsia="微软雅黑"/>
        </w:rPr>
        <w:t>隆起中心存在白色或黄色区域；</w:t>
      </w:r>
    </w:p>
    <w:p w14:paraId="72FA8CD6">
      <w:pPr>
        <w:pStyle w:val="16"/>
      </w:pPr>
      <w:r>
        <w:rPr>
          <w:rFonts w:ascii="微软雅黑" w:hAnsi="微软雅黑" w:eastAsia="微软雅黑"/>
        </w:rPr>
        <w:t>红色、隆起及白黄中心属于同一个空间目标。</w:t>
      </w:r>
    </w:p>
    <w:p w14:paraId="38FF6031">
      <w:pPr>
        <w:pStyle w:val="5"/>
      </w:pPr>
      <w:r>
        <w:t>6.6.2 紫质的评价意义</w:t>
      </w:r>
    </w:p>
    <w:p w14:paraId="66F5766B">
      <w:pPr>
        <w:pStyle w:val="16"/>
      </w:pPr>
      <w:r>
        <w:rPr>
          <w:rFonts w:ascii="微软雅黑" w:hAnsi="微软雅黑" w:eastAsia="微软雅黑"/>
        </w:rPr>
        <w:t>毛囊中心紫质明显时，可以增强目标与卟啉阳性毛囊相关的证据；</w:t>
      </w:r>
    </w:p>
    <w:p w14:paraId="709EF7A3">
      <w:pPr>
        <w:pStyle w:val="16"/>
      </w:pPr>
      <w:r>
        <w:rPr>
          <w:rFonts w:ascii="微软雅黑" w:hAnsi="微软雅黑" w:eastAsia="微软雅黑"/>
        </w:rPr>
        <w:t>紫质不作为判断丘脓疱样目标的必要条件；</w:t>
      </w:r>
    </w:p>
    <w:p w14:paraId="07B81CF5">
      <w:pPr>
        <w:pStyle w:val="16"/>
      </w:pPr>
      <w:r>
        <w:rPr>
          <w:rFonts w:ascii="微软雅黑" w:hAnsi="微软雅黑" w:eastAsia="微软雅黑"/>
        </w:rPr>
        <w:t>丘脓疱样判断的核心仍然是毛囊定位、周围红色、局部隆起及白黄中心；</w:t>
      </w:r>
    </w:p>
    <w:p w14:paraId="36ED5348">
      <w:pPr>
        <w:pStyle w:val="16"/>
      </w:pPr>
      <w:r>
        <w:rPr>
          <w:rFonts w:ascii="微软雅黑" w:hAnsi="微软雅黑" w:eastAsia="微软雅黑"/>
        </w:rPr>
        <w:t>紫质明显时，可以提示该丘脓疱样目标与卟啉阳性毛囊存在关联。</w:t>
      </w:r>
    </w:p>
    <w:p w14:paraId="2E0C4D13">
      <w:pPr>
        <w:pStyle w:val="5"/>
      </w:pPr>
      <w:r>
        <w:t>6.6.3 需要检测的指标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1BEB7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72A52509">
            <w:pPr>
              <w:spacing w:after="0"/>
            </w:pPr>
            <w:r>
              <w:rPr>
                <w:rFonts w:ascii="微软雅黑" w:hAnsi="微软雅黑" w:eastAsia="微软雅黑"/>
                <w:b/>
                <w:sz w:val="18"/>
              </w:rPr>
              <w:t>指标</w:t>
            </w:r>
          </w:p>
        </w:tc>
        <w:tc>
          <w:tcPr>
            <w:tcW w:w="4680" w:type="dxa"/>
            <w:shd w:val="clear" w:color="auto" w:fill="E8EEF5"/>
            <w:tcMar>
              <w:top w:w="80" w:type="dxa"/>
              <w:left w:w="120" w:type="dxa"/>
              <w:bottom w:w="80" w:type="dxa"/>
              <w:right w:w="120" w:type="dxa"/>
            </w:tcMar>
            <w:vAlign w:val="center"/>
          </w:tcPr>
          <w:p w14:paraId="72543C7A">
            <w:pPr>
              <w:spacing w:after="0"/>
            </w:pPr>
            <w:r>
              <w:rPr>
                <w:rFonts w:ascii="微软雅黑" w:hAnsi="微软雅黑" w:eastAsia="微软雅黑"/>
                <w:b/>
                <w:sz w:val="18"/>
              </w:rPr>
              <w:t>医学意义</w:t>
            </w:r>
          </w:p>
        </w:tc>
      </w:tr>
      <w:tr w14:paraId="057F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9F527ED">
            <w:pPr>
              <w:spacing w:after="0"/>
            </w:pPr>
            <w:r>
              <w:rPr>
                <w:rFonts w:ascii="微软雅黑" w:hAnsi="微软雅黑" w:eastAsia="微软雅黑"/>
                <w:b w:val="0"/>
                <w:sz w:val="18"/>
              </w:rPr>
              <w:t>毛囊中心匹配度</w:t>
            </w:r>
          </w:p>
        </w:tc>
        <w:tc>
          <w:tcPr>
            <w:tcW w:w="4680" w:type="dxa"/>
            <w:tcMar>
              <w:top w:w="80" w:type="dxa"/>
              <w:left w:w="120" w:type="dxa"/>
              <w:bottom w:w="80" w:type="dxa"/>
              <w:right w:w="120" w:type="dxa"/>
            </w:tcMar>
            <w:vAlign w:val="center"/>
          </w:tcPr>
          <w:p w14:paraId="0236AD81">
            <w:pPr>
              <w:spacing w:after="0"/>
            </w:pPr>
            <w:r>
              <w:rPr>
                <w:rFonts w:ascii="微软雅黑" w:hAnsi="微软雅黑" w:eastAsia="微软雅黑"/>
                <w:b w:val="0"/>
                <w:sz w:val="18"/>
              </w:rPr>
              <w:t>确认是否为毛囊性目标</w:t>
            </w:r>
          </w:p>
        </w:tc>
      </w:tr>
      <w:tr w14:paraId="4C8D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C880262">
            <w:pPr>
              <w:spacing w:after="0"/>
            </w:pPr>
            <w:r>
              <w:rPr>
                <w:rFonts w:ascii="微软雅黑" w:hAnsi="微软雅黑" w:eastAsia="微软雅黑"/>
                <w:b w:val="0"/>
                <w:sz w:val="18"/>
              </w:rPr>
              <w:t>周围红色面积</w:t>
            </w:r>
          </w:p>
        </w:tc>
        <w:tc>
          <w:tcPr>
            <w:tcW w:w="4680" w:type="dxa"/>
            <w:tcMar>
              <w:top w:w="80" w:type="dxa"/>
              <w:left w:w="120" w:type="dxa"/>
              <w:bottom w:w="80" w:type="dxa"/>
              <w:right w:w="120" w:type="dxa"/>
            </w:tcMar>
            <w:vAlign w:val="center"/>
          </w:tcPr>
          <w:p w14:paraId="0F46AFAF">
            <w:pPr>
              <w:spacing w:after="0"/>
            </w:pPr>
            <w:r>
              <w:rPr>
                <w:rFonts w:ascii="微软雅黑" w:hAnsi="微软雅黑" w:eastAsia="微软雅黑"/>
                <w:b w:val="0"/>
                <w:sz w:val="18"/>
              </w:rPr>
              <w:t>炎症样红晕的影响范围</w:t>
            </w:r>
          </w:p>
        </w:tc>
      </w:tr>
      <w:tr w14:paraId="725A5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B7BD2B4">
            <w:pPr>
              <w:spacing w:after="0"/>
            </w:pPr>
            <w:r>
              <w:rPr>
                <w:rFonts w:ascii="微软雅黑" w:hAnsi="微软雅黑" w:eastAsia="微软雅黑"/>
                <w:b w:val="0"/>
                <w:sz w:val="18"/>
              </w:rPr>
              <w:t>周围红色强度</w:t>
            </w:r>
          </w:p>
        </w:tc>
        <w:tc>
          <w:tcPr>
            <w:tcW w:w="4680" w:type="dxa"/>
            <w:tcMar>
              <w:top w:w="80" w:type="dxa"/>
              <w:left w:w="120" w:type="dxa"/>
              <w:bottom w:w="80" w:type="dxa"/>
              <w:right w:w="120" w:type="dxa"/>
            </w:tcMar>
            <w:vAlign w:val="center"/>
          </w:tcPr>
          <w:p w14:paraId="7EB4516A">
            <w:pPr>
              <w:spacing w:after="0"/>
            </w:pPr>
            <w:r>
              <w:rPr>
                <w:rFonts w:ascii="微软雅黑" w:hAnsi="微软雅黑" w:eastAsia="微软雅黑"/>
                <w:b w:val="0"/>
                <w:sz w:val="18"/>
              </w:rPr>
              <w:t>红色反应程度</w:t>
            </w:r>
          </w:p>
        </w:tc>
      </w:tr>
      <w:tr w14:paraId="0A2F2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C39DC98">
            <w:pPr>
              <w:spacing w:after="0"/>
            </w:pPr>
            <w:r>
              <w:rPr>
                <w:rFonts w:ascii="微软雅黑" w:hAnsi="微软雅黑" w:eastAsia="微软雅黑"/>
                <w:b w:val="0"/>
                <w:sz w:val="18"/>
              </w:rPr>
              <w:t>隆起程度</w:t>
            </w:r>
          </w:p>
        </w:tc>
        <w:tc>
          <w:tcPr>
            <w:tcW w:w="4680" w:type="dxa"/>
            <w:tcMar>
              <w:top w:w="80" w:type="dxa"/>
              <w:left w:w="120" w:type="dxa"/>
              <w:bottom w:w="80" w:type="dxa"/>
              <w:right w:w="120" w:type="dxa"/>
            </w:tcMar>
            <w:vAlign w:val="center"/>
          </w:tcPr>
          <w:p w14:paraId="1B90428A">
            <w:pPr>
              <w:spacing w:after="0"/>
            </w:pPr>
            <w:r>
              <w:rPr>
                <w:rFonts w:ascii="微软雅黑" w:hAnsi="微软雅黑" w:eastAsia="微软雅黑"/>
                <w:b w:val="0"/>
                <w:sz w:val="18"/>
              </w:rPr>
              <w:t>丘脓疱样形态明显程度</w:t>
            </w:r>
          </w:p>
        </w:tc>
      </w:tr>
      <w:tr w14:paraId="05D0A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EA90BCE">
            <w:pPr>
              <w:spacing w:after="0"/>
            </w:pPr>
            <w:r>
              <w:rPr>
                <w:rFonts w:ascii="微软雅黑" w:hAnsi="微软雅黑" w:eastAsia="微软雅黑"/>
                <w:b w:val="0"/>
                <w:sz w:val="18"/>
              </w:rPr>
              <w:t>隆起范围</w:t>
            </w:r>
          </w:p>
        </w:tc>
        <w:tc>
          <w:tcPr>
            <w:tcW w:w="4680" w:type="dxa"/>
            <w:tcMar>
              <w:top w:w="80" w:type="dxa"/>
              <w:left w:w="120" w:type="dxa"/>
              <w:bottom w:w="80" w:type="dxa"/>
              <w:right w:w="120" w:type="dxa"/>
            </w:tcMar>
            <w:vAlign w:val="center"/>
          </w:tcPr>
          <w:p w14:paraId="1F567520">
            <w:pPr>
              <w:spacing w:after="0"/>
            </w:pPr>
            <w:r>
              <w:rPr>
                <w:rFonts w:ascii="微软雅黑" w:hAnsi="微软雅黑" w:eastAsia="微软雅黑"/>
                <w:b w:val="0"/>
                <w:sz w:val="18"/>
              </w:rPr>
              <w:t>目标整体大小</w:t>
            </w:r>
          </w:p>
        </w:tc>
      </w:tr>
      <w:tr w14:paraId="5A14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231116F">
            <w:pPr>
              <w:spacing w:after="0"/>
            </w:pPr>
            <w:r>
              <w:rPr>
                <w:rFonts w:ascii="微软雅黑" w:hAnsi="微软雅黑" w:eastAsia="微软雅黑"/>
                <w:b w:val="0"/>
                <w:sz w:val="18"/>
              </w:rPr>
              <w:t>白黄中心面积</w:t>
            </w:r>
          </w:p>
        </w:tc>
        <w:tc>
          <w:tcPr>
            <w:tcW w:w="4680" w:type="dxa"/>
            <w:tcMar>
              <w:top w:w="80" w:type="dxa"/>
              <w:left w:w="120" w:type="dxa"/>
              <w:bottom w:w="80" w:type="dxa"/>
              <w:right w:w="120" w:type="dxa"/>
            </w:tcMar>
            <w:vAlign w:val="center"/>
          </w:tcPr>
          <w:p w14:paraId="077D3318">
            <w:pPr>
              <w:spacing w:after="0"/>
            </w:pPr>
            <w:r>
              <w:rPr>
                <w:rFonts w:ascii="微软雅黑" w:hAnsi="微软雅黑" w:eastAsia="微软雅黑"/>
                <w:b w:val="0"/>
                <w:sz w:val="18"/>
              </w:rPr>
              <w:t>中心内容物样结构范围</w:t>
            </w:r>
          </w:p>
        </w:tc>
      </w:tr>
      <w:tr w14:paraId="48BF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488900A">
            <w:pPr>
              <w:spacing w:after="0"/>
            </w:pPr>
            <w:r>
              <w:rPr>
                <w:rFonts w:ascii="微软雅黑" w:hAnsi="微软雅黑" w:eastAsia="微软雅黑"/>
                <w:b w:val="0"/>
                <w:sz w:val="18"/>
              </w:rPr>
              <w:t>白黄中心颜色特征</w:t>
            </w:r>
          </w:p>
        </w:tc>
        <w:tc>
          <w:tcPr>
            <w:tcW w:w="4680" w:type="dxa"/>
            <w:tcMar>
              <w:top w:w="80" w:type="dxa"/>
              <w:left w:w="120" w:type="dxa"/>
              <w:bottom w:w="80" w:type="dxa"/>
              <w:right w:w="120" w:type="dxa"/>
            </w:tcMar>
            <w:vAlign w:val="center"/>
          </w:tcPr>
          <w:p w14:paraId="39E42729">
            <w:pPr>
              <w:spacing w:after="0"/>
            </w:pPr>
            <w:r>
              <w:rPr>
                <w:rFonts w:ascii="微软雅黑" w:hAnsi="微软雅黑" w:eastAsia="微软雅黑"/>
                <w:b w:val="0"/>
                <w:sz w:val="18"/>
              </w:rPr>
              <w:t>白色、淡黄色或黄色外观</w:t>
            </w:r>
          </w:p>
        </w:tc>
      </w:tr>
      <w:tr w14:paraId="0D7C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BEDC9B1">
            <w:pPr>
              <w:spacing w:after="0"/>
            </w:pPr>
            <w:r>
              <w:rPr>
                <w:rFonts w:ascii="微软雅黑" w:hAnsi="微软雅黑" w:eastAsia="微软雅黑"/>
                <w:b w:val="0"/>
                <w:sz w:val="18"/>
              </w:rPr>
              <w:t>白黄中心置信度</w:t>
            </w:r>
          </w:p>
        </w:tc>
        <w:tc>
          <w:tcPr>
            <w:tcW w:w="4680" w:type="dxa"/>
            <w:tcMar>
              <w:top w:w="80" w:type="dxa"/>
              <w:left w:w="120" w:type="dxa"/>
              <w:bottom w:w="80" w:type="dxa"/>
              <w:right w:w="120" w:type="dxa"/>
            </w:tcMar>
            <w:vAlign w:val="center"/>
          </w:tcPr>
          <w:p w14:paraId="194A4737">
            <w:pPr>
              <w:spacing w:after="0"/>
            </w:pPr>
            <w:r>
              <w:rPr>
                <w:rFonts w:ascii="微软雅黑" w:hAnsi="微软雅黑" w:eastAsia="微软雅黑"/>
                <w:b w:val="0"/>
                <w:sz w:val="18"/>
              </w:rPr>
              <w:t>排除高光、皮脂反光及护肤品残留</w:t>
            </w:r>
          </w:p>
        </w:tc>
      </w:tr>
      <w:tr w14:paraId="4DCE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BA21603">
            <w:pPr>
              <w:spacing w:after="0"/>
            </w:pPr>
            <w:r>
              <w:rPr>
                <w:rFonts w:ascii="微软雅黑" w:hAnsi="微软雅黑" w:eastAsia="微软雅黑"/>
                <w:b w:val="0"/>
                <w:sz w:val="18"/>
              </w:rPr>
              <w:t>白黄中心—隆起重叠度</w:t>
            </w:r>
          </w:p>
        </w:tc>
        <w:tc>
          <w:tcPr>
            <w:tcW w:w="4680" w:type="dxa"/>
            <w:tcMar>
              <w:top w:w="80" w:type="dxa"/>
              <w:left w:w="120" w:type="dxa"/>
              <w:bottom w:w="80" w:type="dxa"/>
              <w:right w:w="120" w:type="dxa"/>
            </w:tcMar>
            <w:vAlign w:val="center"/>
          </w:tcPr>
          <w:p w14:paraId="25DB4896">
            <w:pPr>
              <w:spacing w:after="0"/>
            </w:pPr>
            <w:r>
              <w:rPr>
                <w:rFonts w:ascii="微软雅黑" w:hAnsi="微软雅黑" w:eastAsia="微软雅黑"/>
                <w:b w:val="0"/>
                <w:sz w:val="18"/>
              </w:rPr>
              <w:t>确认白黄区域位于隆起内部</w:t>
            </w:r>
          </w:p>
        </w:tc>
      </w:tr>
      <w:tr w14:paraId="576B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5A4D56A">
            <w:pPr>
              <w:spacing w:after="0"/>
            </w:pPr>
            <w:r>
              <w:rPr>
                <w:rFonts w:ascii="微软雅黑" w:hAnsi="微软雅黑" w:eastAsia="微软雅黑"/>
                <w:b w:val="0"/>
                <w:sz w:val="18"/>
              </w:rPr>
              <w:t>紫质中心重叠度</w:t>
            </w:r>
          </w:p>
        </w:tc>
        <w:tc>
          <w:tcPr>
            <w:tcW w:w="4680" w:type="dxa"/>
            <w:tcMar>
              <w:top w:w="80" w:type="dxa"/>
              <w:left w:w="120" w:type="dxa"/>
              <w:bottom w:w="80" w:type="dxa"/>
              <w:right w:w="120" w:type="dxa"/>
            </w:tcMar>
            <w:vAlign w:val="center"/>
          </w:tcPr>
          <w:p w14:paraId="1D47A709">
            <w:pPr>
              <w:spacing w:after="0"/>
            </w:pPr>
            <w:r>
              <w:rPr>
                <w:rFonts w:ascii="微软雅黑" w:hAnsi="微软雅黑" w:eastAsia="微软雅黑"/>
                <w:b w:val="0"/>
                <w:sz w:val="18"/>
              </w:rPr>
              <w:t>是否伴卟啉阳性毛囊</w:t>
            </w:r>
          </w:p>
        </w:tc>
      </w:tr>
      <w:tr w14:paraId="00A6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19CC35B">
            <w:pPr>
              <w:spacing w:after="0"/>
            </w:pPr>
            <w:r>
              <w:rPr>
                <w:rFonts w:ascii="微软雅黑" w:hAnsi="微软雅黑" w:eastAsia="微软雅黑"/>
                <w:b w:val="0"/>
                <w:sz w:val="18"/>
              </w:rPr>
              <w:t>紫质强度</w:t>
            </w:r>
          </w:p>
        </w:tc>
        <w:tc>
          <w:tcPr>
            <w:tcW w:w="4680" w:type="dxa"/>
            <w:tcMar>
              <w:top w:w="80" w:type="dxa"/>
              <w:left w:w="120" w:type="dxa"/>
              <w:bottom w:w="80" w:type="dxa"/>
              <w:right w:w="120" w:type="dxa"/>
            </w:tcMar>
            <w:vAlign w:val="center"/>
          </w:tcPr>
          <w:p w14:paraId="1C59C97B">
            <w:pPr>
              <w:spacing w:after="0"/>
            </w:pPr>
            <w:r>
              <w:rPr>
                <w:rFonts w:ascii="微软雅黑" w:hAnsi="微软雅黑" w:eastAsia="微软雅黑"/>
                <w:b w:val="0"/>
                <w:sz w:val="18"/>
              </w:rPr>
              <w:t>毛囊卟啉荧光程度</w:t>
            </w:r>
          </w:p>
        </w:tc>
      </w:tr>
      <w:tr w14:paraId="4DFA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FDAE26E">
            <w:pPr>
              <w:spacing w:after="0"/>
            </w:pPr>
            <w:r>
              <w:rPr>
                <w:rFonts w:ascii="微软雅黑" w:hAnsi="微软雅黑" w:eastAsia="微软雅黑"/>
                <w:b w:val="0"/>
                <w:sz w:val="18"/>
              </w:rPr>
              <w:t>多角度一致性</w:t>
            </w:r>
          </w:p>
        </w:tc>
        <w:tc>
          <w:tcPr>
            <w:tcW w:w="4680" w:type="dxa"/>
            <w:tcMar>
              <w:top w:w="80" w:type="dxa"/>
              <w:left w:w="120" w:type="dxa"/>
              <w:bottom w:w="80" w:type="dxa"/>
              <w:right w:w="120" w:type="dxa"/>
            </w:tcMar>
            <w:vAlign w:val="center"/>
          </w:tcPr>
          <w:p w14:paraId="08FB3933">
            <w:pPr>
              <w:spacing w:after="0"/>
            </w:pPr>
            <w:r>
              <w:rPr>
                <w:rFonts w:ascii="微软雅黑" w:hAnsi="微软雅黑" w:eastAsia="微软雅黑"/>
                <w:b w:val="0"/>
                <w:sz w:val="18"/>
              </w:rPr>
              <w:t>排除反光形成的假白点</w:t>
            </w:r>
          </w:p>
        </w:tc>
      </w:tr>
      <w:tr w14:paraId="1107F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C4AB0C6">
            <w:pPr>
              <w:spacing w:after="0"/>
            </w:pPr>
            <w:r>
              <w:rPr>
                <w:rFonts w:ascii="微软雅黑" w:hAnsi="微软雅黑" w:eastAsia="微软雅黑"/>
                <w:b w:val="0"/>
                <w:sz w:val="18"/>
              </w:rPr>
              <w:t>目标形态同质性</w:t>
            </w:r>
          </w:p>
        </w:tc>
        <w:tc>
          <w:tcPr>
            <w:tcW w:w="4680" w:type="dxa"/>
            <w:tcMar>
              <w:top w:w="80" w:type="dxa"/>
              <w:left w:w="120" w:type="dxa"/>
              <w:bottom w:w="80" w:type="dxa"/>
              <w:right w:w="120" w:type="dxa"/>
            </w:tcMar>
            <w:vAlign w:val="center"/>
          </w:tcPr>
          <w:p w14:paraId="76803DB3">
            <w:pPr>
              <w:spacing w:after="0"/>
            </w:pPr>
            <w:r>
              <w:rPr>
                <w:rFonts w:ascii="微软雅黑" w:hAnsi="微软雅黑" w:eastAsia="微软雅黑"/>
                <w:b w:val="0"/>
                <w:sz w:val="18"/>
              </w:rPr>
              <w:t>是否呈相对均一的毛囊性皮疹</w:t>
            </w:r>
          </w:p>
        </w:tc>
      </w:tr>
      <w:tr w14:paraId="1724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E1926B8">
            <w:pPr>
              <w:spacing w:after="0"/>
            </w:pPr>
            <w:r>
              <w:rPr>
                <w:rFonts w:ascii="微软雅黑" w:hAnsi="微软雅黑" w:eastAsia="微软雅黑"/>
                <w:b w:val="0"/>
                <w:sz w:val="18"/>
              </w:rPr>
              <w:t>目标数量</w:t>
            </w:r>
          </w:p>
        </w:tc>
        <w:tc>
          <w:tcPr>
            <w:tcW w:w="4680" w:type="dxa"/>
            <w:tcMar>
              <w:top w:w="80" w:type="dxa"/>
              <w:left w:w="120" w:type="dxa"/>
              <w:bottom w:w="80" w:type="dxa"/>
              <w:right w:w="120" w:type="dxa"/>
            </w:tcMar>
            <w:vAlign w:val="center"/>
          </w:tcPr>
          <w:p w14:paraId="5378F97E">
            <w:pPr>
              <w:spacing w:after="0"/>
            </w:pPr>
            <w:r>
              <w:rPr>
                <w:rFonts w:ascii="微软雅黑" w:hAnsi="微软雅黑" w:eastAsia="微软雅黑"/>
                <w:b w:val="0"/>
                <w:sz w:val="18"/>
              </w:rPr>
              <w:t>丘脓疱样目标总数</w:t>
            </w:r>
          </w:p>
        </w:tc>
      </w:tr>
      <w:tr w14:paraId="6901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8FF0389">
            <w:pPr>
              <w:spacing w:after="0"/>
            </w:pPr>
            <w:r>
              <w:rPr>
                <w:rFonts w:ascii="微软雅黑" w:hAnsi="微软雅黑" w:eastAsia="微软雅黑"/>
                <w:b w:val="0"/>
                <w:sz w:val="18"/>
              </w:rPr>
              <w:t>目标密度</w:t>
            </w:r>
          </w:p>
        </w:tc>
        <w:tc>
          <w:tcPr>
            <w:tcW w:w="4680" w:type="dxa"/>
            <w:tcMar>
              <w:top w:w="80" w:type="dxa"/>
              <w:left w:w="120" w:type="dxa"/>
              <w:bottom w:w="80" w:type="dxa"/>
              <w:right w:w="120" w:type="dxa"/>
            </w:tcMar>
            <w:vAlign w:val="center"/>
          </w:tcPr>
          <w:p w14:paraId="10A1032D">
            <w:pPr>
              <w:spacing w:after="0"/>
            </w:pPr>
            <w:r>
              <w:rPr>
                <w:rFonts w:ascii="微软雅黑" w:hAnsi="微软雅黑" w:eastAsia="微软雅黑"/>
                <w:b w:val="0"/>
                <w:sz w:val="18"/>
              </w:rPr>
              <w:t>单位面积目标数量</w:t>
            </w:r>
          </w:p>
        </w:tc>
      </w:tr>
      <w:tr w14:paraId="5866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B332CE2">
            <w:pPr>
              <w:spacing w:after="0"/>
            </w:pPr>
            <w:r>
              <w:rPr>
                <w:rFonts w:ascii="微软雅黑" w:hAnsi="微软雅黑" w:eastAsia="微软雅黑"/>
                <w:b w:val="0"/>
                <w:sz w:val="18"/>
              </w:rPr>
              <w:t>分区及聚集程度</w:t>
            </w:r>
          </w:p>
        </w:tc>
        <w:tc>
          <w:tcPr>
            <w:tcW w:w="4680" w:type="dxa"/>
            <w:tcMar>
              <w:top w:w="80" w:type="dxa"/>
              <w:left w:w="120" w:type="dxa"/>
              <w:bottom w:w="80" w:type="dxa"/>
              <w:right w:w="120" w:type="dxa"/>
            </w:tcMar>
            <w:vAlign w:val="center"/>
          </w:tcPr>
          <w:p w14:paraId="7AB3C0C9">
            <w:pPr>
              <w:spacing w:after="0"/>
            </w:pPr>
            <w:r>
              <w:rPr>
                <w:rFonts w:ascii="微软雅黑" w:hAnsi="微软雅黑" w:eastAsia="微软雅黑"/>
                <w:b w:val="0"/>
                <w:sz w:val="18"/>
              </w:rPr>
              <w:t>主要受累和聚集区域</w:t>
            </w:r>
          </w:p>
        </w:tc>
      </w:tr>
      <w:tr w14:paraId="6AFF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BD9E0E7">
            <w:pPr>
              <w:spacing w:after="0"/>
            </w:pPr>
            <w:r>
              <w:rPr>
                <w:rFonts w:ascii="微软雅黑" w:hAnsi="微软雅黑" w:eastAsia="微软雅黑"/>
                <w:b w:val="0"/>
                <w:sz w:val="18"/>
              </w:rPr>
              <w:t>左右不对称性</w:t>
            </w:r>
          </w:p>
        </w:tc>
        <w:tc>
          <w:tcPr>
            <w:tcW w:w="4680" w:type="dxa"/>
            <w:tcMar>
              <w:top w:w="80" w:type="dxa"/>
              <w:left w:w="120" w:type="dxa"/>
              <w:bottom w:w="80" w:type="dxa"/>
              <w:right w:w="120" w:type="dxa"/>
            </w:tcMar>
            <w:vAlign w:val="center"/>
          </w:tcPr>
          <w:p w14:paraId="40E0FCC5">
            <w:pPr>
              <w:spacing w:after="0"/>
            </w:pPr>
            <w:r>
              <w:rPr>
                <w:rFonts w:ascii="微软雅黑" w:hAnsi="微软雅黑" w:eastAsia="微软雅黑"/>
                <w:b w:val="0"/>
                <w:sz w:val="18"/>
              </w:rPr>
              <w:t>是否存在明显单侧集中</w:t>
            </w:r>
          </w:p>
        </w:tc>
      </w:tr>
    </w:tbl>
    <w:p w14:paraId="373E134C"/>
    <w:p w14:paraId="609426BD">
      <w:pPr>
        <w:pStyle w:val="5"/>
      </w:pPr>
      <w:r>
        <w:t>6.6.4 单目标评分组成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CA7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66B71AF5">
            <w:pPr>
              <w:spacing w:after="0"/>
            </w:pPr>
            <w:r>
              <w:rPr>
                <w:rFonts w:ascii="微软雅黑" w:hAnsi="微软雅黑" w:eastAsia="微软雅黑"/>
                <w:b/>
                <w:sz w:val="18"/>
              </w:rPr>
              <w:t>证据组</w:t>
            </w:r>
          </w:p>
        </w:tc>
        <w:tc>
          <w:tcPr>
            <w:tcW w:w="4680" w:type="dxa"/>
            <w:shd w:val="clear" w:color="auto" w:fill="E8EEF5"/>
            <w:tcMar>
              <w:top w:w="80" w:type="dxa"/>
              <w:left w:w="120" w:type="dxa"/>
              <w:bottom w:w="80" w:type="dxa"/>
              <w:right w:w="120" w:type="dxa"/>
            </w:tcMar>
            <w:vAlign w:val="center"/>
          </w:tcPr>
          <w:p w14:paraId="375EAC65">
            <w:pPr>
              <w:spacing w:after="0"/>
            </w:pPr>
            <w:r>
              <w:rPr>
                <w:rFonts w:ascii="微软雅黑" w:hAnsi="微软雅黑" w:eastAsia="微软雅黑"/>
                <w:b/>
                <w:sz w:val="18"/>
              </w:rPr>
              <w:t>初始医学权重</w:t>
            </w:r>
          </w:p>
        </w:tc>
      </w:tr>
      <w:tr w14:paraId="688E7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B8E7CE4">
            <w:pPr>
              <w:spacing w:after="0"/>
            </w:pPr>
            <w:r>
              <w:rPr>
                <w:rFonts w:ascii="微软雅黑" w:hAnsi="微软雅黑" w:eastAsia="微软雅黑"/>
                <w:b w:val="0"/>
                <w:sz w:val="18"/>
              </w:rPr>
              <w:t>毛囊中心定位</w:t>
            </w:r>
          </w:p>
        </w:tc>
        <w:tc>
          <w:tcPr>
            <w:tcW w:w="4680" w:type="dxa"/>
            <w:tcMar>
              <w:top w:w="80" w:type="dxa"/>
              <w:left w:w="120" w:type="dxa"/>
              <w:bottom w:w="80" w:type="dxa"/>
              <w:right w:w="120" w:type="dxa"/>
            </w:tcMar>
            <w:vAlign w:val="center"/>
          </w:tcPr>
          <w:p w14:paraId="1F2B117E">
            <w:pPr>
              <w:spacing w:after="0"/>
            </w:pPr>
            <w:r>
              <w:rPr>
                <w:rFonts w:ascii="微软雅黑" w:hAnsi="微软雅黑" w:eastAsia="微软雅黑"/>
                <w:b w:val="0"/>
                <w:sz w:val="18"/>
              </w:rPr>
              <w:t>15%</w:t>
            </w:r>
          </w:p>
        </w:tc>
      </w:tr>
      <w:tr w14:paraId="7287F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E957966">
            <w:pPr>
              <w:spacing w:after="0"/>
            </w:pPr>
            <w:r>
              <w:rPr>
                <w:rFonts w:ascii="微软雅黑" w:hAnsi="微软雅黑" w:eastAsia="微软雅黑"/>
                <w:b w:val="0"/>
                <w:sz w:val="18"/>
              </w:rPr>
              <w:t>周围红色</w:t>
            </w:r>
          </w:p>
        </w:tc>
        <w:tc>
          <w:tcPr>
            <w:tcW w:w="4680" w:type="dxa"/>
            <w:tcMar>
              <w:top w:w="80" w:type="dxa"/>
              <w:left w:w="120" w:type="dxa"/>
              <w:bottom w:w="80" w:type="dxa"/>
              <w:right w:w="120" w:type="dxa"/>
            </w:tcMar>
            <w:vAlign w:val="center"/>
          </w:tcPr>
          <w:p w14:paraId="0ACE1FAB">
            <w:pPr>
              <w:spacing w:after="0"/>
            </w:pPr>
            <w:r>
              <w:rPr>
                <w:rFonts w:ascii="微软雅黑" w:hAnsi="微软雅黑" w:eastAsia="微软雅黑"/>
                <w:b w:val="0"/>
                <w:sz w:val="18"/>
              </w:rPr>
              <w:t>20%</w:t>
            </w:r>
          </w:p>
        </w:tc>
      </w:tr>
      <w:tr w14:paraId="553A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4202992">
            <w:pPr>
              <w:spacing w:after="0"/>
            </w:pPr>
            <w:r>
              <w:rPr>
                <w:rFonts w:ascii="微软雅黑" w:hAnsi="微软雅黑" w:eastAsia="微软雅黑"/>
                <w:b w:val="0"/>
                <w:sz w:val="18"/>
              </w:rPr>
              <w:t>隆起形态</w:t>
            </w:r>
          </w:p>
        </w:tc>
        <w:tc>
          <w:tcPr>
            <w:tcW w:w="4680" w:type="dxa"/>
            <w:tcMar>
              <w:top w:w="80" w:type="dxa"/>
              <w:left w:w="120" w:type="dxa"/>
              <w:bottom w:w="80" w:type="dxa"/>
              <w:right w:w="120" w:type="dxa"/>
            </w:tcMar>
            <w:vAlign w:val="center"/>
          </w:tcPr>
          <w:p w14:paraId="51EDA625">
            <w:pPr>
              <w:spacing w:after="0"/>
            </w:pPr>
            <w:r>
              <w:rPr>
                <w:rFonts w:ascii="微软雅黑" w:hAnsi="微软雅黑" w:eastAsia="微软雅黑"/>
                <w:b w:val="0"/>
                <w:sz w:val="18"/>
              </w:rPr>
              <w:t>25%</w:t>
            </w:r>
          </w:p>
        </w:tc>
      </w:tr>
      <w:tr w14:paraId="5D8E2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61834E8">
            <w:pPr>
              <w:spacing w:after="0"/>
            </w:pPr>
            <w:r>
              <w:rPr>
                <w:rFonts w:ascii="微软雅黑" w:hAnsi="微软雅黑" w:eastAsia="微软雅黑"/>
                <w:b w:val="0"/>
                <w:sz w:val="18"/>
              </w:rPr>
              <w:t>白黄中心</w:t>
            </w:r>
          </w:p>
        </w:tc>
        <w:tc>
          <w:tcPr>
            <w:tcW w:w="4680" w:type="dxa"/>
            <w:tcMar>
              <w:top w:w="80" w:type="dxa"/>
              <w:left w:w="120" w:type="dxa"/>
              <w:bottom w:w="80" w:type="dxa"/>
              <w:right w:w="120" w:type="dxa"/>
            </w:tcMar>
            <w:vAlign w:val="center"/>
          </w:tcPr>
          <w:p w14:paraId="5404CB45">
            <w:pPr>
              <w:spacing w:after="0"/>
            </w:pPr>
            <w:r>
              <w:rPr>
                <w:rFonts w:ascii="微软雅黑" w:hAnsi="微软雅黑" w:eastAsia="微软雅黑"/>
                <w:b w:val="0"/>
                <w:sz w:val="18"/>
              </w:rPr>
              <w:t>25%</w:t>
            </w:r>
          </w:p>
        </w:tc>
      </w:tr>
      <w:tr w14:paraId="568B4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0F7C757">
            <w:pPr>
              <w:spacing w:after="0"/>
            </w:pPr>
            <w:r>
              <w:rPr>
                <w:rFonts w:ascii="微软雅黑" w:hAnsi="微软雅黑" w:eastAsia="微软雅黑"/>
                <w:b w:val="0"/>
                <w:sz w:val="18"/>
              </w:rPr>
              <w:t>紫质重叠及强度</w:t>
            </w:r>
          </w:p>
        </w:tc>
        <w:tc>
          <w:tcPr>
            <w:tcW w:w="4680" w:type="dxa"/>
            <w:tcMar>
              <w:top w:w="80" w:type="dxa"/>
              <w:left w:w="120" w:type="dxa"/>
              <w:bottom w:w="80" w:type="dxa"/>
              <w:right w:w="120" w:type="dxa"/>
            </w:tcMar>
            <w:vAlign w:val="center"/>
          </w:tcPr>
          <w:p w14:paraId="333A5AF9">
            <w:pPr>
              <w:spacing w:after="0"/>
            </w:pPr>
            <w:r>
              <w:rPr>
                <w:rFonts w:ascii="微软雅黑" w:hAnsi="微软雅黑" w:eastAsia="微软雅黑"/>
                <w:b w:val="0"/>
                <w:sz w:val="18"/>
              </w:rPr>
              <w:t>10%</w:t>
            </w:r>
          </w:p>
        </w:tc>
      </w:tr>
      <w:tr w14:paraId="0797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BA227C2">
            <w:pPr>
              <w:spacing w:after="0"/>
            </w:pPr>
            <w:r>
              <w:rPr>
                <w:rFonts w:ascii="微软雅黑" w:hAnsi="微软雅黑" w:eastAsia="微软雅黑"/>
                <w:b w:val="0"/>
                <w:sz w:val="18"/>
              </w:rPr>
              <w:t>多角度一致性</w:t>
            </w:r>
          </w:p>
        </w:tc>
        <w:tc>
          <w:tcPr>
            <w:tcW w:w="4680" w:type="dxa"/>
            <w:tcMar>
              <w:top w:w="80" w:type="dxa"/>
              <w:left w:w="120" w:type="dxa"/>
              <w:bottom w:w="80" w:type="dxa"/>
              <w:right w:w="120" w:type="dxa"/>
            </w:tcMar>
            <w:vAlign w:val="center"/>
          </w:tcPr>
          <w:p w14:paraId="50279E7B">
            <w:pPr>
              <w:spacing w:after="0"/>
            </w:pPr>
            <w:r>
              <w:rPr>
                <w:rFonts w:ascii="微软雅黑" w:hAnsi="微软雅黑" w:eastAsia="微软雅黑"/>
                <w:b w:val="0"/>
                <w:sz w:val="18"/>
              </w:rPr>
              <w:t>5%</w:t>
            </w:r>
          </w:p>
        </w:tc>
      </w:tr>
    </w:tbl>
    <w:p w14:paraId="624AABF6"/>
    <w:p w14:paraId="4F2B3844">
      <w:pPr>
        <w:pStyle w:val="5"/>
      </w:pPr>
      <w:r>
        <w:t>6.6.5 可反映的临床问题</w:t>
      </w:r>
    </w:p>
    <w:p w14:paraId="10D3DD7A">
      <w:r>
        <w:rPr>
          <w:rFonts w:ascii="微软雅黑" w:hAnsi="微软雅黑" w:eastAsia="微软雅黑"/>
        </w:rPr>
        <w:t>可以提示：</w:t>
      </w:r>
    </w:p>
    <w:p w14:paraId="58D05714">
      <w:pPr>
        <w:pStyle w:val="16"/>
      </w:pPr>
      <w:r>
        <w:rPr>
          <w:rFonts w:ascii="微软雅黑" w:hAnsi="微软雅黑" w:eastAsia="微软雅黑"/>
        </w:rPr>
        <w:t>活动性毛囊性丘脓疱样炎症；</w:t>
      </w:r>
    </w:p>
    <w:p w14:paraId="44A7751A">
      <w:pPr>
        <w:pStyle w:val="16"/>
      </w:pPr>
      <w:r>
        <w:rPr>
          <w:rFonts w:ascii="微软雅黑" w:hAnsi="微软雅黑" w:eastAsia="微软雅黑"/>
        </w:rPr>
        <w:t>毛囊炎症活动程度增加；</w:t>
      </w:r>
    </w:p>
    <w:p w14:paraId="484FC949">
      <w:pPr>
        <w:pStyle w:val="16"/>
      </w:pPr>
      <w:r>
        <w:rPr>
          <w:rFonts w:ascii="微软雅黑" w:hAnsi="微软雅黑" w:eastAsia="微软雅黑"/>
        </w:rPr>
        <w:t>痤疮样丘脓疱性皮损表型；</w:t>
      </w:r>
    </w:p>
    <w:p w14:paraId="3632B3D3">
      <w:pPr>
        <w:pStyle w:val="16"/>
      </w:pPr>
      <w:r>
        <w:rPr>
          <w:rFonts w:ascii="微软雅黑" w:hAnsi="微软雅黑" w:eastAsia="微软雅黑"/>
        </w:rPr>
        <w:t>卟啉阳性毛囊相关丘脓疱样炎症。</w:t>
      </w:r>
    </w:p>
    <w:p w14:paraId="225A685E">
      <w:r>
        <w:rPr>
          <w:rFonts w:ascii="微软雅黑" w:hAnsi="微软雅黑" w:eastAsia="微软雅黑"/>
        </w:rPr>
        <w:t>不能单独确定：</w:t>
      </w:r>
    </w:p>
    <w:p w14:paraId="0B599744">
      <w:pPr>
        <w:pStyle w:val="16"/>
      </w:pPr>
      <w:r>
        <w:rPr>
          <w:rFonts w:ascii="微软雅黑" w:hAnsi="微软雅黑" w:eastAsia="微软雅黑"/>
        </w:rPr>
        <w:t>痤疮或毛囊炎的具体诊断；</w:t>
      </w:r>
    </w:p>
    <w:p w14:paraId="40B1C2BC">
      <w:pPr>
        <w:pStyle w:val="16"/>
      </w:pPr>
      <w:r>
        <w:rPr>
          <w:rFonts w:ascii="微软雅黑" w:hAnsi="微软雅黑" w:eastAsia="微软雅黑"/>
        </w:rPr>
        <w:t>细菌性毛囊炎；</w:t>
      </w:r>
    </w:p>
    <w:p w14:paraId="261B52BB">
      <w:pPr>
        <w:pStyle w:val="16"/>
      </w:pPr>
      <w:r>
        <w:rPr>
          <w:rFonts w:ascii="微软雅黑" w:hAnsi="微软雅黑" w:eastAsia="微软雅黑"/>
        </w:rPr>
        <w:t>马拉色菌毛囊炎；</w:t>
      </w:r>
    </w:p>
    <w:p w14:paraId="37EB0599">
      <w:pPr>
        <w:pStyle w:val="16"/>
      </w:pPr>
      <w:r>
        <w:rPr>
          <w:rFonts w:ascii="微软雅黑" w:hAnsi="微软雅黑" w:eastAsia="微软雅黑"/>
        </w:rPr>
        <w:t>中心白黄区域是否为真实脓液；</w:t>
      </w:r>
    </w:p>
    <w:p w14:paraId="2C1CC591">
      <w:pPr>
        <w:pStyle w:val="16"/>
      </w:pPr>
      <w:r>
        <w:rPr>
          <w:rFonts w:ascii="微软雅黑" w:hAnsi="微软雅黑" w:eastAsia="微软雅黑"/>
        </w:rPr>
        <w:t>具体病原体类型。</w:t>
      </w:r>
    </w:p>
    <w:p w14:paraId="4594D5EA">
      <w:pPr>
        <w:pStyle w:val="5"/>
      </w:pPr>
      <w:r>
        <w:t>6.6.6 报告表述示例</w:t>
      </w:r>
    </w:p>
    <w:p w14:paraId="50CC6EA0">
      <w:r>
        <w:rPr>
          <w:rFonts w:ascii="微软雅黑" w:hAnsi="微软雅黑" w:eastAsia="微软雅黑"/>
        </w:rPr>
        <w:t>紫质不明显时：</w:t>
      </w:r>
    </w:p>
    <w:p w14:paraId="53ACA2F6">
      <w:pPr>
        <w:spacing w:before="80" w:after="160"/>
        <w:ind w:left="360"/>
      </w:pPr>
      <w:r>
        <w:rPr>
          <w:rFonts w:ascii="微软雅黑" w:hAnsi="微软雅黑" w:eastAsia="微软雅黑"/>
        </w:rPr>
        <w:t>检测到毛囊性丘脓疱样目标，表现为毛囊中心性红色隆起，并伴白色或黄色中心，提示活动性毛囊炎症样改变。</w:t>
      </w:r>
    </w:p>
    <w:p w14:paraId="5D040AD4">
      <w:r>
        <w:rPr>
          <w:rFonts w:ascii="微软雅黑" w:hAnsi="微软雅黑" w:eastAsia="微软雅黑"/>
        </w:rPr>
        <w:t>紫质明显时：</w:t>
      </w:r>
    </w:p>
    <w:p w14:paraId="64ABFEB6">
      <w:pPr>
        <w:spacing w:before="80" w:after="160"/>
        <w:ind w:left="360"/>
      </w:pPr>
      <w:r>
        <w:rPr>
          <w:rFonts w:ascii="微软雅黑" w:hAnsi="微软雅黑" w:eastAsia="微软雅黑"/>
        </w:rPr>
        <w:t>检测到毛囊性丘脓疱样目标，同时伴明显毛囊中心紫质信号，提示活动性毛囊炎症，并支持卟啉阳性毛囊相关的痤疮样炎症活动。</w:t>
      </w:r>
    </w:p>
    <w:p w14:paraId="227832A9">
      <w:pPr>
        <w:pStyle w:val="4"/>
      </w:pPr>
      <w:r>
        <w:t>6.7 综合评分组成</w:t>
      </w:r>
    </w:p>
    <w:p w14:paraId="6073A524">
      <w:pPr>
        <w:pStyle w:val="5"/>
      </w:pPr>
      <w:r>
        <w:t>6.7.1 三类目标综合权重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87C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7976C597">
            <w:pPr>
              <w:spacing w:after="0"/>
            </w:pPr>
            <w:r>
              <w:rPr>
                <w:rFonts w:ascii="微软雅黑" w:hAnsi="微软雅黑" w:eastAsia="微软雅黑"/>
                <w:b/>
                <w:sz w:val="18"/>
              </w:rPr>
              <w:t>分项</w:t>
            </w:r>
          </w:p>
        </w:tc>
        <w:tc>
          <w:tcPr>
            <w:tcW w:w="4680" w:type="dxa"/>
            <w:shd w:val="clear" w:color="auto" w:fill="E8EEF5"/>
            <w:tcMar>
              <w:top w:w="80" w:type="dxa"/>
              <w:left w:w="120" w:type="dxa"/>
              <w:bottom w:w="80" w:type="dxa"/>
              <w:right w:w="120" w:type="dxa"/>
            </w:tcMar>
            <w:vAlign w:val="center"/>
          </w:tcPr>
          <w:p w14:paraId="4E8EE77E">
            <w:pPr>
              <w:spacing w:after="0"/>
            </w:pPr>
            <w:r>
              <w:rPr>
                <w:rFonts w:ascii="微软雅黑" w:hAnsi="微软雅黑" w:eastAsia="微软雅黑"/>
                <w:b/>
                <w:sz w:val="18"/>
              </w:rPr>
              <w:t>初始医学权重</w:t>
            </w:r>
          </w:p>
        </w:tc>
      </w:tr>
      <w:tr w14:paraId="5EDB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7DCAB04">
            <w:pPr>
              <w:spacing w:after="0"/>
            </w:pPr>
            <w:r>
              <w:rPr>
                <w:rFonts w:ascii="微软雅黑" w:hAnsi="微软雅黑" w:eastAsia="微软雅黑"/>
                <w:b w:val="0"/>
                <w:sz w:val="18"/>
              </w:rPr>
              <w:t>毛囊周围红斑样负担</w:t>
            </w:r>
          </w:p>
        </w:tc>
        <w:tc>
          <w:tcPr>
            <w:tcW w:w="4680" w:type="dxa"/>
            <w:tcMar>
              <w:top w:w="80" w:type="dxa"/>
              <w:left w:w="120" w:type="dxa"/>
              <w:bottom w:w="80" w:type="dxa"/>
              <w:right w:w="120" w:type="dxa"/>
            </w:tcMar>
            <w:vAlign w:val="center"/>
          </w:tcPr>
          <w:p w14:paraId="411A1AEF">
            <w:pPr>
              <w:spacing w:after="0"/>
            </w:pPr>
            <w:r>
              <w:rPr>
                <w:rFonts w:ascii="微软雅黑" w:hAnsi="微软雅黑" w:eastAsia="微软雅黑"/>
                <w:b w:val="0"/>
                <w:sz w:val="18"/>
              </w:rPr>
              <w:t>20%</w:t>
            </w:r>
          </w:p>
        </w:tc>
      </w:tr>
      <w:tr w14:paraId="61C8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ADB8AEE">
            <w:pPr>
              <w:spacing w:after="0"/>
            </w:pPr>
            <w:r>
              <w:rPr>
                <w:rFonts w:ascii="微软雅黑" w:hAnsi="微软雅黑" w:eastAsia="微软雅黑"/>
                <w:b w:val="0"/>
                <w:sz w:val="18"/>
              </w:rPr>
              <w:t>毛囊性红色丘疹样负担</w:t>
            </w:r>
          </w:p>
        </w:tc>
        <w:tc>
          <w:tcPr>
            <w:tcW w:w="4680" w:type="dxa"/>
            <w:tcMar>
              <w:top w:w="80" w:type="dxa"/>
              <w:left w:w="120" w:type="dxa"/>
              <w:bottom w:w="80" w:type="dxa"/>
              <w:right w:w="120" w:type="dxa"/>
            </w:tcMar>
            <w:vAlign w:val="center"/>
          </w:tcPr>
          <w:p w14:paraId="60E1C190">
            <w:pPr>
              <w:spacing w:after="0"/>
            </w:pPr>
            <w:r>
              <w:rPr>
                <w:rFonts w:ascii="微软雅黑" w:hAnsi="微软雅黑" w:eastAsia="微软雅黑"/>
                <w:b w:val="0"/>
                <w:sz w:val="18"/>
              </w:rPr>
              <w:t>40%</w:t>
            </w:r>
          </w:p>
        </w:tc>
      </w:tr>
      <w:tr w14:paraId="2FB1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192DBD0">
            <w:pPr>
              <w:spacing w:after="0"/>
            </w:pPr>
            <w:r>
              <w:rPr>
                <w:rFonts w:ascii="微软雅黑" w:hAnsi="微软雅黑" w:eastAsia="微软雅黑"/>
                <w:b w:val="0"/>
                <w:sz w:val="18"/>
              </w:rPr>
              <w:t>毛囊性丘脓疱样负担</w:t>
            </w:r>
          </w:p>
        </w:tc>
        <w:tc>
          <w:tcPr>
            <w:tcW w:w="4680" w:type="dxa"/>
            <w:tcMar>
              <w:top w:w="80" w:type="dxa"/>
              <w:left w:w="120" w:type="dxa"/>
              <w:bottom w:w="80" w:type="dxa"/>
              <w:right w:w="120" w:type="dxa"/>
            </w:tcMar>
            <w:vAlign w:val="center"/>
          </w:tcPr>
          <w:p w14:paraId="75ED603C">
            <w:pPr>
              <w:spacing w:after="0"/>
            </w:pPr>
            <w:r>
              <w:rPr>
                <w:rFonts w:ascii="微软雅黑" w:hAnsi="微软雅黑" w:eastAsia="微软雅黑"/>
                <w:b w:val="0"/>
                <w:sz w:val="18"/>
              </w:rPr>
              <w:t>40%</w:t>
            </w:r>
          </w:p>
        </w:tc>
      </w:tr>
    </w:tbl>
    <w:p w14:paraId="4C7B2E6E"/>
    <w:p w14:paraId="55C4536D">
      <w:r>
        <w:rPr>
          <w:rFonts w:ascii="微软雅黑" w:hAnsi="微软雅黑" w:eastAsia="微软雅黑"/>
        </w:rPr>
        <w:t>毛囊周围红斑主要反映较轻或较早期的毛囊周围红色反应。</w:t>
      </w:r>
    </w:p>
    <w:p w14:paraId="60A9E10A">
      <w:r>
        <w:rPr>
          <w:rFonts w:ascii="微软雅黑" w:hAnsi="微软雅黑" w:eastAsia="微软雅黑"/>
        </w:rPr>
        <w:t>红色丘疹样目标和丘脓疱样目标具有更明确的活动性形态，因此在综合评分中的权重更高。</w:t>
      </w:r>
    </w:p>
    <w:p w14:paraId="1137A28C">
      <w:pPr>
        <w:pStyle w:val="5"/>
      </w:pPr>
      <w:r>
        <w:t>6.7.2 各分项负担需要综合考虑</w:t>
      </w:r>
    </w:p>
    <w:p w14:paraId="043EDA76">
      <w:pPr>
        <w:pStyle w:val="16"/>
      </w:pPr>
      <w:r>
        <w:rPr>
          <w:rFonts w:ascii="微软雅黑" w:hAnsi="微软雅黑" w:eastAsia="微软雅黑"/>
        </w:rPr>
        <w:t>目标数量；</w:t>
      </w:r>
    </w:p>
    <w:p w14:paraId="468B3D3A">
      <w:pPr>
        <w:pStyle w:val="16"/>
      </w:pPr>
      <w:r>
        <w:rPr>
          <w:rFonts w:ascii="微软雅黑" w:hAnsi="微软雅黑" w:eastAsia="微软雅黑"/>
        </w:rPr>
        <w:t>单位面积目标密度；</w:t>
      </w:r>
    </w:p>
    <w:p w14:paraId="3B039C31">
      <w:pPr>
        <w:pStyle w:val="16"/>
      </w:pPr>
      <w:r>
        <w:rPr>
          <w:rFonts w:ascii="微软雅黑" w:hAnsi="微软雅黑" w:eastAsia="微软雅黑"/>
        </w:rPr>
        <w:t>目标总面积占比；</w:t>
      </w:r>
    </w:p>
    <w:p w14:paraId="41ECE283">
      <w:pPr>
        <w:pStyle w:val="16"/>
      </w:pPr>
      <w:r>
        <w:rPr>
          <w:rFonts w:ascii="微软雅黑" w:hAnsi="微软雅黑" w:eastAsia="微软雅黑"/>
        </w:rPr>
        <w:t>红色强度；</w:t>
      </w:r>
    </w:p>
    <w:p w14:paraId="5A4D31A8">
      <w:pPr>
        <w:pStyle w:val="16"/>
      </w:pPr>
      <w:r>
        <w:rPr>
          <w:rFonts w:ascii="微软雅黑" w:hAnsi="微软雅黑" w:eastAsia="微软雅黑"/>
        </w:rPr>
        <w:t>隆起程度；</w:t>
      </w:r>
    </w:p>
    <w:p w14:paraId="4EC3F8EE">
      <w:pPr>
        <w:pStyle w:val="16"/>
      </w:pPr>
      <w:r>
        <w:rPr>
          <w:rFonts w:ascii="微软雅黑" w:hAnsi="微软雅黑" w:eastAsia="微软雅黑"/>
        </w:rPr>
        <w:t>白黄中心特征；</w:t>
      </w:r>
    </w:p>
    <w:p w14:paraId="20457C33">
      <w:pPr>
        <w:pStyle w:val="16"/>
      </w:pPr>
      <w:r>
        <w:rPr>
          <w:rFonts w:ascii="微软雅黑" w:hAnsi="微软雅黑" w:eastAsia="微软雅黑"/>
        </w:rPr>
        <w:t>紫质重叠情况；</w:t>
      </w:r>
    </w:p>
    <w:p w14:paraId="18813152">
      <w:pPr>
        <w:pStyle w:val="16"/>
      </w:pPr>
      <w:r>
        <w:rPr>
          <w:rFonts w:ascii="微软雅黑" w:hAnsi="微软雅黑" w:eastAsia="微软雅黑"/>
        </w:rPr>
        <w:t>目标聚集程度；</w:t>
      </w:r>
    </w:p>
    <w:p w14:paraId="223C8618">
      <w:pPr>
        <w:pStyle w:val="16"/>
      </w:pPr>
      <w:r>
        <w:rPr>
          <w:rFonts w:ascii="微软雅黑" w:hAnsi="微软雅黑" w:eastAsia="微软雅黑"/>
        </w:rPr>
        <w:t>面部分区；</w:t>
      </w:r>
    </w:p>
    <w:p w14:paraId="1EF978F8">
      <w:pPr>
        <w:pStyle w:val="16"/>
      </w:pPr>
      <w:r>
        <w:rPr>
          <w:rFonts w:ascii="微软雅黑" w:hAnsi="微软雅黑" w:eastAsia="微软雅黑"/>
        </w:rPr>
        <w:t>左右不对称性。</w:t>
      </w:r>
    </w:p>
    <w:p w14:paraId="0AAEE492">
      <w:pPr>
        <w:pStyle w:val="5"/>
      </w:pPr>
      <w:r>
        <w:t>6.7.3 综合报告展示指标</w:t>
      </w:r>
    </w:p>
    <w:p w14:paraId="2FD6E90B">
      <w:r>
        <w:rPr>
          <w:rFonts w:ascii="微软雅黑" w:hAnsi="微软雅黑" w:eastAsia="微软雅黑"/>
        </w:rPr>
        <w:t>最终报告应展示：</w:t>
      </w:r>
    </w:p>
    <w:p w14:paraId="693982D4">
      <w:pPr>
        <w:pStyle w:val="16"/>
      </w:pPr>
      <w:r>
        <w:rPr>
          <w:rFonts w:ascii="微软雅黑" w:hAnsi="微软雅黑" w:eastAsia="微软雅黑"/>
        </w:rPr>
        <w:t>毛囊炎症及痤疮样活动总分；</w:t>
      </w:r>
    </w:p>
    <w:p w14:paraId="16D4DA7C">
      <w:pPr>
        <w:pStyle w:val="16"/>
      </w:pPr>
      <w:r>
        <w:rPr>
          <w:rFonts w:ascii="微软雅黑" w:hAnsi="微软雅黑" w:eastAsia="微软雅黑"/>
        </w:rPr>
        <w:t>毛囊周围红斑样目标数量及密度；</w:t>
      </w:r>
    </w:p>
    <w:p w14:paraId="68CAEF65">
      <w:pPr>
        <w:pStyle w:val="16"/>
      </w:pPr>
      <w:r>
        <w:rPr>
          <w:rFonts w:ascii="微软雅黑" w:hAnsi="微软雅黑" w:eastAsia="微软雅黑"/>
        </w:rPr>
        <w:t>毛囊性红色丘疹样目标数量及密度；</w:t>
      </w:r>
    </w:p>
    <w:p w14:paraId="25187C41">
      <w:pPr>
        <w:pStyle w:val="16"/>
      </w:pPr>
      <w:r>
        <w:rPr>
          <w:rFonts w:ascii="微软雅黑" w:hAnsi="微软雅黑" w:eastAsia="微软雅黑"/>
        </w:rPr>
        <w:t>毛囊性丘脓疱样目标数量及密度；</w:t>
      </w:r>
    </w:p>
    <w:p w14:paraId="6D932599">
      <w:pPr>
        <w:pStyle w:val="16"/>
      </w:pPr>
      <w:r>
        <w:rPr>
          <w:rFonts w:ascii="微软雅黑" w:hAnsi="微软雅黑" w:eastAsia="微软雅黑"/>
        </w:rPr>
        <w:t>三类目标中伴紫质信号的比例；</w:t>
      </w:r>
    </w:p>
    <w:p w14:paraId="3759A8F1">
      <w:pPr>
        <w:pStyle w:val="16"/>
      </w:pPr>
      <w:r>
        <w:rPr>
          <w:rFonts w:ascii="微软雅黑" w:hAnsi="微软雅黑" w:eastAsia="微软雅黑"/>
        </w:rPr>
        <w:t>主要受累区域；</w:t>
      </w:r>
    </w:p>
    <w:p w14:paraId="56396210">
      <w:pPr>
        <w:pStyle w:val="16"/>
      </w:pPr>
      <w:r>
        <w:rPr>
          <w:rFonts w:ascii="微软雅黑" w:hAnsi="微软雅黑" w:eastAsia="微软雅黑"/>
        </w:rPr>
        <w:t>目标聚集区域；</w:t>
      </w:r>
    </w:p>
    <w:p w14:paraId="758ED1CC">
      <w:pPr>
        <w:pStyle w:val="16"/>
      </w:pPr>
      <w:r>
        <w:rPr>
          <w:rFonts w:ascii="微软雅黑" w:hAnsi="微软雅黑" w:eastAsia="微软雅黑"/>
        </w:rPr>
        <w:t>左右不对称性；</w:t>
      </w:r>
    </w:p>
    <w:p w14:paraId="3EC144FE">
      <w:pPr>
        <w:pStyle w:val="16"/>
      </w:pPr>
      <w:r>
        <w:rPr>
          <w:rFonts w:ascii="微软雅黑" w:hAnsi="微软雅黑" w:eastAsia="微软雅黑"/>
        </w:rPr>
        <w:t>图像检测可信度。</w:t>
      </w:r>
    </w:p>
    <w:p w14:paraId="2FC5205B">
      <w:pPr>
        <w:pStyle w:val="4"/>
      </w:pPr>
      <w:r>
        <w:t>6.8 可反映的临床问题</w:t>
      </w:r>
    </w:p>
    <w:p w14:paraId="2964516A">
      <w:r>
        <w:rPr>
          <w:rFonts w:ascii="微软雅黑" w:hAnsi="微软雅黑" w:eastAsia="微软雅黑"/>
        </w:rPr>
        <w:t>本报告可以提示：</w:t>
      </w:r>
    </w:p>
    <w:p w14:paraId="7E104DB8">
      <w:pPr>
        <w:pStyle w:val="16"/>
      </w:pPr>
      <w:r>
        <w:rPr>
          <w:rFonts w:ascii="微软雅黑" w:hAnsi="微软雅黑" w:eastAsia="微软雅黑"/>
        </w:rPr>
        <w:t>毛囊周围局部红色反应；</w:t>
      </w:r>
    </w:p>
    <w:p w14:paraId="0F733291">
      <w:pPr>
        <w:pStyle w:val="16"/>
      </w:pPr>
      <w:r>
        <w:rPr>
          <w:rFonts w:ascii="微软雅黑" w:hAnsi="微软雅黑" w:eastAsia="微软雅黑"/>
        </w:rPr>
        <w:t>毛囊周围刺激或充血；</w:t>
      </w:r>
    </w:p>
    <w:p w14:paraId="5E328E4C">
      <w:pPr>
        <w:pStyle w:val="16"/>
      </w:pPr>
      <w:r>
        <w:rPr>
          <w:rFonts w:ascii="微软雅黑" w:hAnsi="微软雅黑" w:eastAsia="微软雅黑"/>
        </w:rPr>
        <w:t>活动性毛囊性红色丘疹样炎症；</w:t>
      </w:r>
    </w:p>
    <w:p w14:paraId="7C0C68ED">
      <w:pPr>
        <w:pStyle w:val="16"/>
      </w:pPr>
      <w:r>
        <w:rPr>
          <w:rFonts w:ascii="微软雅黑" w:hAnsi="微软雅黑" w:eastAsia="微软雅黑"/>
        </w:rPr>
        <w:t>活动性毛囊性丘脓疱样炎症；</w:t>
      </w:r>
    </w:p>
    <w:p w14:paraId="6A4C1E04">
      <w:pPr>
        <w:pStyle w:val="16"/>
      </w:pPr>
      <w:r>
        <w:rPr>
          <w:rFonts w:ascii="微软雅黑" w:hAnsi="微软雅黑" w:eastAsia="微软雅黑"/>
        </w:rPr>
        <w:t>卟啉阳性毛囊相关炎症活动；</w:t>
      </w:r>
    </w:p>
    <w:p w14:paraId="279AA3A7">
      <w:pPr>
        <w:pStyle w:val="16"/>
      </w:pPr>
      <w:r>
        <w:rPr>
          <w:rFonts w:ascii="微软雅黑" w:hAnsi="微软雅黑" w:eastAsia="微软雅黑"/>
        </w:rPr>
        <w:t>痤疮样毛囊炎症表型；</w:t>
      </w:r>
    </w:p>
    <w:p w14:paraId="016D322F">
      <w:pPr>
        <w:pStyle w:val="16"/>
      </w:pPr>
      <w:r>
        <w:rPr>
          <w:rFonts w:ascii="微软雅黑" w:hAnsi="微软雅黑" w:eastAsia="微软雅黑"/>
        </w:rPr>
        <w:t>毛囊性炎症目标的数量、严重程度、分布及聚集特征。</w:t>
      </w:r>
    </w:p>
    <w:p w14:paraId="6581D4F2">
      <w:r>
        <w:rPr>
          <w:rFonts w:ascii="微软雅黑" w:hAnsi="微软雅黑" w:eastAsia="微软雅黑"/>
        </w:rPr>
        <w:t>本报告不能单独确定：</w:t>
      </w:r>
    </w:p>
    <w:p w14:paraId="0BA8E5D1">
      <w:pPr>
        <w:pStyle w:val="16"/>
      </w:pPr>
      <w:r>
        <w:rPr>
          <w:rFonts w:ascii="微软雅黑" w:hAnsi="微软雅黑" w:eastAsia="微软雅黑"/>
        </w:rPr>
        <w:t>痤疮诊断；</w:t>
      </w:r>
    </w:p>
    <w:p w14:paraId="62E11170">
      <w:pPr>
        <w:pStyle w:val="16"/>
      </w:pPr>
      <w:r>
        <w:rPr>
          <w:rFonts w:ascii="微软雅黑" w:hAnsi="微软雅黑" w:eastAsia="微软雅黑"/>
        </w:rPr>
        <w:t>毛囊炎诊断；</w:t>
      </w:r>
    </w:p>
    <w:p w14:paraId="569EE623">
      <w:pPr>
        <w:pStyle w:val="16"/>
      </w:pPr>
      <w:r>
        <w:rPr>
          <w:rFonts w:ascii="微软雅黑" w:hAnsi="微软雅黑" w:eastAsia="微软雅黑"/>
        </w:rPr>
        <w:t>痤疮与毛囊炎的确定性鉴别；</w:t>
      </w:r>
    </w:p>
    <w:p w14:paraId="657D389C">
      <w:pPr>
        <w:pStyle w:val="16"/>
      </w:pPr>
      <w:r>
        <w:rPr>
          <w:rFonts w:ascii="微软雅黑" w:hAnsi="微软雅黑" w:eastAsia="微软雅黑"/>
        </w:rPr>
        <w:t>细菌性或真菌性毛囊炎；</w:t>
      </w:r>
    </w:p>
    <w:p w14:paraId="59691239">
      <w:pPr>
        <w:pStyle w:val="16"/>
      </w:pPr>
      <w:r>
        <w:rPr>
          <w:rFonts w:ascii="微软雅黑" w:hAnsi="微软雅黑" w:eastAsia="微软雅黑"/>
        </w:rPr>
        <w:t>具体病原体；</w:t>
      </w:r>
    </w:p>
    <w:p w14:paraId="41CD0A11">
      <w:pPr>
        <w:pStyle w:val="16"/>
      </w:pPr>
      <w:r>
        <w:rPr>
          <w:rFonts w:ascii="微软雅黑" w:hAnsi="微软雅黑" w:eastAsia="微软雅黑"/>
        </w:rPr>
        <w:t>毛囊内细菌数量；</w:t>
      </w:r>
    </w:p>
    <w:p w14:paraId="41BA3603">
      <w:pPr>
        <w:pStyle w:val="16"/>
      </w:pPr>
      <w:r>
        <w:rPr>
          <w:rFonts w:ascii="微软雅黑" w:hAnsi="微软雅黑" w:eastAsia="微软雅黑"/>
        </w:rPr>
        <w:t>炎症介质水平。</w:t>
      </w:r>
    </w:p>
    <w:p w14:paraId="77E044FD">
      <w:pPr>
        <w:pStyle w:val="4"/>
      </w:pPr>
      <w:r>
        <w:t>6.9 报告示例</w:t>
      </w:r>
    </w:p>
    <w:p w14:paraId="200F6415">
      <w:pPr>
        <w:pStyle w:val="5"/>
      </w:pPr>
      <w:r>
        <w:t>毛囊炎症及痤疮样活动评分：70分，较明显</w:t>
      </w:r>
    </w:p>
    <w:p w14:paraId="744A8846">
      <w:r>
        <w:rPr>
          <w:rFonts w:ascii="微软雅黑" w:hAnsi="微软雅黑" w:eastAsia="微软雅黑"/>
        </w:rPr>
        <w:t>本次共检测到：</w:t>
      </w:r>
    </w:p>
    <w:p w14:paraId="63FAF03A">
      <w:pPr>
        <w:pStyle w:val="16"/>
      </w:pPr>
      <w:r>
        <w:rPr>
          <w:rFonts w:ascii="微软雅黑" w:hAnsi="微软雅黑" w:eastAsia="微软雅黑"/>
        </w:rPr>
        <w:t>毛囊周围红斑样目标：46个；</w:t>
      </w:r>
    </w:p>
    <w:p w14:paraId="5AEB28FA">
      <w:pPr>
        <w:pStyle w:val="16"/>
      </w:pPr>
      <w:r>
        <w:rPr>
          <w:rFonts w:ascii="微软雅黑" w:hAnsi="微软雅黑" w:eastAsia="微软雅黑"/>
        </w:rPr>
        <w:t>毛囊性红色丘疹样目标：22个；</w:t>
      </w:r>
    </w:p>
    <w:p w14:paraId="46C419CC">
      <w:pPr>
        <w:pStyle w:val="16"/>
      </w:pPr>
      <w:r>
        <w:rPr>
          <w:rFonts w:ascii="微软雅黑" w:hAnsi="微软雅黑" w:eastAsia="微软雅黑"/>
        </w:rPr>
        <w:t>毛囊性丘脓疱样目标：7个。</w:t>
      </w:r>
    </w:p>
    <w:p w14:paraId="1134FDF8">
      <w:r>
        <w:rPr>
          <w:rFonts w:ascii="微软雅黑" w:hAnsi="微软雅黑" w:eastAsia="微软雅黑"/>
        </w:rPr>
        <w:t>异常目标主要集中于下颌和双侧面颊，右侧下颌较为明显。</w:t>
      </w:r>
    </w:p>
    <w:p w14:paraId="03E4142A">
      <w:r>
        <w:rPr>
          <w:rFonts w:ascii="微软雅黑" w:hAnsi="微软雅黑" w:eastAsia="微软雅黑"/>
        </w:rPr>
        <w:t>毛囊周围红斑样目标中，28%同时伴毛囊中心紫质信号；毛囊性红色丘疹样目标中，41%伴紫质信号；7个毛囊性丘脓疱样目标中，有5个同时可见较明显的毛囊中心紫质信号。</w:t>
      </w:r>
    </w:p>
    <w:p w14:paraId="307E48F2">
      <w:r>
        <w:rPr>
          <w:rFonts w:ascii="微软雅黑" w:hAnsi="微软雅黑" w:eastAsia="微软雅黑"/>
        </w:rPr>
        <w:t>本次以毛囊性红色丘疹样目标为主，同时存在少量毛囊性丘脓疱样目标。部分丘疹及丘脓疱样目标伴明显毛囊卟啉荧光，提示活动性毛囊炎症，并支持卟啉阳性毛囊相关的痤疮样炎症活动。</w:t>
      </w:r>
    </w:p>
    <w:p w14:paraId="37119D37">
      <w:r>
        <w:rPr>
          <w:rFonts w:ascii="微软雅黑" w:hAnsi="微软雅黑" w:eastAsia="微软雅黑"/>
        </w:rPr>
        <w:t>本结果反映面部图像中的毛囊性红色及炎症样形态，不能单独确定为痤疮或毛囊炎，也不能判断具体病原体。</w:t>
      </w:r>
    </w:p>
    <w:p w14:paraId="2C632678">
      <w:pPr>
        <w:pStyle w:val="3"/>
      </w:pPr>
      <w:r>
        <w:t>七、四种红色问题肌的区别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617A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E8EEF5"/>
            <w:tcMar>
              <w:top w:w="80" w:type="dxa"/>
              <w:left w:w="120" w:type="dxa"/>
              <w:bottom w:w="80" w:type="dxa"/>
              <w:right w:w="120" w:type="dxa"/>
            </w:tcMar>
            <w:vAlign w:val="center"/>
          </w:tcPr>
          <w:p w14:paraId="170484B4">
            <w:pPr>
              <w:spacing w:after="0"/>
            </w:pPr>
            <w:r>
              <w:rPr>
                <w:rFonts w:ascii="微软雅黑" w:hAnsi="微软雅黑" w:eastAsia="微软雅黑"/>
                <w:b/>
                <w:sz w:val="18"/>
              </w:rPr>
              <w:t>问题肌报告</w:t>
            </w:r>
          </w:p>
        </w:tc>
        <w:tc>
          <w:tcPr>
            <w:tcW w:w="2340" w:type="dxa"/>
            <w:shd w:val="clear" w:color="auto" w:fill="E8EEF5"/>
            <w:tcMar>
              <w:top w:w="80" w:type="dxa"/>
              <w:left w:w="120" w:type="dxa"/>
              <w:bottom w:w="80" w:type="dxa"/>
              <w:right w:w="120" w:type="dxa"/>
            </w:tcMar>
            <w:vAlign w:val="center"/>
          </w:tcPr>
          <w:p w14:paraId="5D3B461B">
            <w:pPr>
              <w:spacing w:after="0"/>
            </w:pPr>
            <w:r>
              <w:rPr>
                <w:rFonts w:ascii="微软雅黑" w:hAnsi="微软雅黑" w:eastAsia="微软雅黑"/>
                <w:b/>
                <w:sz w:val="18"/>
              </w:rPr>
              <w:t>主要检测对象</w:t>
            </w:r>
          </w:p>
        </w:tc>
        <w:tc>
          <w:tcPr>
            <w:tcW w:w="2340" w:type="dxa"/>
            <w:shd w:val="clear" w:color="auto" w:fill="E8EEF5"/>
            <w:tcMar>
              <w:top w:w="80" w:type="dxa"/>
              <w:left w:w="120" w:type="dxa"/>
              <w:bottom w:w="80" w:type="dxa"/>
              <w:right w:w="120" w:type="dxa"/>
            </w:tcMar>
            <w:vAlign w:val="center"/>
          </w:tcPr>
          <w:p w14:paraId="3ACC5001">
            <w:pPr>
              <w:spacing w:after="0"/>
            </w:pPr>
            <w:r>
              <w:rPr>
                <w:rFonts w:ascii="微软雅黑" w:hAnsi="微软雅黑" w:eastAsia="微软雅黑"/>
                <w:b/>
                <w:sz w:val="18"/>
              </w:rPr>
              <w:t>最关键判断条件</w:t>
            </w:r>
          </w:p>
        </w:tc>
        <w:tc>
          <w:tcPr>
            <w:tcW w:w="2340" w:type="dxa"/>
            <w:shd w:val="clear" w:color="auto" w:fill="E8EEF5"/>
            <w:tcMar>
              <w:top w:w="80" w:type="dxa"/>
              <w:left w:w="120" w:type="dxa"/>
              <w:bottom w:w="80" w:type="dxa"/>
              <w:right w:w="120" w:type="dxa"/>
            </w:tcMar>
            <w:vAlign w:val="center"/>
          </w:tcPr>
          <w:p w14:paraId="215DE9AA">
            <w:pPr>
              <w:spacing w:after="0"/>
            </w:pPr>
            <w:r>
              <w:rPr>
                <w:rFonts w:ascii="微软雅黑" w:hAnsi="微软雅黑" w:eastAsia="微软雅黑"/>
                <w:b/>
                <w:sz w:val="18"/>
              </w:rPr>
              <w:t>紫质是否参与</w:t>
            </w:r>
          </w:p>
        </w:tc>
      </w:tr>
      <w:tr w14:paraId="7D085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Mar>
              <w:top w:w="80" w:type="dxa"/>
              <w:left w:w="120" w:type="dxa"/>
              <w:bottom w:w="80" w:type="dxa"/>
              <w:right w:w="120" w:type="dxa"/>
            </w:tcMar>
            <w:vAlign w:val="center"/>
          </w:tcPr>
          <w:p w14:paraId="57339C1B">
            <w:pPr>
              <w:spacing w:after="0"/>
            </w:pPr>
            <w:r>
              <w:rPr>
                <w:rFonts w:ascii="微软雅黑" w:hAnsi="微软雅黑" w:eastAsia="微软雅黑"/>
                <w:b w:val="0"/>
                <w:sz w:val="18"/>
              </w:rPr>
              <w:t>弥漫性泛红表型</w:t>
            </w:r>
          </w:p>
        </w:tc>
        <w:tc>
          <w:tcPr>
            <w:tcW w:w="2340" w:type="dxa"/>
            <w:tcMar>
              <w:top w:w="80" w:type="dxa"/>
              <w:left w:w="120" w:type="dxa"/>
              <w:bottom w:w="80" w:type="dxa"/>
              <w:right w:w="120" w:type="dxa"/>
            </w:tcMar>
            <w:vAlign w:val="center"/>
          </w:tcPr>
          <w:p w14:paraId="44FFA8C1">
            <w:pPr>
              <w:spacing w:after="0"/>
            </w:pPr>
            <w:r>
              <w:rPr>
                <w:rFonts w:ascii="微软雅黑" w:hAnsi="微软雅黑" w:eastAsia="微软雅黑"/>
                <w:b w:val="0"/>
                <w:sz w:val="18"/>
              </w:rPr>
              <w:t>大面积背景红色</w:t>
            </w:r>
          </w:p>
        </w:tc>
        <w:tc>
          <w:tcPr>
            <w:tcW w:w="2340" w:type="dxa"/>
            <w:tcMar>
              <w:top w:w="80" w:type="dxa"/>
              <w:left w:w="120" w:type="dxa"/>
              <w:bottom w:w="80" w:type="dxa"/>
              <w:right w:w="120" w:type="dxa"/>
            </w:tcMar>
            <w:vAlign w:val="center"/>
          </w:tcPr>
          <w:p w14:paraId="691EB696">
            <w:pPr>
              <w:spacing w:after="0"/>
            </w:pPr>
            <w:r>
              <w:rPr>
                <w:rFonts w:ascii="微软雅黑" w:hAnsi="微软雅黑" w:eastAsia="微软雅黑"/>
                <w:b w:val="0"/>
                <w:sz w:val="18"/>
              </w:rPr>
              <w:t>连续、边界渐变，排除独立目标</w:t>
            </w:r>
          </w:p>
        </w:tc>
        <w:tc>
          <w:tcPr>
            <w:tcW w:w="2340" w:type="dxa"/>
            <w:tcMar>
              <w:top w:w="80" w:type="dxa"/>
              <w:left w:w="120" w:type="dxa"/>
              <w:bottom w:w="80" w:type="dxa"/>
              <w:right w:w="120" w:type="dxa"/>
            </w:tcMar>
            <w:vAlign w:val="center"/>
          </w:tcPr>
          <w:p w14:paraId="04C69797">
            <w:pPr>
              <w:spacing w:after="0"/>
            </w:pPr>
            <w:r>
              <w:rPr>
                <w:rFonts w:ascii="微软雅黑" w:hAnsi="微软雅黑" w:eastAsia="微软雅黑"/>
                <w:b w:val="0"/>
                <w:sz w:val="18"/>
              </w:rPr>
              <w:t>否</w:t>
            </w:r>
          </w:p>
        </w:tc>
      </w:tr>
      <w:tr w14:paraId="4E49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Mar>
              <w:top w:w="80" w:type="dxa"/>
              <w:left w:w="120" w:type="dxa"/>
              <w:bottom w:w="80" w:type="dxa"/>
              <w:right w:w="120" w:type="dxa"/>
            </w:tcMar>
            <w:vAlign w:val="center"/>
          </w:tcPr>
          <w:p w14:paraId="5D9692E4">
            <w:pPr>
              <w:spacing w:after="0"/>
            </w:pPr>
            <w:r>
              <w:rPr>
                <w:rFonts w:ascii="微软雅黑" w:hAnsi="微软雅黑" w:eastAsia="微软雅黑"/>
                <w:b w:val="0"/>
                <w:sz w:val="18"/>
              </w:rPr>
              <w:t>局灶性炎症样红色表型</w:t>
            </w:r>
          </w:p>
        </w:tc>
        <w:tc>
          <w:tcPr>
            <w:tcW w:w="2340" w:type="dxa"/>
            <w:tcMar>
              <w:top w:w="80" w:type="dxa"/>
              <w:left w:w="120" w:type="dxa"/>
              <w:bottom w:w="80" w:type="dxa"/>
              <w:right w:w="120" w:type="dxa"/>
            </w:tcMar>
            <w:vAlign w:val="center"/>
          </w:tcPr>
          <w:p w14:paraId="5AE509BF">
            <w:pPr>
              <w:spacing w:after="0"/>
            </w:pPr>
            <w:r>
              <w:rPr>
                <w:rFonts w:ascii="微软雅黑" w:hAnsi="微软雅黑" w:eastAsia="微软雅黑"/>
                <w:b w:val="0"/>
                <w:sz w:val="18"/>
              </w:rPr>
              <w:t>非明确毛囊性的独立红色目标</w:t>
            </w:r>
          </w:p>
        </w:tc>
        <w:tc>
          <w:tcPr>
            <w:tcW w:w="2340" w:type="dxa"/>
            <w:tcMar>
              <w:top w:w="80" w:type="dxa"/>
              <w:left w:w="120" w:type="dxa"/>
              <w:bottom w:w="80" w:type="dxa"/>
              <w:right w:w="120" w:type="dxa"/>
            </w:tcMar>
            <w:vAlign w:val="center"/>
          </w:tcPr>
          <w:p w14:paraId="45A5A6D6">
            <w:pPr>
              <w:spacing w:after="0"/>
            </w:pPr>
            <w:r>
              <w:rPr>
                <w:rFonts w:ascii="微软雅黑" w:hAnsi="微软雅黑" w:eastAsia="微软雅黑"/>
                <w:b w:val="0"/>
                <w:sz w:val="18"/>
              </w:rPr>
              <w:t>红色边界、隆起及白黄中心</w:t>
            </w:r>
          </w:p>
        </w:tc>
        <w:tc>
          <w:tcPr>
            <w:tcW w:w="2340" w:type="dxa"/>
            <w:tcMar>
              <w:top w:w="80" w:type="dxa"/>
              <w:left w:w="120" w:type="dxa"/>
              <w:bottom w:w="80" w:type="dxa"/>
              <w:right w:w="120" w:type="dxa"/>
            </w:tcMar>
            <w:vAlign w:val="center"/>
          </w:tcPr>
          <w:p w14:paraId="26835493">
            <w:pPr>
              <w:spacing w:after="0"/>
            </w:pPr>
            <w:r>
              <w:rPr>
                <w:rFonts w:ascii="微软雅黑" w:hAnsi="微软雅黑" w:eastAsia="微软雅黑"/>
                <w:b w:val="0"/>
                <w:sz w:val="18"/>
              </w:rPr>
              <w:t>仅用于排除明确毛囊性目标</w:t>
            </w:r>
          </w:p>
        </w:tc>
      </w:tr>
      <w:tr w14:paraId="333B7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Mar>
              <w:top w:w="80" w:type="dxa"/>
              <w:left w:w="120" w:type="dxa"/>
              <w:bottom w:w="80" w:type="dxa"/>
              <w:right w:w="120" w:type="dxa"/>
            </w:tcMar>
            <w:vAlign w:val="center"/>
          </w:tcPr>
          <w:p w14:paraId="51F3A314">
            <w:pPr>
              <w:spacing w:after="0"/>
            </w:pPr>
            <w:r>
              <w:rPr>
                <w:rFonts w:ascii="微软雅黑" w:hAnsi="微软雅黑" w:eastAsia="微软雅黑"/>
                <w:b w:val="0"/>
                <w:sz w:val="18"/>
              </w:rPr>
              <w:t>线状血管扩张样表型</w:t>
            </w:r>
          </w:p>
        </w:tc>
        <w:tc>
          <w:tcPr>
            <w:tcW w:w="2340" w:type="dxa"/>
            <w:tcMar>
              <w:top w:w="80" w:type="dxa"/>
              <w:left w:w="120" w:type="dxa"/>
              <w:bottom w:w="80" w:type="dxa"/>
              <w:right w:w="120" w:type="dxa"/>
            </w:tcMar>
            <w:vAlign w:val="center"/>
          </w:tcPr>
          <w:p w14:paraId="671918BD">
            <w:pPr>
              <w:spacing w:after="0"/>
            </w:pPr>
            <w:r>
              <w:rPr>
                <w:rFonts w:ascii="微软雅黑" w:hAnsi="微软雅黑" w:eastAsia="微软雅黑"/>
                <w:b w:val="0"/>
                <w:sz w:val="18"/>
              </w:rPr>
              <w:t>红色线状结构</w:t>
            </w:r>
          </w:p>
        </w:tc>
        <w:tc>
          <w:tcPr>
            <w:tcW w:w="2340" w:type="dxa"/>
            <w:tcMar>
              <w:top w:w="80" w:type="dxa"/>
              <w:left w:w="120" w:type="dxa"/>
              <w:bottom w:w="80" w:type="dxa"/>
              <w:right w:w="120" w:type="dxa"/>
            </w:tcMar>
            <w:vAlign w:val="center"/>
          </w:tcPr>
          <w:p w14:paraId="3BC22882">
            <w:pPr>
              <w:spacing w:after="0"/>
            </w:pPr>
            <w:r>
              <w:rPr>
                <w:rFonts w:ascii="微软雅黑" w:hAnsi="微软雅黑" w:eastAsia="微软雅黑"/>
                <w:b w:val="0"/>
                <w:sz w:val="18"/>
              </w:rPr>
              <w:t>线状、分支、网状及白光一致性</w:t>
            </w:r>
          </w:p>
        </w:tc>
        <w:tc>
          <w:tcPr>
            <w:tcW w:w="2340" w:type="dxa"/>
            <w:tcMar>
              <w:top w:w="80" w:type="dxa"/>
              <w:left w:w="120" w:type="dxa"/>
              <w:bottom w:w="80" w:type="dxa"/>
              <w:right w:w="120" w:type="dxa"/>
            </w:tcMar>
            <w:vAlign w:val="center"/>
          </w:tcPr>
          <w:p w14:paraId="4F9CA5EF">
            <w:pPr>
              <w:spacing w:after="0"/>
            </w:pPr>
            <w:r>
              <w:rPr>
                <w:rFonts w:ascii="微软雅黑" w:hAnsi="微软雅黑" w:eastAsia="微软雅黑"/>
                <w:b w:val="0"/>
                <w:sz w:val="18"/>
              </w:rPr>
              <w:t>否</w:t>
            </w:r>
          </w:p>
        </w:tc>
      </w:tr>
      <w:tr w14:paraId="0742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Mar>
              <w:top w:w="80" w:type="dxa"/>
              <w:left w:w="120" w:type="dxa"/>
              <w:bottom w:w="80" w:type="dxa"/>
              <w:right w:w="120" w:type="dxa"/>
            </w:tcMar>
            <w:vAlign w:val="center"/>
          </w:tcPr>
          <w:p w14:paraId="7ACB4E43">
            <w:pPr>
              <w:spacing w:after="0"/>
            </w:pPr>
            <w:r>
              <w:rPr>
                <w:rFonts w:ascii="微软雅黑" w:hAnsi="微软雅黑" w:eastAsia="微软雅黑"/>
                <w:b w:val="0"/>
                <w:sz w:val="18"/>
              </w:rPr>
              <w:t>毛囊炎症及痤疮样表型</w:t>
            </w:r>
          </w:p>
        </w:tc>
        <w:tc>
          <w:tcPr>
            <w:tcW w:w="2340" w:type="dxa"/>
            <w:tcMar>
              <w:top w:w="80" w:type="dxa"/>
              <w:left w:w="120" w:type="dxa"/>
              <w:bottom w:w="80" w:type="dxa"/>
              <w:right w:w="120" w:type="dxa"/>
            </w:tcMar>
            <w:vAlign w:val="center"/>
          </w:tcPr>
          <w:p w14:paraId="3D279B69">
            <w:pPr>
              <w:spacing w:after="0"/>
            </w:pPr>
            <w:r>
              <w:rPr>
                <w:rFonts w:ascii="微软雅黑" w:hAnsi="微软雅黑" w:eastAsia="微软雅黑"/>
                <w:b w:val="0"/>
                <w:sz w:val="18"/>
              </w:rPr>
              <w:t>毛囊中心性红色及隆起目标</w:t>
            </w:r>
          </w:p>
        </w:tc>
        <w:tc>
          <w:tcPr>
            <w:tcW w:w="2340" w:type="dxa"/>
            <w:tcMar>
              <w:top w:w="80" w:type="dxa"/>
              <w:left w:w="120" w:type="dxa"/>
              <w:bottom w:w="80" w:type="dxa"/>
              <w:right w:w="120" w:type="dxa"/>
            </w:tcMar>
            <w:vAlign w:val="center"/>
          </w:tcPr>
          <w:p w14:paraId="280FFC0B">
            <w:pPr>
              <w:spacing w:after="0"/>
            </w:pPr>
            <w:r>
              <w:rPr>
                <w:rFonts w:ascii="微软雅黑" w:hAnsi="微软雅黑" w:eastAsia="微软雅黑"/>
                <w:b w:val="0"/>
                <w:sz w:val="18"/>
              </w:rPr>
              <w:t>毛孔定位＋红色＋隆起或白黄中心</w:t>
            </w:r>
          </w:p>
        </w:tc>
        <w:tc>
          <w:tcPr>
            <w:tcW w:w="2340" w:type="dxa"/>
            <w:tcMar>
              <w:top w:w="80" w:type="dxa"/>
              <w:left w:w="120" w:type="dxa"/>
              <w:bottom w:w="80" w:type="dxa"/>
              <w:right w:w="120" w:type="dxa"/>
            </w:tcMar>
            <w:vAlign w:val="center"/>
          </w:tcPr>
          <w:p w14:paraId="778594DC">
            <w:pPr>
              <w:spacing w:after="0"/>
            </w:pPr>
            <w:r>
              <w:rPr>
                <w:rFonts w:ascii="微软雅黑" w:hAnsi="微软雅黑" w:eastAsia="微软雅黑"/>
                <w:b w:val="0"/>
                <w:sz w:val="18"/>
              </w:rPr>
              <w:t>作为目标内部辅助证据</w:t>
            </w:r>
          </w:p>
        </w:tc>
      </w:tr>
    </w:tbl>
    <w:p w14:paraId="78A60091"/>
    <w:p w14:paraId="53BDFC61">
      <w:pPr>
        <w:pStyle w:val="3"/>
      </w:pPr>
      <w:r>
        <w:t>八、最终报告总览示例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060C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E8EEF5"/>
            <w:tcMar>
              <w:top w:w="80" w:type="dxa"/>
              <w:left w:w="120" w:type="dxa"/>
              <w:bottom w:w="80" w:type="dxa"/>
              <w:right w:w="120" w:type="dxa"/>
            </w:tcMar>
            <w:vAlign w:val="center"/>
          </w:tcPr>
          <w:p w14:paraId="10591D35">
            <w:pPr>
              <w:spacing w:after="0"/>
            </w:pPr>
            <w:r>
              <w:rPr>
                <w:rFonts w:ascii="微软雅黑" w:hAnsi="微软雅黑" w:eastAsia="微软雅黑"/>
                <w:b/>
                <w:sz w:val="18"/>
              </w:rPr>
              <w:t>红色问题肌</w:t>
            </w:r>
          </w:p>
        </w:tc>
        <w:tc>
          <w:tcPr>
            <w:tcW w:w="2340" w:type="dxa"/>
            <w:shd w:val="clear" w:color="auto" w:fill="E8EEF5"/>
            <w:tcMar>
              <w:top w:w="80" w:type="dxa"/>
              <w:left w:w="120" w:type="dxa"/>
              <w:bottom w:w="80" w:type="dxa"/>
              <w:right w:w="120" w:type="dxa"/>
            </w:tcMar>
            <w:vAlign w:val="center"/>
          </w:tcPr>
          <w:p w14:paraId="4AD43517">
            <w:pPr>
              <w:spacing w:after="0"/>
            </w:pPr>
            <w:r>
              <w:rPr>
                <w:rFonts w:ascii="微软雅黑" w:hAnsi="微软雅黑" w:eastAsia="微软雅黑"/>
                <w:b/>
                <w:sz w:val="18"/>
              </w:rPr>
              <w:t>评分</w:t>
            </w:r>
          </w:p>
        </w:tc>
        <w:tc>
          <w:tcPr>
            <w:tcW w:w="2340" w:type="dxa"/>
            <w:shd w:val="clear" w:color="auto" w:fill="E8EEF5"/>
            <w:tcMar>
              <w:top w:w="80" w:type="dxa"/>
              <w:left w:w="120" w:type="dxa"/>
              <w:bottom w:w="80" w:type="dxa"/>
              <w:right w:w="120" w:type="dxa"/>
            </w:tcMar>
            <w:vAlign w:val="center"/>
          </w:tcPr>
          <w:p w14:paraId="1FEA96FF">
            <w:pPr>
              <w:spacing w:after="0"/>
            </w:pPr>
            <w:r>
              <w:rPr>
                <w:rFonts w:ascii="微软雅黑" w:hAnsi="微软雅黑" w:eastAsia="微软雅黑"/>
                <w:b/>
                <w:sz w:val="18"/>
              </w:rPr>
              <w:t>等级</w:t>
            </w:r>
          </w:p>
        </w:tc>
        <w:tc>
          <w:tcPr>
            <w:tcW w:w="2340" w:type="dxa"/>
            <w:shd w:val="clear" w:color="auto" w:fill="E8EEF5"/>
            <w:tcMar>
              <w:top w:w="80" w:type="dxa"/>
              <w:left w:w="120" w:type="dxa"/>
              <w:bottom w:w="80" w:type="dxa"/>
              <w:right w:w="120" w:type="dxa"/>
            </w:tcMar>
            <w:vAlign w:val="center"/>
          </w:tcPr>
          <w:p w14:paraId="07AFC475">
            <w:pPr>
              <w:spacing w:after="0"/>
            </w:pPr>
            <w:r>
              <w:rPr>
                <w:rFonts w:ascii="微软雅黑" w:hAnsi="微软雅黑" w:eastAsia="微软雅黑"/>
                <w:b/>
                <w:sz w:val="18"/>
              </w:rPr>
              <w:t>主要问题区域</w:t>
            </w:r>
          </w:p>
        </w:tc>
      </w:tr>
      <w:tr w14:paraId="43B36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Mar>
              <w:top w:w="80" w:type="dxa"/>
              <w:left w:w="120" w:type="dxa"/>
              <w:bottom w:w="80" w:type="dxa"/>
              <w:right w:w="120" w:type="dxa"/>
            </w:tcMar>
            <w:vAlign w:val="center"/>
          </w:tcPr>
          <w:p w14:paraId="705A6B77">
            <w:pPr>
              <w:spacing w:after="0"/>
            </w:pPr>
            <w:r>
              <w:rPr>
                <w:rFonts w:ascii="微软雅黑" w:hAnsi="微软雅黑" w:eastAsia="微软雅黑"/>
                <w:b w:val="0"/>
                <w:sz w:val="18"/>
              </w:rPr>
              <w:t>弥漫性泛红表型</w:t>
            </w:r>
          </w:p>
        </w:tc>
        <w:tc>
          <w:tcPr>
            <w:tcW w:w="2340" w:type="dxa"/>
            <w:tcMar>
              <w:top w:w="80" w:type="dxa"/>
              <w:left w:w="120" w:type="dxa"/>
              <w:bottom w:w="80" w:type="dxa"/>
              <w:right w:w="120" w:type="dxa"/>
            </w:tcMar>
            <w:vAlign w:val="center"/>
          </w:tcPr>
          <w:p w14:paraId="39F7480F">
            <w:pPr>
              <w:spacing w:after="0"/>
            </w:pPr>
            <w:r>
              <w:rPr>
                <w:rFonts w:ascii="微软雅黑" w:hAnsi="微软雅黑" w:eastAsia="微软雅黑"/>
                <w:b w:val="0"/>
                <w:sz w:val="18"/>
              </w:rPr>
              <w:t>68</w:t>
            </w:r>
          </w:p>
        </w:tc>
        <w:tc>
          <w:tcPr>
            <w:tcW w:w="2340" w:type="dxa"/>
            <w:tcMar>
              <w:top w:w="80" w:type="dxa"/>
              <w:left w:w="120" w:type="dxa"/>
              <w:bottom w:w="80" w:type="dxa"/>
              <w:right w:w="120" w:type="dxa"/>
            </w:tcMar>
            <w:vAlign w:val="center"/>
          </w:tcPr>
          <w:p w14:paraId="0A3DD775">
            <w:pPr>
              <w:spacing w:after="0"/>
            </w:pPr>
            <w:r>
              <w:rPr>
                <w:rFonts w:ascii="微软雅黑" w:hAnsi="微软雅黑" w:eastAsia="微软雅黑"/>
                <w:b w:val="0"/>
                <w:sz w:val="18"/>
              </w:rPr>
              <w:t>较明显</w:t>
            </w:r>
          </w:p>
        </w:tc>
        <w:tc>
          <w:tcPr>
            <w:tcW w:w="2340" w:type="dxa"/>
            <w:tcMar>
              <w:top w:w="80" w:type="dxa"/>
              <w:left w:w="120" w:type="dxa"/>
              <w:bottom w:w="80" w:type="dxa"/>
              <w:right w:w="120" w:type="dxa"/>
            </w:tcMar>
            <w:vAlign w:val="center"/>
          </w:tcPr>
          <w:p w14:paraId="498400BF">
            <w:pPr>
              <w:spacing w:after="0"/>
            </w:pPr>
            <w:r>
              <w:rPr>
                <w:rFonts w:ascii="微软雅黑" w:hAnsi="微软雅黑" w:eastAsia="微软雅黑"/>
                <w:b w:val="0"/>
                <w:sz w:val="18"/>
              </w:rPr>
              <w:t>双侧面颊、鼻旁</w:t>
            </w:r>
          </w:p>
        </w:tc>
      </w:tr>
      <w:tr w14:paraId="7A8BD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Mar>
              <w:top w:w="80" w:type="dxa"/>
              <w:left w:w="120" w:type="dxa"/>
              <w:bottom w:w="80" w:type="dxa"/>
              <w:right w:w="120" w:type="dxa"/>
            </w:tcMar>
            <w:vAlign w:val="center"/>
          </w:tcPr>
          <w:p w14:paraId="7AEBAEA9">
            <w:pPr>
              <w:spacing w:after="0"/>
            </w:pPr>
            <w:r>
              <w:rPr>
                <w:rFonts w:ascii="微软雅黑" w:hAnsi="微软雅黑" w:eastAsia="微软雅黑"/>
                <w:b w:val="0"/>
                <w:sz w:val="18"/>
              </w:rPr>
              <w:t>局灶性炎症样红色表型</w:t>
            </w:r>
          </w:p>
        </w:tc>
        <w:tc>
          <w:tcPr>
            <w:tcW w:w="2340" w:type="dxa"/>
            <w:tcMar>
              <w:top w:w="80" w:type="dxa"/>
              <w:left w:w="120" w:type="dxa"/>
              <w:bottom w:w="80" w:type="dxa"/>
              <w:right w:w="120" w:type="dxa"/>
            </w:tcMar>
            <w:vAlign w:val="center"/>
          </w:tcPr>
          <w:p w14:paraId="51E2CA8E">
            <w:pPr>
              <w:spacing w:after="0"/>
            </w:pPr>
            <w:r>
              <w:rPr>
                <w:rFonts w:ascii="微软雅黑" w:hAnsi="微软雅黑" w:eastAsia="微软雅黑"/>
                <w:b w:val="0"/>
                <w:sz w:val="18"/>
              </w:rPr>
              <w:t>54</w:t>
            </w:r>
          </w:p>
        </w:tc>
        <w:tc>
          <w:tcPr>
            <w:tcW w:w="2340" w:type="dxa"/>
            <w:tcMar>
              <w:top w:w="80" w:type="dxa"/>
              <w:left w:w="120" w:type="dxa"/>
              <w:bottom w:w="80" w:type="dxa"/>
              <w:right w:w="120" w:type="dxa"/>
            </w:tcMar>
            <w:vAlign w:val="center"/>
          </w:tcPr>
          <w:p w14:paraId="1B8655D2">
            <w:pPr>
              <w:spacing w:after="0"/>
            </w:pPr>
            <w:r>
              <w:rPr>
                <w:rFonts w:ascii="微软雅黑" w:hAnsi="微软雅黑" w:eastAsia="微软雅黑"/>
                <w:b w:val="0"/>
                <w:sz w:val="18"/>
              </w:rPr>
              <w:t>中度</w:t>
            </w:r>
          </w:p>
        </w:tc>
        <w:tc>
          <w:tcPr>
            <w:tcW w:w="2340" w:type="dxa"/>
            <w:tcMar>
              <w:top w:w="80" w:type="dxa"/>
              <w:left w:w="120" w:type="dxa"/>
              <w:bottom w:w="80" w:type="dxa"/>
              <w:right w:w="120" w:type="dxa"/>
            </w:tcMar>
            <w:vAlign w:val="center"/>
          </w:tcPr>
          <w:p w14:paraId="21FC6CAC">
            <w:pPr>
              <w:spacing w:after="0"/>
            </w:pPr>
            <w:r>
              <w:rPr>
                <w:rFonts w:ascii="微软雅黑" w:hAnsi="微软雅黑" w:eastAsia="微软雅黑"/>
                <w:b w:val="0"/>
                <w:sz w:val="18"/>
              </w:rPr>
              <w:t>面颊、口周</w:t>
            </w:r>
          </w:p>
        </w:tc>
      </w:tr>
      <w:tr w14:paraId="4709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Mar>
              <w:top w:w="80" w:type="dxa"/>
              <w:left w:w="120" w:type="dxa"/>
              <w:bottom w:w="80" w:type="dxa"/>
              <w:right w:w="120" w:type="dxa"/>
            </w:tcMar>
            <w:vAlign w:val="center"/>
          </w:tcPr>
          <w:p w14:paraId="22985765">
            <w:pPr>
              <w:spacing w:after="0"/>
            </w:pPr>
            <w:r>
              <w:rPr>
                <w:rFonts w:ascii="微软雅黑" w:hAnsi="微软雅黑" w:eastAsia="微软雅黑"/>
                <w:b w:val="0"/>
                <w:sz w:val="18"/>
              </w:rPr>
              <w:t>线状血管扩张样表型</w:t>
            </w:r>
          </w:p>
        </w:tc>
        <w:tc>
          <w:tcPr>
            <w:tcW w:w="2340" w:type="dxa"/>
            <w:tcMar>
              <w:top w:w="80" w:type="dxa"/>
              <w:left w:w="120" w:type="dxa"/>
              <w:bottom w:w="80" w:type="dxa"/>
              <w:right w:w="120" w:type="dxa"/>
            </w:tcMar>
            <w:vAlign w:val="center"/>
          </w:tcPr>
          <w:p w14:paraId="0003B0F3">
            <w:pPr>
              <w:spacing w:after="0"/>
            </w:pPr>
            <w:r>
              <w:rPr>
                <w:rFonts w:ascii="微软雅黑" w:hAnsi="微软雅黑" w:eastAsia="微软雅黑"/>
                <w:b w:val="0"/>
                <w:sz w:val="18"/>
              </w:rPr>
              <w:t>63</w:t>
            </w:r>
          </w:p>
        </w:tc>
        <w:tc>
          <w:tcPr>
            <w:tcW w:w="2340" w:type="dxa"/>
            <w:tcMar>
              <w:top w:w="80" w:type="dxa"/>
              <w:left w:w="120" w:type="dxa"/>
              <w:bottom w:w="80" w:type="dxa"/>
              <w:right w:w="120" w:type="dxa"/>
            </w:tcMar>
            <w:vAlign w:val="center"/>
          </w:tcPr>
          <w:p w14:paraId="61478F6E">
            <w:pPr>
              <w:spacing w:after="0"/>
            </w:pPr>
            <w:r>
              <w:rPr>
                <w:rFonts w:ascii="微软雅黑" w:hAnsi="微软雅黑" w:eastAsia="微软雅黑"/>
                <w:b w:val="0"/>
                <w:sz w:val="18"/>
              </w:rPr>
              <w:t>较明显</w:t>
            </w:r>
          </w:p>
        </w:tc>
        <w:tc>
          <w:tcPr>
            <w:tcW w:w="2340" w:type="dxa"/>
            <w:tcMar>
              <w:top w:w="80" w:type="dxa"/>
              <w:left w:w="120" w:type="dxa"/>
              <w:bottom w:w="80" w:type="dxa"/>
              <w:right w:w="120" w:type="dxa"/>
            </w:tcMar>
            <w:vAlign w:val="center"/>
          </w:tcPr>
          <w:p w14:paraId="5DBC9CD8">
            <w:pPr>
              <w:spacing w:after="0"/>
            </w:pPr>
            <w:r>
              <w:rPr>
                <w:rFonts w:ascii="微软雅黑" w:hAnsi="微软雅黑" w:eastAsia="微软雅黑"/>
                <w:b w:val="0"/>
                <w:sz w:val="18"/>
              </w:rPr>
              <w:t>鼻翼、左侧面颊</w:t>
            </w:r>
          </w:p>
        </w:tc>
      </w:tr>
      <w:tr w14:paraId="70FB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Mar>
              <w:top w:w="80" w:type="dxa"/>
              <w:left w:w="120" w:type="dxa"/>
              <w:bottom w:w="80" w:type="dxa"/>
              <w:right w:w="120" w:type="dxa"/>
            </w:tcMar>
            <w:vAlign w:val="center"/>
          </w:tcPr>
          <w:p w14:paraId="12557DDE">
            <w:pPr>
              <w:spacing w:after="0"/>
            </w:pPr>
            <w:r>
              <w:rPr>
                <w:rFonts w:ascii="微软雅黑" w:hAnsi="微软雅黑" w:eastAsia="微软雅黑"/>
                <w:b w:val="0"/>
                <w:sz w:val="18"/>
              </w:rPr>
              <w:t>毛囊炎症及痤疮样表型</w:t>
            </w:r>
          </w:p>
        </w:tc>
        <w:tc>
          <w:tcPr>
            <w:tcW w:w="2340" w:type="dxa"/>
            <w:tcMar>
              <w:top w:w="80" w:type="dxa"/>
              <w:left w:w="120" w:type="dxa"/>
              <w:bottom w:w="80" w:type="dxa"/>
              <w:right w:w="120" w:type="dxa"/>
            </w:tcMar>
            <w:vAlign w:val="center"/>
          </w:tcPr>
          <w:p w14:paraId="5CF26DD1">
            <w:pPr>
              <w:spacing w:after="0"/>
            </w:pPr>
            <w:r>
              <w:rPr>
                <w:rFonts w:ascii="微软雅黑" w:hAnsi="微软雅黑" w:eastAsia="微软雅黑"/>
                <w:b w:val="0"/>
                <w:sz w:val="18"/>
              </w:rPr>
              <w:t>70</w:t>
            </w:r>
          </w:p>
        </w:tc>
        <w:tc>
          <w:tcPr>
            <w:tcW w:w="2340" w:type="dxa"/>
            <w:tcMar>
              <w:top w:w="80" w:type="dxa"/>
              <w:left w:w="120" w:type="dxa"/>
              <w:bottom w:w="80" w:type="dxa"/>
              <w:right w:w="120" w:type="dxa"/>
            </w:tcMar>
            <w:vAlign w:val="center"/>
          </w:tcPr>
          <w:p w14:paraId="7D0DF8E4">
            <w:pPr>
              <w:spacing w:after="0"/>
            </w:pPr>
            <w:r>
              <w:rPr>
                <w:rFonts w:ascii="微软雅黑" w:hAnsi="微软雅黑" w:eastAsia="微软雅黑"/>
                <w:b w:val="0"/>
                <w:sz w:val="18"/>
              </w:rPr>
              <w:t>较明显</w:t>
            </w:r>
          </w:p>
        </w:tc>
        <w:tc>
          <w:tcPr>
            <w:tcW w:w="2340" w:type="dxa"/>
            <w:tcMar>
              <w:top w:w="80" w:type="dxa"/>
              <w:left w:w="120" w:type="dxa"/>
              <w:bottom w:w="80" w:type="dxa"/>
              <w:right w:w="120" w:type="dxa"/>
            </w:tcMar>
            <w:vAlign w:val="center"/>
          </w:tcPr>
          <w:p w14:paraId="17553C3D">
            <w:pPr>
              <w:spacing w:after="0"/>
            </w:pPr>
            <w:r>
              <w:rPr>
                <w:rFonts w:ascii="微软雅黑" w:hAnsi="微软雅黑" w:eastAsia="微软雅黑"/>
                <w:b w:val="0"/>
                <w:sz w:val="18"/>
              </w:rPr>
              <w:t>下颌、双侧面颊</w:t>
            </w:r>
          </w:p>
        </w:tc>
      </w:tr>
    </w:tbl>
    <w:p w14:paraId="4EBB9577"/>
    <w:p w14:paraId="177F3639">
      <w:pPr>
        <w:pStyle w:val="5"/>
      </w:pPr>
      <w:r>
        <w:t>综合评价示例</w:t>
      </w:r>
    </w:p>
    <w:p w14:paraId="45386C65">
      <w:r>
        <w:rPr>
          <w:rFonts w:ascii="微软雅黑" w:hAnsi="微软雅黑" w:eastAsia="微软雅黑"/>
        </w:rPr>
        <w:t>本次检测显示面部存在较明显的背景性泛红，以双侧面颊和鼻旁为主；鼻翼及左侧面颊同时存在较明显的线状血管扩张样结构。</w:t>
      </w:r>
    </w:p>
    <w:p w14:paraId="64CB0272">
      <w:r>
        <w:rPr>
          <w:rFonts w:ascii="微软雅黑" w:hAnsi="微软雅黑" w:eastAsia="微软雅黑"/>
        </w:rPr>
        <w:t>面颊和口周可见中度局灶性炎症样红色目标，下颌和双侧面颊存在较明显的毛囊中心性红色丘疹及少量丘脓疱样目标。部分毛囊性目标伴毛囊中心紫质信号，提示卟啉阳性毛囊相关的炎症样活动。</w:t>
      </w:r>
    </w:p>
    <w:p w14:paraId="223A912F">
      <w:r>
        <w:rPr>
          <w:rFonts w:ascii="微软雅黑" w:hAnsi="微软雅黑" w:eastAsia="微软雅黑"/>
        </w:rPr>
        <w:t>四类结果反映不同的红色问题表型，可以同时存在。报告不能单独用于诊断敏感肌、玫瑰痤疮、痤疮、毛囊炎或具体血管性疾病。</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055E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28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4196</Words>
  <Characters>4404</Characters>
  <Lines>0</Lines>
  <Paragraphs>0</Paragraphs>
  <TotalTime>1</TotalTime>
  <ScaleCrop>false</ScaleCrop>
  <LinksUpToDate>false</LinksUpToDate>
  <CharactersWithSpaces>4435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lastModifiedBy/>
  <dcterms:modified xsi:type="dcterms:W3CDTF">2026-07-22T08:35:44Z</dcterms:modified>
  <cp:revision>1</cp:revision>
</cp:coreProperties>
</file>