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40"/>
      </w:pPr>
    </w:p>
    <w:p>
      <w:pPr>
        <w:spacing w:before="0" w:after="200"/>
        <w:jc w:val="center"/>
      </w:pPr>
      <w:r>
        <w:rPr>
          <w:rFonts w:ascii="Microsoft YaHei" w:hAnsi="Microsoft YaHei" w:eastAsia="Microsoft YaHei"/>
          <w:b/>
          <w:color w:val="1F4D78"/>
          <w:sz w:val="48"/>
        </w:rPr>
        <w:t>H 题智能小车底盘控制方案</w:t>
      </w:r>
    </w:p>
    <w:p>
      <w:pPr>
        <w:spacing w:after="600"/>
        <w:jc w:val="center"/>
      </w:pPr>
      <w:r>
        <w:rPr>
          <w:rFonts w:ascii="Microsoft YaHei" w:hAnsi="Microsoft YaHei" w:eastAsia="Microsoft YaHei"/>
          <w:color w:val="666666"/>
          <w:sz w:val="26"/>
        </w:rPr>
        <w:t>2026 年全国大学生电子设计竞赛技术报告正文（可直接引用）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文档用途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2026 年全国大学生电子设计竞赛 H 题技术报告底盘控制章节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控制对象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两轮差速循迹底盘（直流减速电机、AB 相编码器、八路反射式循迹传感器）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实现依据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MSPM0G3507 工程中 app_chassis、drv_encoder_ab、drv_motor_dc、drv_line_sensor 与 app_mission 模块</w:t>
            </w:r>
          </w:p>
        </w:tc>
      </w:tr>
    </w:tbl>
    <w:p>
      <w:pPr>
        <w:spacing w:after="320"/>
      </w:pPr>
    </w:p>
    <w:p>
      <w:pPr>
        <w:spacing w:after="200"/>
      </w:pPr>
      <w:r>
        <w:rPr>
          <w:rFonts w:ascii="Microsoft YaHei" w:hAnsi="Microsoft YaHei" w:eastAsia="Microsoft YaHei"/>
          <w:b/>
          <w:color w:val="1F4D78"/>
          <w:sz w:val="20"/>
        </w:rPr>
        <w:t>编写说明：</w:t>
      </w:r>
      <w:r>
        <w:rPr>
          <w:rFonts w:ascii="Microsoft YaHei" w:hAnsi="Microsoft YaHei" w:eastAsia="Microsoft YaHei"/>
          <w:color w:val="000000"/>
          <w:sz w:val="20"/>
        </w:rPr>
        <w:t>本文仅陈述已在工程中实现的控制结构和参数。最终报告中的赛场速度、完成时间、偏差与成功率，应由实车测试记录替换文中的“待填”项。</w:t>
      </w:r>
    </w:p>
    <w:p>
      <w:pPr>
        <w:pStyle w:val="Heading1"/>
        <w:keepNext/>
      </w:pPr>
      <w:r>
        <w:t>1 设计目标与总体思路</w:t>
      </w:r>
    </w:p>
    <w:p>
      <w:pPr>
        <w:spacing w:after="160" w:line="320" w:lineRule="auto"/>
        <w:ind w:firstLine="403"/>
      </w:pPr>
      <w:r>
        <w:rPr>
          <w:rFonts w:ascii="Microsoft YaHei" w:hAnsi="Microsoft YaHei" w:eastAsia="Microsoft YaHei"/>
          <w:color w:val="000000"/>
          <w:sz w:val="22"/>
        </w:rPr>
        <w:t>H 题底盘需要在循迹环境中完成稳定、快速且可重复的自主行驶，并为后续任务提供可靠的路程、起止线和停车状态。本方案采用“传感器感知 - 差速速度规划 - 双轮速度闭环 - H 桥驱动”的分层结构：八路循迹传感器得到横向偏差，循迹控制器将偏差转换为左右轮差速量；左右轮编码器分别反馈实际转速，速度闭环补偿电池电压、地面摩擦和左右电机个体差异；任务状态机基于编码器里程管理减速、制动和故障退出。</w:t>
      </w:r>
    </w:p>
    <w:p>
      <w:pPr>
        <w:spacing w:after="160" w:line="320" w:lineRule="auto"/>
        <w:ind w:firstLine="403"/>
      </w:pPr>
      <w:r>
        <w:rPr>
          <w:rFonts w:ascii="Microsoft YaHei" w:hAnsi="Microsoft YaHei" w:eastAsia="Microsoft YaHei"/>
          <w:color w:val="000000"/>
          <w:sz w:val="22"/>
        </w:rPr>
        <w:t>分层设计的关键在于将路径跟踪与动力执行解耦。上层只决定“车辆应向哪一侧修正、以多快速度通过”，下层只负责“在给定目标转速下稳定驱动车轮”。因此，循迹增益变化不会直接破坏电机驱动稳定性，电机负载变化也不会改变线路误差的定义，有利于在调参阶段定位问题并提高整机鲁棒性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4500"/>
        <w:gridCol w:w="30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目标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工程实现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作用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稳定循迹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8 路加权质心测线 + 一阶滤波 + 短时预测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抑制传感器跳变，并提前补偿车辆横向偏移趋势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高速通过弯道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差速规划、转向阈值滞回、输出增益平滑切换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减少直线/弯道切换时的推力突变和车身摆动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速度一致性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双轮编码器 1 kHz 速度闭环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降低左右电机差异引起的跑偏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可靠停车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里程阈值减速 + 短时主动制动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在终点附近降低惯性影响并缩短滑行距离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异常保护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连续 3 次丢线确认、输出清零、任务超时退出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避免瞬时干扰误停，同时防止长期失控运行</w:t>
            </w:r>
          </w:p>
        </w:tc>
      </w:tr>
    </w:tbl>
    <w:p>
      <w:pPr>
        <w:spacing w:before="80" w:after="160"/>
        <w:jc w:val="center"/>
      </w:pPr>
      <w:r>
        <w:rPr>
          <w:rFonts w:ascii="Microsoft YaHei" w:hAnsi="Microsoft YaHei" w:eastAsia="Microsoft YaHei"/>
          <w:color w:val="666666"/>
          <w:sz w:val="20"/>
        </w:rPr>
        <w:t>表 1 底盘控制需求与实现对应关系</w:t>
      </w:r>
    </w:p>
    <w:p>
      <w:pPr>
        <w:pStyle w:val="Heading1"/>
        <w:keepNext/>
      </w:pPr>
      <w:r>
        <w:t>2 硬件组成与信号链路</w:t>
      </w:r>
    </w:p>
    <w:p>
      <w:pPr>
        <w:spacing w:after="160" w:line="320" w:lineRule="auto"/>
        <w:ind w:firstLine="403"/>
      </w:pPr>
      <w:r>
        <w:rPr>
          <w:rFonts w:ascii="Microsoft YaHei" w:hAnsi="Microsoft YaHei" w:eastAsia="Microsoft YaHei"/>
          <w:color w:val="000000"/>
          <w:sz w:val="22"/>
        </w:rPr>
        <w:t>主控制器采用 MSPM0G3507。底盘为两轮差速结构，左右两台直流减速电机分别由 AT8236 H 桥驱动；每个车轮配置 AB 相增量编码器；前端八路反射式循迹传感器经地址复用方式逐通道读取。PWM 输出控制电桥两臂的占空比，编码器边沿中断完成四倍频计数，控制定时器以 1 ms 为基本节拍调度速度环。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3600"/>
        <w:gridCol w:w="39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模块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主要参数/接口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控制作用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驱动轮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轮径 D = 65 mm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将轮转速转换为线速度和累计行程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编码器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AB 相四倍频；1760 count/rev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获取左右轮方向、增量计数和转速反馈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循迹传感器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8 路；权重 {-3.5, -2.5, -1.5, -0.5, 0.5, 1.5, 2.5, 3.5}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计算线路横向误差，并判断丢线和宽标志线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电机驱动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双 H 桥 PWM；最大占空比 0.95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实现正反转、滑行停机和主动制动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控制调度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速度环 1 kHz；循迹采样 200 Hz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保证动力闭环响应速度，同时降低传感器噪声影响</w:t>
            </w:r>
          </w:p>
        </w:tc>
      </w:tr>
    </w:tbl>
    <w:p>
      <w:pPr>
        <w:spacing w:before="80" w:after="160"/>
        <w:jc w:val="center"/>
      </w:pPr>
      <w:r>
        <w:rPr>
          <w:rFonts w:ascii="Microsoft YaHei" w:hAnsi="Microsoft YaHei" w:eastAsia="Microsoft YaHei"/>
          <w:color w:val="666666"/>
          <w:sz w:val="20"/>
        </w:rPr>
        <w:t>表 2 底盘硬件与关键参数</w:t>
      </w:r>
    </w:p>
    <w:p>
      <w:pPr>
        <w:spacing w:after="160" w:line="320" w:lineRule="auto"/>
        <w:ind w:firstLine="403"/>
      </w:pPr>
      <w:r>
        <w:rPr>
          <w:rFonts w:ascii="Microsoft YaHei" w:hAnsi="Microsoft YaHei" w:eastAsia="Microsoft YaHei"/>
          <w:color w:val="000000"/>
          <w:sz w:val="22"/>
        </w:rPr>
        <w:t>编码器采用状态查表法对相邻 AB 相状态变化进行译码。每次有效边沿根据前一状态与当前状态查询增量 +1 或 -1，并按轮侧安装方向进行符号修正。与只采单相上升沿的方案相比，该方法提高了等效分辨率，既满足高速测速，也使基于编码器的里程终止更细致。</w:t>
      </w:r>
    </w:p>
    <w:p>
      <w:pPr>
        <w:pStyle w:val="Heading1"/>
        <w:keepNext/>
      </w:pPr>
      <w:r>
        <w:t>3 传感器处理与线路误差估计</w:t>
      </w:r>
    </w:p>
    <w:p>
      <w:pPr>
        <w:spacing w:after="160" w:line="320" w:lineRule="auto"/>
        <w:ind w:firstLine="403"/>
      </w:pPr>
      <w:r>
        <w:rPr>
          <w:rFonts w:ascii="Microsoft YaHei" w:hAnsi="Microsoft YaHei" w:eastAsia="Microsoft YaHei"/>
          <w:color w:val="000000"/>
          <w:sz w:val="22"/>
        </w:rPr>
        <w:t>每个 5 ms 周期内，控制器依次选择八路传感器地址并读取二值输出。记第 i 路是否检测到黑线为 b_i，其位置权重为 w_i，则有效通道的加权平均作为原始线路误差 e_raw。该算法不依赖固定的“位型-动作”表，当黑线同时覆盖相邻多个传感器时仍能获得连续变化的偏差量。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Cambria Math"/>
                <w:color w:val="1F4D78"/>
                <w:sz w:val="22"/>
              </w:rPr>
              <w:t>e_raw = (Σ(w_i · b_i)) / (Σb_i)，其中 Σb_i &gt; 0</w:t>
            </w:r>
          </w:p>
        </w:tc>
      </w:tr>
    </w:tbl>
    <w:p>
      <w:pPr>
        <w:spacing w:after="160" w:line="320" w:lineRule="auto"/>
        <w:ind w:firstLine="403"/>
      </w:pPr>
      <w:r>
        <w:rPr>
          <w:rFonts w:ascii="Microsoft YaHei" w:hAnsi="Microsoft YaHei" w:eastAsia="Microsoft YaHei"/>
          <w:color w:val="000000"/>
          <w:sz w:val="22"/>
        </w:rPr>
        <w:t>为避免地面反光、传感器阈值抖动导致转向命令频繁反向，原始误差先经一阶低通滤波得到 e_f；再由相邻采样误差估计变化率，并经低通滤波。考虑到高速行驶时从采样到电机产生横向修正存在延迟，系统将预测时域取为 28 ms，形成预测误差 e_hat 作为循迹控制输入。预测增量限制为 ±0.75，防止单次误读被放大。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Cambria Math"/>
                <w:color w:val="1F4D78"/>
                <w:sz w:val="22"/>
              </w:rPr>
              <w:t>e_hat = e_f + sat(e_dot,f · T_p, -0.75, 0.75)，T_p = 0.028 s</w:t>
            </w:r>
          </w:p>
        </w:tc>
      </w:tr>
    </w:tbl>
    <w:p>
      <w:pPr>
        <w:spacing w:after="160" w:line="320" w:lineRule="auto"/>
        <w:ind w:firstLine="403"/>
      </w:pPr>
      <w:r>
        <w:rPr>
          <w:rFonts w:ascii="Microsoft YaHei" w:hAnsi="Microsoft YaHei" w:eastAsia="Microsoft YaHei"/>
          <w:color w:val="000000"/>
          <w:sz w:val="22"/>
        </w:rPr>
        <w:t>当八路均未检测到黑线时，系统不立即判定失线，而是连续累计 3 个循迹采样周期后才确认。该 15 ms 去抖窗口可容忍接缝、局部污渍或瞬时遮挡；一旦确认失线，则置零左右轮目标、清除循迹 PID 状态并停止电机输出，避免车辆在未知方向继续行驶。对于宽起止线，系统通过检测连续四位有效通道形成的宽标志，并以边沿计数方式锁存第二次通过事件，为圈数和任务结束判定提供辅助信息。</w:t>
      </w:r>
    </w:p>
    <w:p>
      <w:pPr>
        <w:pStyle w:val="Heading1"/>
        <w:keepNext/>
      </w:pPr>
      <w:r>
        <w:t>4 差速规划与双闭环控制</w:t>
      </w:r>
    </w:p>
    <w:p>
      <w:pPr>
        <w:spacing w:after="160" w:line="320" w:lineRule="auto"/>
        <w:ind w:firstLine="403"/>
      </w:pPr>
      <w:r>
        <w:rPr>
          <w:rFonts w:ascii="Microsoft YaHei" w:hAnsi="Microsoft YaHei" w:eastAsia="Microsoft YaHei"/>
          <w:color w:val="000000"/>
          <w:sz w:val="22"/>
        </w:rPr>
        <w:t>车辆巡航速度 v_c 首先按轮周长换算为基础轮速 r_b。循迹 PID 以预测误差为设定值、零为反馈，输出转向差速量 r_turn；随后将其叠加到左右轮目标，得到左右轮转速设定值。该定义保证误差向左时，左右轮目标转速形成使车体向左修正的差速，实际正负方向由电机与编码器安装方向配置统一处理。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Cambria Math"/>
                <w:color w:val="1F4D78"/>
                <w:sz w:val="22"/>
              </w:rPr>
              <w:t>r_b = v_c / (πD)，r_L* = sat(r_b + r_turn)，r_R* = sat(r_b - r_turn)</w:t>
            </w:r>
          </w:p>
        </w:tc>
      </w:tr>
    </w:tbl>
    <w:p>
      <w:pPr>
        <w:spacing w:after="160" w:line="320" w:lineRule="auto"/>
        <w:ind w:firstLine="403"/>
      </w:pPr>
      <w:r>
        <w:rPr>
          <w:rFonts w:ascii="Microsoft YaHei" w:hAnsi="Microsoft YaHei" w:eastAsia="Microsoft YaHei"/>
          <w:color w:val="000000"/>
          <w:sz w:val="22"/>
        </w:rPr>
        <w:t>左右轮速度由固定周期计数差分获得。若第 k 个速度周期的编码器增量为 ΔN，则车轮转速为 ΔN/(N_cpr·T_s)。每个速度反馈均经过一阶低通滤波后进入位置式 PID；PID 输出再经转弯状态下的平滑增益补偿，最终映射至 H 桥 PWM 占空比。速度 PID 启用积分分离、积分限幅、输出限幅和测量微分，既减小稳态速度误差，也限制起步和突发负载时的积分累积。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Cambria Math"/>
                <w:color w:val="1F4D78"/>
                <w:sz w:val="22"/>
              </w:rPr>
              <w:t>r = ΔN / (N_cpr · T_s)，u = K_p e + K_i ∫e dt + K_d·d(-r)/dt</w:t>
            </w:r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00"/>
        <w:gridCol w:w="2100"/>
        <w:gridCol w:w="5660"/>
      </w:tblGrid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控制器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参数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工程取值与设计意图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循迹环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Kp / Ki / Kd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2.8 / 0 / 0；死区 0.10；输出限幅 ±8 rps。以比例控制获得直接、易调的差速修正。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速度环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Kp / Ki / Kd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0.06 / 0.20 / 0.001；周期 1 ms；积分限幅 0.25；输出限幅 4.5。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速度滤波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一阶低通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左右轮 α = 0.20，降低编码器差分测速在低计数区间的波动。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转向补偿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输出增益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直线 0.50、转弯 0.70；以 2.0/s 斜率平滑切换，保证弯道推力。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限幅保护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目标与执行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巡航速度上限 1.6 m/s；轮速目标上限 ±10 rps；电机占空比上限 0.95。</w:t>
            </w:r>
          </w:p>
        </w:tc>
      </w:tr>
    </w:tbl>
    <w:p>
      <w:pPr>
        <w:spacing w:before="80" w:after="160"/>
        <w:jc w:val="center"/>
      </w:pPr>
      <w:r>
        <w:rPr>
          <w:rFonts w:ascii="Microsoft YaHei" w:hAnsi="Microsoft YaHei" w:eastAsia="Microsoft YaHei"/>
          <w:color w:val="666666"/>
          <w:sz w:val="20"/>
        </w:rPr>
        <w:t>表 3 控制器参数及其作用</w:t>
      </w:r>
    </w:p>
    <w:p>
      <w:pPr>
        <w:spacing w:after="160" w:line="320" w:lineRule="auto"/>
        <w:ind w:firstLine="403"/>
      </w:pPr>
      <w:r>
        <w:rPr>
          <w:rFonts w:ascii="Microsoft YaHei" w:hAnsi="Microsoft YaHei" w:eastAsia="Microsoft YaHei"/>
          <w:color w:val="000000"/>
          <w:sz w:val="22"/>
        </w:rPr>
        <w:t>为避免小幅修正时频繁进入/退出大推力状态，系统对 |r_turn| 设置 1.5 rps 进入阈值和 0.5 rps 退出阈值。当差速量超过进入阈值，平滑地将输出补偿提高到弯道值；当差速量回落到退出阈值以下，才恢复直线值。该滞回机制可消除临界点附近的模式抖动。代码保留了基于线路误差的弯道降速模块，但当前配置默认关闭，因此赛前可根据场地曲率和轮胎附着情况选择启用，而不影响基础控制链路。</w:t>
      </w:r>
    </w:p>
    <w:p>
      <w:pPr>
        <w:pStyle w:val="Heading1"/>
        <w:keepNext/>
      </w:pPr>
      <w:r>
        <w:t>5 里程估计、停车逻辑与安全策略</w:t>
      </w:r>
    </w:p>
    <w:p>
      <w:pPr>
        <w:spacing w:after="160" w:line="320" w:lineRule="auto"/>
        <w:ind w:firstLine="403"/>
      </w:pPr>
      <w:r>
        <w:rPr>
          <w:rFonts w:ascii="Microsoft YaHei" w:hAnsi="Microsoft YaHei" w:eastAsia="Microsoft YaHei"/>
          <w:color w:val="000000"/>
          <w:sz w:val="22"/>
        </w:rPr>
        <w:t>底盘行程由两侧轮编码器累计圈数的平均值计算。为消除上电后初始计数带来的偏置，任务启动时记录左右编码器零点；以此零点为参考得到相对行程。双轮平均可在轻微差速转向时保持较稳定的前进距离估计。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  <w:jc w:val="center"/>
            </w:pPr>
            <w:r>
              <w:rPr>
                <w:rFonts w:ascii="Cambria Math" w:hAnsi="Cambria Math" w:eastAsia="Cambria Math"/>
                <w:color w:val="1F4D78"/>
                <w:sz w:val="22"/>
              </w:rPr>
              <w:t>s = (πD / 2) · [(N_L - N_L0)/N_cpr + (N_R - N_R0)/N_cpr]</w:t>
            </w:r>
          </w:p>
        </w:tc>
      </w:tr>
    </w:tbl>
    <w:p>
      <w:pPr>
        <w:spacing w:after="160" w:line="320" w:lineRule="auto"/>
        <w:ind w:firstLine="403"/>
      </w:pPr>
      <w:r>
        <w:rPr>
          <w:rFonts w:ascii="Microsoft YaHei" w:hAnsi="Microsoft YaHei" w:eastAsia="Microsoft YaHei"/>
          <w:color w:val="000000"/>
          <w:sz w:val="22"/>
        </w:rPr>
        <w:t>循迹一圈任务将巡航速度设为 1.53 m/s。当累计里程达到 6140 mm 时，不直接断电，而是在 800 ms 内将巡航设定线性降至零，随后执行 0.16 s 主动制动。渐降速度降低了由轮胎惯性和电机反电动势造成的停车超调；主动制动使用 H 桥两臂同时高电平，以较短脉冲吸收剩余动能，结束后保持零输出。制动时长被统一限制在不大于 0.20 s，以避免长时间制动导致驱动器异常发热。</w:t>
      </w:r>
    </w:p>
    <w:p>
      <w:pPr>
        <w:spacing w:after="160" w:line="320" w:lineRule="auto"/>
        <w:ind w:firstLine="403"/>
      </w:pPr>
      <w:r>
        <w:rPr>
          <w:rFonts w:ascii="Microsoft YaHei" w:hAnsi="Microsoft YaHei" w:eastAsia="Microsoft YaHei"/>
          <w:color w:val="000000"/>
          <w:sz w:val="22"/>
        </w:rPr>
        <w:t>安全处理遵循“先停止能量输出，再更新任务状态”的原则。失线、任务超时或超出最大里程时，速度 PID 和循迹 PID 均被复位，避免故障恢复或再次启动时继承旧积分量。禁用状态下电机采用滑行停机；仅在终点阶段使用短时主动制动。因此正常暂停不会无谓增大驱动器热负担，而终点停车又能获得可重复的制动效果。</w:t>
      </w:r>
    </w:p>
    <w:p>
      <w:pPr>
        <w:pStyle w:val="Heading1"/>
        <w:keepNext/>
      </w:pPr>
      <w:r>
        <w:t>6 软件调度与接口组织</w:t>
      </w:r>
    </w:p>
    <w:p>
      <w:pPr>
        <w:spacing w:after="160" w:line="320" w:lineRule="auto"/>
        <w:ind w:firstLine="403"/>
      </w:pPr>
      <w:r>
        <w:rPr>
          <w:rFonts w:ascii="Microsoft YaHei" w:hAnsi="Microsoft YaHei" w:eastAsia="Microsoft YaHei"/>
          <w:color w:val="000000"/>
          <w:sz w:val="22"/>
        </w:rPr>
        <w:t>控制器采用定时器中断置位、主循环执行任务的轻量调度方式。1 kHz 中断只完成系统节拍与任务标志更新，避免在中断中执行复杂业务；主循环取走标志后分别运行 1 kHz 速度控制、5 ms 循迹采样、10 ms IMU 等任务。编码器 GPIO 中断独立完成计数更新，使测速不依赖主循环执行时间。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00"/>
        <w:gridCol w:w="3100"/>
        <w:gridCol w:w="4660"/>
      </w:tblGrid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层次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模块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职责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任务层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app_mission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根据任务模式启动底盘、管理里程阈值、减速、制动、完成和故障状态。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应用控制层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app_chassis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完成循迹误差处理、差速规划、双轮速度 PID、里程和状态快照输出。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算法层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algo_pid / algo_filter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提供 PID、低通滤波和斜坡滤波等通用控制单元。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驱动层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drv_encoder_ab / drv_motor_dc / drv_line_sensor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分别处理编码器译码、H 桥输出和八路传感器扫描。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板级层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bsp_pwm / bsp_gpio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封装 PWM、GPIO 与底层芯片外设访问。</w:t>
            </w:r>
          </w:p>
        </w:tc>
      </w:tr>
    </w:tbl>
    <w:p>
      <w:pPr>
        <w:spacing w:before="80" w:after="160"/>
        <w:jc w:val="center"/>
      </w:pPr>
      <w:r>
        <w:rPr>
          <w:rFonts w:ascii="Microsoft YaHei" w:hAnsi="Microsoft YaHei" w:eastAsia="Microsoft YaHei"/>
          <w:color w:val="666666"/>
          <w:sz w:val="20"/>
        </w:rPr>
        <w:t>表 4 底盘软件分层与职责划分</w:t>
      </w:r>
    </w:p>
    <w:p>
      <w:pPr>
        <w:pStyle w:val="Heading1"/>
        <w:keepNext/>
      </w:pPr>
      <w:r>
        <w:t>7 调参与验证方法</w:t>
      </w:r>
    </w:p>
    <w:p>
      <w:pPr>
        <w:spacing w:after="160" w:line="320" w:lineRule="auto"/>
        <w:ind w:firstLine="403"/>
      </w:pPr>
      <w:r>
        <w:rPr>
          <w:rFonts w:ascii="Microsoft YaHei" w:hAnsi="Microsoft YaHei" w:eastAsia="Microsoft YaHei"/>
          <w:color w:val="000000"/>
          <w:sz w:val="22"/>
        </w:rPr>
        <w:t>调参遵循“先执行、后速度、再循迹、最后整车任务”的顺序。首先架空车轮检查左右电机正负方向和编码器计数方向，确保给定正轮速时两侧反馈均为正；其次在直线地面分别整定左右速度环，使阶跃速度指令下无明显低频振荡；然后以低速运行整定循迹比例增益，并逐步提高巡航速度，观察弯道误差和失线风险；最后接入里程停车和起止线判定，检查全程状态机切换。</w:t>
      </w:r>
    </w:p>
    <w:p>
      <w:pPr>
        <w:pStyle w:val="ListNumber"/>
        <w:spacing w:after="80" w:line="290" w:lineRule="auto"/>
      </w:pPr>
      <w:r>
        <w:rPr>
          <w:rFonts w:ascii="Microsoft YaHei" w:hAnsi="Microsoft YaHei" w:eastAsia="Microsoft YaHei"/>
          <w:color w:val="000000"/>
          <w:sz w:val="22"/>
        </w:rPr>
        <w:t>方向检查：小占空比正反转左右轮，确认电机方向、编码器方向和软件反向配置三者一致。</w:t>
      </w:r>
    </w:p>
    <w:p>
      <w:pPr>
        <w:pStyle w:val="ListNumber"/>
        <w:spacing w:after="80" w:line="290" w:lineRule="auto"/>
      </w:pPr>
      <w:r>
        <w:rPr>
          <w:rFonts w:ascii="Microsoft YaHei" w:hAnsi="Microsoft YaHei" w:eastAsia="Microsoft YaHei"/>
          <w:color w:val="000000"/>
          <w:sz w:val="22"/>
        </w:rPr>
        <w:t>速度环整定：固定轮速设定，先调 Kp 获得响应，再少量加入 Ki 消除稳态误差，最后以微小 Kd 抑制测速噪声。</w:t>
      </w:r>
    </w:p>
    <w:p>
      <w:pPr>
        <w:pStyle w:val="ListNumber"/>
        <w:spacing w:after="80" w:line="290" w:lineRule="auto"/>
      </w:pPr>
      <w:r>
        <w:rPr>
          <w:rFonts w:ascii="Microsoft YaHei" w:hAnsi="Microsoft YaHei" w:eastAsia="Microsoft YaHei"/>
          <w:color w:val="000000"/>
          <w:sz w:val="22"/>
        </w:rPr>
        <w:t>循迹环整定：由低速到高速提高 Kp，检查直线蛇形、弯道外冲和连续急弯恢复时间；必要时启用弯道降速模块。</w:t>
      </w:r>
    </w:p>
    <w:p>
      <w:pPr>
        <w:pStyle w:val="ListNumber"/>
        <w:spacing w:after="80" w:line="290" w:lineRule="auto"/>
      </w:pPr>
      <w:r>
        <w:rPr>
          <w:rFonts w:ascii="Microsoft YaHei" w:hAnsi="Microsoft YaHei" w:eastAsia="Microsoft YaHei"/>
          <w:color w:val="000000"/>
          <w:sz w:val="22"/>
        </w:rPr>
        <w:t>终点校准：记录减速触发里程、主动制动时长与实际停车位置，按实测结果修正停车阈值和减速时间。</w:t>
      </w:r>
    </w:p>
    <w:p>
      <w:pPr>
        <w:spacing w:after="160" w:line="320" w:lineRule="auto"/>
        <w:ind w:firstLine="403"/>
      </w:pPr>
      <w:r>
        <w:rPr>
          <w:rFonts w:ascii="Microsoft YaHei" w:hAnsi="Microsoft YaHei" w:eastAsia="Microsoft YaHei"/>
          <w:color w:val="000000"/>
          <w:sz w:val="22"/>
        </w:rPr>
        <w:t>为便于技术报告客观呈现效果，建议按表 5 记录三次以上完整赛道测试。表内数值不在本文中预设，避免将控制参数误写为实测性能结论。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3300"/>
        <w:gridCol w:w="2160"/>
        <w:gridCol w:w="210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测试项目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记录方法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实测结果（待填）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判定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直线平均速度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已知距离 / 通过时间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____ m/s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达到任务速度要求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全程完成时间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起跑至停车计时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____ 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满足赛题限时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最大横向偏差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俯视视频标定或标尺测量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____ mm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不越出有效循迹区域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终点停车误差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目标线至轮轴中心距离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____ mm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满足终点判定精度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连续成功率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成功次数 / 总次数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____ / ____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00000"/>
                <w:sz w:val="20"/>
              </w:rPr>
              <w:t>建议不少于 3 次重复试验</w:t>
            </w:r>
          </w:p>
        </w:tc>
      </w:tr>
    </w:tbl>
    <w:p>
      <w:pPr>
        <w:spacing w:before="80" w:after="160"/>
        <w:jc w:val="center"/>
      </w:pPr>
      <w:r>
        <w:rPr>
          <w:rFonts w:ascii="Microsoft YaHei" w:hAnsi="Microsoft YaHei" w:eastAsia="Microsoft YaHei"/>
          <w:color w:val="666666"/>
          <w:sz w:val="20"/>
        </w:rPr>
        <w:t>表 5 建议写入技术报告的实车验证数据</w:t>
      </w:r>
    </w:p>
    <w:p>
      <w:pPr>
        <w:pStyle w:val="Heading1"/>
        <w:keepNext/>
      </w:pPr>
      <w:r>
        <w:t>8 方案特点与可扩展性</w:t>
      </w:r>
    </w:p>
    <w:p>
      <w:pPr>
        <w:spacing w:after="160" w:line="320" w:lineRule="auto"/>
        <w:ind w:firstLine="403"/>
      </w:pPr>
      <w:r>
        <w:rPr>
          <w:rFonts w:ascii="Microsoft YaHei" w:hAnsi="Microsoft YaHei" w:eastAsia="Microsoft YaHei"/>
          <w:color w:val="000000"/>
          <w:sz w:val="22"/>
        </w:rPr>
        <w:t>该底盘方案以编码器闭环保证速度一致性，以加权质心与预测误差提升高速循迹连续性，以里程渐降和短时制动提高终点停车一致性。感知、控制、驱动和任务管理均采用独立模块，便于在不改变底层电机控制的前提下替换循迹算法、接入视觉导航或扩展复杂路线状态机。</w:t>
      </w:r>
    </w:p>
    <w:p>
      <w:pPr>
        <w:spacing w:after="160" w:line="320" w:lineRule="auto"/>
        <w:ind w:firstLine="403"/>
      </w:pPr>
      <w:r>
        <w:rPr>
          <w:rFonts w:ascii="Microsoft YaHei" w:hAnsi="Microsoft YaHei" w:eastAsia="Microsoft YaHei"/>
          <w:color w:val="000000"/>
          <w:sz w:val="22"/>
        </w:rPr>
        <w:t>后续优化可围绕三个方向展开：其一，利用实测轮胎打滑数据对里程计进行分段标定；其二，在急弯场景打开曲率降速并将速度规划与线路误差变化率关联；其三，将电池电压采样引入前馈补偿，以减小低电压阶段的速度衰减。上述改进均可在现有分层接口内完成，不需要改动任务层对底盘的基本调用方式。</w:t>
      </w:r>
    </w:p>
    <w:p>
      <w:pPr>
        <w:pStyle w:val="Heading1"/>
        <w:keepNext/>
      </w:pPr>
      <w:r>
        <w:t>9 报告引用说明</w:t>
      </w:r>
    </w:p>
    <w:p>
      <w:pPr>
        <w:spacing w:after="160" w:line="320" w:lineRule="auto"/>
        <w:ind w:firstLine="403"/>
      </w:pPr>
      <w:r>
        <w:rPr>
          <w:rFonts w:ascii="Microsoft YaHei" w:hAnsi="Microsoft YaHei" w:eastAsia="Microsoft YaHei"/>
          <w:color w:val="000000"/>
          <w:sz w:val="22"/>
        </w:rPr>
        <w:t>本章适合作为技术报告中“系统方案设计”或“底盘控制设计”的独立小节使用。提交前请将表 5 的待填项替换为实测数据，并根据学校模板统一章节编号、图表编号和字体。若报告需要展示控制流程，可将第 1 节的分层结构绘制为框图，将第 4 节的公式和表 3 作为控制算法与参数说明。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icrosoft YaHei" w:hAnsi="Microsoft YaHei" w:eastAsia="Microsoft YaHei"/>
        <w:color w:val="666666"/>
        <w:sz w:val="18"/>
      </w:rPr>
      <w:t>2026 年电赛 H 题技术报告 - 底盘控制方案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76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