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9AA67">
      <w:pPr>
        <w:spacing w:after="0" w:line="240" w:lineRule="auto"/>
        <w:rPr>
          <w:rFonts w:hint="eastAsia" w:ascii="宋体" w:hAnsi="宋体" w:eastAsia="宋体"/>
          <w:b/>
          <w:bCs/>
          <w:color w:val="EE0000"/>
        </w:rPr>
      </w:pPr>
      <w:r>
        <w:rPr>
          <w:rFonts w:hint="eastAsia" w:ascii="宋体" w:hAnsi="宋体" w:eastAsia="宋体"/>
          <w:b/>
          <w:bCs/>
          <w:color w:val="EE0000"/>
        </w:rPr>
        <w:t>点一：反应式触发与自适应冗余</w:t>
      </w:r>
      <w:commentRangeStart w:id="0"/>
      <w:r>
        <w:rPr>
          <w:rFonts w:hint="eastAsia" w:ascii="宋体" w:hAnsi="宋体" w:eastAsia="宋体"/>
          <w:b/>
          <w:bCs/>
          <w:color w:val="EE0000"/>
        </w:rPr>
        <w:t>包</w:t>
      </w:r>
      <w:commentRangeEnd w:id="0"/>
      <w:r>
        <w:rPr>
          <w:rStyle w:val="19"/>
          <w:rFonts w:hint="eastAsia" w:ascii="宋体" w:hAnsi="宋体" w:eastAsia="宋体"/>
          <w:b/>
          <w:bCs/>
          <w:color w:val="EE0000"/>
          <w:sz w:val="22"/>
          <w:szCs w:val="24"/>
        </w:rPr>
        <w:commentReference w:id="0"/>
      </w:r>
    </w:p>
    <w:p w14:paraId="601B1DFD">
      <w:pPr>
        <w:spacing w:after="0" w:line="240" w:lineRule="auto"/>
        <w:rPr>
          <w:rFonts w:hint="eastAsia" w:ascii="宋体" w:hAnsi="宋体" w:eastAsia="宋体"/>
        </w:rPr>
      </w:pPr>
      <w:r>
        <w:rPr>
          <w:rFonts w:hint="eastAsia" w:ascii="宋体" w:hAnsi="宋体" w:eastAsia="宋体"/>
          <w:b/>
          <w:bCs/>
        </w:rPr>
        <w:t>接收与解码</w:t>
      </w:r>
      <w:r>
        <w:rPr>
          <w:rFonts w:hint="eastAsia" w:ascii="宋体" w:hAnsi="宋体" w:eastAsia="宋体"/>
        </w:rPr>
        <w:t>：接收节点收到来自发送节点的数据包（RV0）后，进行FEC纠错，再进行CRC：</w:t>
      </w:r>
    </w:p>
    <w:p w14:paraId="0B5A5465">
      <w:pPr>
        <w:spacing w:after="0" w:line="240" w:lineRule="auto"/>
        <w:rPr>
          <w:rFonts w:hint="eastAsia" w:ascii="宋体" w:hAnsi="宋体" w:eastAsia="宋体"/>
        </w:rPr>
      </w:pPr>
      <w:r>
        <w:rPr>
          <w:rFonts w:hint="eastAsia" w:ascii="宋体" w:hAnsi="宋体" w:eastAsia="宋体"/>
          <w:b/>
          <w:bCs/>
        </w:rPr>
        <w:t>标准流程</w:t>
      </w:r>
      <w:r>
        <w:rPr>
          <w:rFonts w:hint="eastAsia" w:ascii="宋体" w:hAnsi="宋体" w:eastAsia="宋体"/>
        </w:rPr>
        <w:t>：触发重传操作，接收节点发送NACK</w:t>
      </w:r>
      <w:commentRangeStart w:id="1"/>
      <w:r>
        <w:rPr>
          <w:rFonts w:hint="eastAsia" w:ascii="宋体" w:hAnsi="宋体" w:eastAsia="宋体"/>
        </w:rPr>
        <w:t>请求</w:t>
      </w:r>
      <w:commentRangeEnd w:id="1"/>
      <w:r>
        <w:rPr>
          <w:rStyle w:val="19"/>
          <w:rFonts w:hint="eastAsia" w:ascii="宋体" w:hAnsi="宋体" w:eastAsia="宋体"/>
          <w:sz w:val="22"/>
          <w:szCs w:val="24"/>
        </w:rPr>
        <w:commentReference w:id="1"/>
      </w:r>
      <w:r>
        <w:rPr>
          <w:rFonts w:hint="eastAsia" w:ascii="宋体" w:hAnsi="宋体" w:eastAsia="宋体"/>
        </w:rPr>
        <w:t>上一跳或协作节点发送冗余包；发送冗余包顺序固定，如RV1（少量冗余），RV2（中等冗余），RV3（大量冗余），直至接收节点恢复正确。</w:t>
      </w:r>
    </w:p>
    <w:p w14:paraId="685EC051">
      <w:pPr>
        <w:spacing w:after="0" w:line="240" w:lineRule="auto"/>
        <w:rPr>
          <w:rFonts w:hint="eastAsia" w:ascii="宋体" w:hAnsi="宋体" w:eastAsia="宋体"/>
        </w:rPr>
      </w:pPr>
      <w:r>
        <w:rPr>
          <w:rFonts w:hint="eastAsia" w:ascii="宋体" w:hAnsi="宋体" w:eastAsia="宋体"/>
          <w:b/>
          <w:bCs/>
        </w:rPr>
        <w:t>基于置信度的冗余包设计</w:t>
      </w:r>
      <w:r>
        <w:rPr>
          <w:rFonts w:hint="eastAsia" w:ascii="宋体" w:hAnsi="宋体" w:eastAsia="宋体"/>
        </w:rPr>
        <w:t>：触发重传操作时，接收节点先基于LLR等软信息计算数据包的置信度，并将置信度的结果加入向上回复的NACK中，协作节点或上一跳节点根据置信度大小发送对应冗余度的冗余度，以平衡重传次数和开销。</w:t>
      </w:r>
    </w:p>
    <w:p w14:paraId="5DB2C078">
      <w:pPr>
        <w:spacing w:after="0" w:line="240" w:lineRule="auto"/>
        <w:jc w:val="center"/>
        <w:rPr>
          <w:rFonts w:hint="eastAsia" w:ascii="宋体" w:hAnsi="宋体" w:eastAsia="宋体"/>
        </w:rPr>
      </w:pPr>
      <w:r>
        <w:drawing>
          <wp:inline distT="0" distB="0" distL="0" distR="0">
            <wp:extent cx="5274310" cy="1753870"/>
            <wp:effectExtent l="0" t="0" r="2540" b="0"/>
            <wp:docPr id="1040503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03956" name="图片 1"/>
                    <pic:cNvPicPr>
                      <a:picLocks noChangeAspect="1"/>
                    </pic:cNvPicPr>
                  </pic:nvPicPr>
                  <pic:blipFill>
                    <a:blip r:embed="rId8"/>
                    <a:stretch>
                      <a:fillRect/>
                    </a:stretch>
                  </pic:blipFill>
                  <pic:spPr>
                    <a:xfrm>
                      <a:off x="0" y="0"/>
                      <a:ext cx="5274310" cy="1753870"/>
                    </a:xfrm>
                    <a:prstGeom prst="rect">
                      <a:avLst/>
                    </a:prstGeom>
                  </pic:spPr>
                </pic:pic>
              </a:graphicData>
            </a:graphic>
          </wp:inline>
        </w:drawing>
      </w:r>
    </w:p>
    <w:p w14:paraId="2ACC2239">
      <w:pPr>
        <w:spacing w:after="0" w:line="240" w:lineRule="auto"/>
        <w:rPr>
          <w:rFonts w:hint="eastAsia" w:ascii="宋体" w:hAnsi="宋体" w:eastAsia="宋体"/>
        </w:rPr>
      </w:pPr>
      <w:r>
        <w:rPr>
          <w:rFonts w:hint="eastAsia" w:ascii="宋体" w:hAnsi="宋体" w:eastAsia="宋体"/>
        </w:rPr>
        <w:t>将Cpkt量化到数个离散状态封装在NACK包头中，例如00，01，10，11分别对应不同冗余度的RV3，RV2，RV1，RV0，置信度越高冗余度越低，协作点接收到NACK后根据量化的Cpkt回发对应的冗余包。</w:t>
      </w:r>
    </w:p>
    <w:p w14:paraId="7AAF5377">
      <w:pPr>
        <w:spacing w:after="0" w:line="240" w:lineRule="auto"/>
        <w:rPr>
          <w:rFonts w:hint="eastAsia" w:ascii="宋体" w:hAnsi="宋体" w:eastAsia="宋体"/>
        </w:rPr>
      </w:pPr>
    </w:p>
    <w:p w14:paraId="2D8EB009">
      <w:pPr>
        <w:spacing w:after="0" w:line="240" w:lineRule="auto"/>
        <w:rPr>
          <w:rFonts w:hint="eastAsia" w:ascii="宋体" w:hAnsi="宋体" w:eastAsia="宋体"/>
          <w:b/>
          <w:bCs/>
          <w:color w:val="EE0000"/>
        </w:rPr>
      </w:pPr>
      <w:r>
        <w:rPr>
          <w:rFonts w:hint="eastAsia" w:ascii="宋体" w:hAnsi="宋体" w:eastAsia="宋体"/>
          <w:b/>
          <w:bCs/>
          <w:color w:val="EE0000"/>
        </w:rPr>
        <w:t>点二：基于定时器的退避竞争协作</w:t>
      </w:r>
      <w:commentRangeStart w:id="2"/>
      <w:r>
        <w:rPr>
          <w:rFonts w:hint="eastAsia" w:ascii="宋体" w:hAnsi="宋体" w:eastAsia="宋体"/>
          <w:b/>
          <w:bCs/>
          <w:color w:val="EE0000"/>
        </w:rPr>
        <w:t>机制</w:t>
      </w:r>
      <w:commentRangeEnd w:id="2"/>
      <w:r>
        <w:rPr>
          <w:rStyle w:val="19"/>
          <w:rFonts w:hint="eastAsia" w:ascii="宋体" w:hAnsi="宋体" w:eastAsia="宋体"/>
          <w:b/>
          <w:bCs/>
          <w:color w:val="EE0000"/>
          <w:sz w:val="22"/>
          <w:szCs w:val="24"/>
        </w:rPr>
        <w:commentReference w:id="2"/>
      </w:r>
    </w:p>
    <w:p w14:paraId="56040716">
      <w:pPr>
        <w:spacing w:after="0" w:line="240" w:lineRule="auto"/>
        <w:rPr>
          <w:rFonts w:hint="eastAsia" w:ascii="宋体" w:hAnsi="宋体" w:eastAsia="宋体"/>
        </w:rPr>
      </w:pPr>
      <w:r>
        <w:rPr>
          <w:rFonts w:ascii="宋体" w:hAnsi="宋体" w:eastAsia="宋体"/>
        </w:rPr>
        <w:t>解码成功</w:t>
      </w:r>
      <w:r>
        <w:rPr>
          <w:rFonts w:hint="eastAsia" w:ascii="宋体" w:hAnsi="宋体" w:eastAsia="宋体"/>
        </w:rPr>
        <w:t>的节点根据自身的</w:t>
      </w:r>
      <w:r>
        <w:rPr>
          <w:rFonts w:hint="eastAsia" w:ascii="宋体" w:hAnsi="宋体" w:eastAsia="宋体"/>
          <w:b/>
          <w:bCs/>
        </w:rPr>
        <w:t>链路状态，剩余能量，置信度</w:t>
      </w:r>
      <w:r>
        <w:rPr>
          <w:rFonts w:hint="eastAsia" w:ascii="宋体" w:hAnsi="宋体" w:eastAsia="宋体"/>
        </w:rPr>
        <w:t>（同样通过CRC校验的包置信度也可能会有较大差距）等（传播延迟，缓存压力，历史协作成功率？）计算综合得分，并将得分映射为一个倒计时定时器。得分高的节点倒计时时间越短，在收到NACK后，得分最高的节点会最先发送冗余包，其他得分低的节点在发送前会收到该包并停止倒计时并发送的操作。</w:t>
      </w:r>
    </w:p>
    <w:p w14:paraId="379C8DE9">
      <w:pPr>
        <w:spacing w:after="0" w:line="240" w:lineRule="auto"/>
        <w:rPr>
          <w:rFonts w:hint="eastAsia" w:ascii="宋体" w:hAnsi="宋体" w:eastAsia="宋体"/>
        </w:rPr>
      </w:pPr>
      <w:r>
        <w:rPr>
          <w:rFonts w:hint="eastAsia" w:ascii="宋体" w:hAnsi="宋体" w:eastAsia="宋体"/>
        </w:rPr>
        <w:t>计算得分：</w:t>
      </w:r>
    </w:p>
    <w:p w14:paraId="71D011EB">
      <w:pPr>
        <w:spacing w:after="0" w:line="240" w:lineRule="auto"/>
        <w:jc w:val="center"/>
        <w:rPr>
          <w:rFonts w:hint="eastAsia" w:ascii="宋体" w:hAnsi="宋体" w:eastAsia="宋体"/>
        </w:rPr>
      </w:pPr>
      <w:r>
        <w:rPr>
          <w14:ligatures w14:val="none"/>
        </w:rPr>
        <w:drawing>
          <wp:inline distT="0" distB="0" distL="0" distR="0">
            <wp:extent cx="2900045" cy="505460"/>
            <wp:effectExtent l="0" t="0" r="0" b="8890"/>
            <wp:docPr id="1581487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87802" name="图片 1"/>
                    <pic:cNvPicPr>
                      <a:picLocks noChangeAspect="1"/>
                    </pic:cNvPicPr>
                  </pic:nvPicPr>
                  <pic:blipFill>
                    <a:blip r:embed="rId9"/>
                    <a:stretch>
                      <a:fillRect/>
                    </a:stretch>
                  </pic:blipFill>
                  <pic:spPr>
                    <a:xfrm>
                      <a:off x="0" y="0"/>
                      <a:ext cx="2926473" cy="510660"/>
                    </a:xfrm>
                    <a:prstGeom prst="rect">
                      <a:avLst/>
                    </a:prstGeom>
                  </pic:spPr>
                </pic:pic>
              </a:graphicData>
            </a:graphic>
          </wp:inline>
        </w:drawing>
      </w:r>
    </w:p>
    <w:p w14:paraId="7390AB35">
      <w:pPr>
        <w:spacing w:after="0" w:line="240" w:lineRule="auto"/>
        <w:rPr>
          <w:rFonts w:hint="eastAsia" w:ascii="宋体" w:hAnsi="宋体" w:eastAsia="宋体"/>
        </w:rPr>
      </w:pPr>
      <w:r>
        <w:rPr>
          <w:rFonts w:hint="eastAsia" w:ascii="宋体" w:hAnsi="宋体" w:eastAsia="宋体"/>
        </w:rPr>
        <w:t>映射为倒计时定时器，</w:t>
      </w:r>
      <w:r>
        <w:rPr>
          <w:rFonts w:hint="eastAsia" w:ascii="宋体" w:hAnsi="宋体" w:eastAsia="宋体"/>
          <w:b/>
          <w:bCs/>
        </w:rPr>
        <w:t>在原先的基础上加入保护间隔</w:t>
      </w:r>
      <w:r>
        <w:rPr>
          <w:rFonts w:hint="eastAsia" w:ascii="宋体" w:hAnsi="宋体" w:eastAsia="宋体"/>
        </w:rPr>
        <w:t>（接收节点到各协作点的距离不同，信号传输时间不同，保证公平竞争）</w:t>
      </w:r>
    </w:p>
    <w:p w14:paraId="2E894171">
      <w:pPr>
        <w:spacing w:after="0" w:line="240" w:lineRule="auto"/>
        <w:jc w:val="center"/>
        <w:rPr>
          <w:rFonts w:hint="eastAsia" w:ascii="宋体" w:hAnsi="宋体" w:eastAsia="宋体"/>
        </w:rPr>
      </w:pPr>
      <w:r>
        <w:rPr>
          <w14:ligatures w14:val="none"/>
        </w:rPr>
        <w:drawing>
          <wp:inline distT="0" distB="0" distL="0" distR="0">
            <wp:extent cx="2790825" cy="495300"/>
            <wp:effectExtent l="0" t="0" r="0" b="0"/>
            <wp:docPr id="2047872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72717" name="图片 1"/>
                    <pic:cNvPicPr>
                      <a:picLocks noChangeAspect="1"/>
                    </pic:cNvPicPr>
                  </pic:nvPicPr>
                  <pic:blipFill>
                    <a:blip r:embed="rId10"/>
                    <a:stretch>
                      <a:fillRect/>
                    </a:stretch>
                  </pic:blipFill>
                  <pic:spPr>
                    <a:xfrm>
                      <a:off x="0" y="0"/>
                      <a:ext cx="2855652" cy="507134"/>
                    </a:xfrm>
                    <a:prstGeom prst="rect">
                      <a:avLst/>
                    </a:prstGeom>
                  </pic:spPr>
                </pic:pic>
              </a:graphicData>
            </a:graphic>
          </wp:inline>
        </w:drawing>
      </w:r>
    </w:p>
    <w:p w14:paraId="0088F19E">
      <w:pPr>
        <w:spacing w:after="0" w:line="240" w:lineRule="auto"/>
        <w:rPr>
          <w:rFonts w:hint="eastAsia" w:ascii="宋体" w:hAnsi="宋体" w:eastAsia="宋体"/>
        </w:rPr>
      </w:pPr>
      <w:r>
        <w:rPr>
          <w:rFonts w:hint="eastAsia" w:ascii="宋体" w:hAnsi="宋体" w:eastAsia="宋体"/>
          <w:b/>
          <w:bCs/>
        </w:rPr>
        <w:t>异常情况处理：</w:t>
      </w:r>
      <w:bookmarkStart w:id="0" w:name="_GoBack"/>
      <w:bookmarkEnd w:id="0"/>
    </w:p>
    <w:p w14:paraId="63CD20AC">
      <w:pPr>
        <w:spacing w:after="0" w:line="240" w:lineRule="auto"/>
        <w:rPr>
          <w:rFonts w:hint="eastAsia" w:ascii="宋体" w:hAnsi="宋体" w:eastAsia="宋体"/>
        </w:rPr>
      </w:pPr>
      <w:r>
        <w:rPr>
          <w:rFonts w:hint="eastAsia" w:ascii="宋体" w:hAnsi="宋体" w:eastAsia="宋体"/>
        </w:rPr>
        <w:t>1.同步帧，控制帧（header）损坏或丢失，无协作节点响应</w:t>
      </w:r>
    </w:p>
    <w:p w14:paraId="0DDF3C37">
      <w:pPr>
        <w:spacing w:after="0" w:line="240" w:lineRule="auto"/>
        <w:rPr>
          <w:rFonts w:hint="eastAsia" w:ascii="宋体" w:hAnsi="宋体" w:eastAsia="宋体"/>
        </w:rPr>
      </w:pPr>
      <w:r>
        <w:rPr>
          <w:rFonts w:hint="eastAsia" w:ascii="宋体" w:hAnsi="宋体" w:eastAsia="宋体"/>
        </w:rPr>
        <w:t>源节点在发出初次数据包RV0后，启动一个全局超时定时器，该定时器的时长必须大于（源节点到目的节点传输时延+3*（2*全网单跳最大单程传播时延）+协作节点最大退避时间）</w:t>
      </w:r>
    </w:p>
    <w:p w14:paraId="691D6801">
      <w:pPr>
        <w:spacing w:after="0" w:line="240" w:lineRule="auto"/>
        <w:rPr>
          <w:rFonts w:hint="eastAsia" w:ascii="宋体" w:hAnsi="宋体" w:eastAsia="宋体"/>
        </w:rPr>
      </w:pPr>
      <w:r>
        <w:rPr>
          <w:rFonts w:hint="eastAsia" w:ascii="宋体" w:hAnsi="宋体" w:eastAsia="宋体"/>
        </w:rPr>
        <w:t>（1）目的节点和协作节点无任何响应：源节点发包后在全局定时器结束前没有收到任何NACK或ACK，表示header损坏。在定时器结束后源节点重新发送初始的数据包RV0，开启新一轮发包。</w:t>
      </w:r>
    </w:p>
    <w:p w14:paraId="1DCCD046">
      <w:pPr>
        <w:spacing w:after="0" w:line="240" w:lineRule="auto"/>
        <w:rPr>
          <w:rFonts w:hint="eastAsia" w:ascii="宋体" w:hAnsi="宋体" w:eastAsia="宋体"/>
        </w:rPr>
      </w:pPr>
      <w:r>
        <w:rPr>
          <w:rFonts w:hint="eastAsia" w:ascii="宋体" w:hAnsi="宋体" w:eastAsia="宋体"/>
        </w:rPr>
        <w:t>（2）目的节点发送NACK但无协作节点响应：表示源节点到目的节点间的当前信道条件优于其他协作节点到目的节点间的信道条件。定时器结束后，由源节点自己充当协作节点，根据收到的NACK发送对应冗余度的冗余包（RV1/RV2等）。</w:t>
      </w:r>
    </w:p>
    <w:p w14:paraId="45EC5A28">
      <w:pPr>
        <w:spacing w:after="0" w:line="240" w:lineRule="auto"/>
        <w:rPr>
          <w:rFonts w:hint="eastAsia" w:ascii="宋体" w:hAnsi="宋体" w:eastAsia="宋体"/>
        </w:rPr>
      </w:pPr>
      <w:r>
        <w:rPr>
          <w:rFonts w:hint="eastAsia" w:ascii="宋体" w:hAnsi="宋体" w:eastAsia="宋体"/>
        </w:rPr>
        <w:t>2.接收节点请求失效</w:t>
      </w:r>
    </w:p>
    <w:p w14:paraId="050A3C6B">
      <w:pPr>
        <w:spacing w:after="0" w:line="240" w:lineRule="auto"/>
        <w:rPr>
          <w:rFonts w:hint="eastAsia" w:ascii="宋体" w:hAnsi="宋体" w:eastAsia="宋体"/>
        </w:rPr>
      </w:pPr>
      <w:r>
        <w:rPr>
          <w:rFonts w:hint="eastAsia" w:ascii="宋体" w:hAnsi="宋体" w:eastAsia="宋体"/>
        </w:rPr>
        <w:t>当接收节点的header通过CRC校验但payload校验失败时，广播NACK并启动一个接收端等待定时器。该定时器的时长时间略大于协作节点最大退避时间 + 冗余包往返传播延迟。若定时器结束前，接收节点没有收到任何冗余包，表示NACK丢失，或协作点发出的冗余包的header损坏，接收节点将再次发送 NACK。同时接收节点维护一个最大NACK重发次数（3次）。若达到最大次数仍未收到有效冗余包，则等待源节点重传RV0。</w:t>
      </w:r>
    </w:p>
    <w:p w14:paraId="62C26CE7">
      <w:pPr>
        <w:spacing w:after="0" w:line="240" w:lineRule="auto"/>
        <w:rPr>
          <w:rFonts w:hint="eastAsia" w:ascii="宋体" w:hAnsi="宋体" w:eastAsia="宋体"/>
        </w:rPr>
      </w:pPr>
      <w:r>
        <w:rPr>
          <w:rFonts w:hint="eastAsia" w:ascii="宋体" w:hAnsi="宋体" w:eastAsia="宋体"/>
        </w:rPr>
        <w:t xml:space="preserve">3.收到冗余包合并后校验仍失败： </w:t>
      </w:r>
    </w:p>
    <w:p w14:paraId="278B11EA">
      <w:pPr>
        <w:spacing w:after="0" w:line="240" w:lineRule="auto"/>
        <w:rPr>
          <w:rFonts w:hint="eastAsia" w:ascii="宋体" w:hAnsi="宋体" w:eastAsia="宋体"/>
        </w:rPr>
      </w:pPr>
      <w:r>
        <w:rPr>
          <w:rFonts w:hint="eastAsia" w:ascii="宋体" w:hAnsi="宋体" w:eastAsia="宋体"/>
        </w:rPr>
        <w:t>接收节点将第一次重传的冗余包信息继续缓存在合并区中，利用积累的软信息重新计算并更新合并后的置信度。将更新后的置信度重新量化，再次广播NACK请求新的冗余补丁，触发新一轮的协作，直至解码成功或达到系统的最大合并次数限制。</w:t>
      </w:r>
    </w:p>
    <w:p w14:paraId="29BAC9FD">
      <w:pPr>
        <w:spacing w:after="0" w:line="240" w:lineRule="auto"/>
        <w:rPr>
          <w:rFonts w:hint="eastAsia" w:ascii="宋体" w:hAnsi="宋体" w:eastAsia="宋体"/>
        </w:rPr>
      </w:pPr>
    </w:p>
    <w:p w14:paraId="26CA1D3A">
      <w:pPr>
        <w:spacing w:after="0" w:line="240" w:lineRule="auto"/>
        <w:rPr>
          <w:rFonts w:hint="eastAsia" w:ascii="宋体" w:hAnsi="宋体" w:eastAsia="宋体"/>
          <w:b/>
          <w:bCs/>
        </w:rPr>
      </w:pPr>
      <w:r>
        <w:rPr>
          <w:rFonts w:hint="eastAsia" w:ascii="宋体" w:hAnsi="宋体" w:eastAsia="宋体"/>
          <w:b/>
          <w:bCs/>
        </w:rPr>
        <w:t>主要对照协议：</w:t>
      </w:r>
    </w:p>
    <w:p w14:paraId="73D5BDB7">
      <w:pPr>
        <w:spacing w:after="0" w:line="240" w:lineRule="auto"/>
        <w:rPr>
          <w:rFonts w:hint="eastAsia" w:ascii="宋体" w:hAnsi="宋体" w:eastAsia="宋体"/>
        </w:rPr>
      </w:pPr>
      <w:r>
        <w:rPr>
          <w:rFonts w:hint="eastAsia" w:ascii="宋体" w:hAnsi="宋体" w:eastAsia="宋体"/>
        </w:rPr>
        <w:t>1.C-HARQ：引入固定的协作节点（或通过简单距离计算预先指定的单中继）。出错后回复标准NACK，协作节点按固定顺序（固定大小）发送冗余包直至接收节点回复ACK</w:t>
      </w:r>
    </w:p>
    <w:p w14:paraId="78C281AF">
      <w:pPr>
        <w:spacing w:after="0" w:line="240" w:lineRule="auto"/>
        <w:rPr>
          <w:rFonts w:hint="eastAsia" w:ascii="宋体" w:hAnsi="宋体" w:eastAsia="宋体"/>
        </w:rPr>
      </w:pPr>
      <w:r>
        <w:rPr>
          <w:rFonts w:hint="eastAsia" w:ascii="宋体" w:hAnsi="宋体" w:eastAsia="宋体"/>
        </w:rPr>
        <w:t>2.DCC/S-DCC（选择性动态编码协作，主要对比更优的S-DCC）：无交互，协作节点主动重传，接收节点选择性接收。数据包分块发送，源节点首先发送前n个块，协作点和接收节点同时监听，协作点和源节点间信道质量更好，利用前n个块解出了后k个块，于是和源节点一起向接收节点发送后k个块，接收节点接收到来自源节点和协作节点发送的后k个块后仍失败，则回复NACK，协作节点则持续重复发送前n个块直至达到协作节点的最大重传次数或最大窗口时间（此时没有与接收节点的交互）。</w:t>
      </w:r>
    </w:p>
    <w:p w14:paraId="2FA8C81C">
      <w:pPr>
        <w:spacing w:after="0" w:line="240" w:lineRule="auto"/>
        <w:rPr>
          <w:rFonts w:hint="eastAsia" w:ascii="宋体" w:hAnsi="宋体" w:eastAsia="宋体"/>
        </w:rPr>
      </w:pPr>
    </w:p>
    <w:p w14:paraId="594D42B3">
      <w:pPr>
        <w:spacing w:after="0" w:line="240" w:lineRule="auto"/>
        <w:rPr>
          <w:rFonts w:hint="eastAsia" w:ascii="宋体" w:hAnsi="宋体" w:eastAsia="宋体"/>
        </w:rPr>
      </w:pPr>
      <w:r>
        <w:rPr>
          <w:rFonts w:hint="eastAsia" w:ascii="宋体" w:hAnsi="宋体" w:eastAsia="宋体"/>
          <w:b/>
          <w:bCs/>
        </w:rPr>
        <w:t>本协议优势：</w:t>
      </w:r>
      <w:r>
        <w:rPr>
          <w:rFonts w:hint="eastAsia" w:ascii="宋体" w:hAnsi="宋体" w:eastAsia="宋体"/>
        </w:rPr>
        <w:t>一次重传完成包修复概率更大,使得单跳延迟低—&gt;端到端</w:t>
      </w:r>
      <w:r>
        <w:rPr>
          <w:rFonts w:ascii="宋体" w:hAnsi="宋体" w:eastAsia="宋体"/>
        </w:rPr>
        <w:t>延迟低，同时相比对照组开销更小</w:t>
      </w:r>
      <w:r>
        <w:rPr>
          <w:rFonts w:hint="eastAsia" w:ascii="宋体" w:hAnsi="宋体" w:eastAsia="宋体"/>
        </w:rPr>
        <w:t>（NACK次数少—&gt;交互开销少，且每次按置信度发冗余包，不会出现冗余度溢出的情况，即只需一点数据而冗余包冗余度过大），协作点选择更优。</w:t>
      </w:r>
    </w:p>
    <w:p w14:paraId="678A701A">
      <w:pPr>
        <w:spacing w:after="0" w:line="240" w:lineRule="auto"/>
        <w:rPr>
          <w:rFonts w:hint="eastAsia" w:ascii="宋体" w:hAnsi="宋体" w:eastAsia="宋体"/>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g Li" w:date="2026-04-21T15:18:00Z" w:initials="YL">
    <w:p w14:paraId="43CFF15E">
      <w:pPr>
        <w:pStyle w:val="11"/>
        <w:rPr>
          <w:rFonts w:hint="eastAsia"/>
        </w:rPr>
      </w:pPr>
      <w:r>
        <w:rPr>
          <w:rFonts w:hint="eastAsia"/>
        </w:rPr>
        <w:t>1.方法设计要充分考虑水下网络特点</w:t>
      </w:r>
    </w:p>
    <w:p w14:paraId="1B6B8023">
      <w:pPr>
        <w:pStyle w:val="11"/>
        <w:rPr>
          <w:rFonts w:hint="eastAsia"/>
        </w:rPr>
      </w:pPr>
      <w:r>
        <w:rPr>
          <w:rFonts w:hint="eastAsia"/>
        </w:rPr>
        <w:t>2.HARQ水下改进版本，改进的内容适配水下特点的创新</w:t>
      </w:r>
    </w:p>
    <w:p w14:paraId="33F92A92">
      <w:pPr>
        <w:pStyle w:val="11"/>
      </w:pPr>
      <w:r>
        <w:rPr>
          <w:rFonts w:hint="eastAsia"/>
        </w:rPr>
        <w:t>3. CHARQ（空间分集原理？）多点协作</w:t>
      </w:r>
    </w:p>
  </w:comment>
  <w:comment w:id="1" w:author="Yang Li" w:date="2026-04-21T15:37:00Z" w:initials="YL">
    <w:p w14:paraId="3F429CCA">
      <w:pPr>
        <w:pStyle w:val="11"/>
        <w:rPr>
          <w:rFonts w:hint="eastAsia"/>
        </w:rPr>
      </w:pPr>
      <w:r>
        <w:rPr>
          <w:rFonts w:hint="eastAsia"/>
        </w:rPr>
        <w:t>1.丢包检测（错误检测）----水声物理接收数据帧、同步帧、控制帧？ 精度、及时性</w:t>
      </w:r>
    </w:p>
    <w:p w14:paraId="36B82E1C">
      <w:pPr>
        <w:pStyle w:val="11"/>
      </w:pPr>
      <w:r>
        <w:rPr>
          <w:rFonts w:hint="eastAsia"/>
        </w:rPr>
        <w:t>2.</w:t>
      </w:r>
    </w:p>
  </w:comment>
  <w:comment w:id="2" w:author="Yang Li" w:date="2026-04-21T15:53:00Z" w:initials="YL">
    <w:p w14:paraId="555C4F8E">
      <w:pPr>
        <w:pStyle w:val="11"/>
      </w:pPr>
      <w:r>
        <w:rPr>
          <w:rFonts w:hint="eastAsia"/>
        </w:rPr>
        <w:t>优先级还可以考虑，可用发送时刻的先后，冲突概率的事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F92A92" w15:done="0"/>
  <w15:commentEx w15:paraId="36B82E1C" w15:done="0"/>
  <w15:commentEx w15:paraId="555C4F8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g Li">
    <w15:presenceInfo w15:providerId="Windows Live" w15:userId="d792f7f63ed44f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CB8"/>
    <w:rsid w:val="00015D84"/>
    <w:rsid w:val="00091CD0"/>
    <w:rsid w:val="000B1E49"/>
    <w:rsid w:val="000E14E9"/>
    <w:rsid w:val="001869E5"/>
    <w:rsid w:val="0019494B"/>
    <w:rsid w:val="001A71BB"/>
    <w:rsid w:val="001F1D0B"/>
    <w:rsid w:val="002625C3"/>
    <w:rsid w:val="002637FC"/>
    <w:rsid w:val="00267A0C"/>
    <w:rsid w:val="002C1EAB"/>
    <w:rsid w:val="002C3CD0"/>
    <w:rsid w:val="00306FBF"/>
    <w:rsid w:val="00345771"/>
    <w:rsid w:val="00353F6D"/>
    <w:rsid w:val="0036153B"/>
    <w:rsid w:val="003927A7"/>
    <w:rsid w:val="003A5676"/>
    <w:rsid w:val="003F27ED"/>
    <w:rsid w:val="00410659"/>
    <w:rsid w:val="00432E81"/>
    <w:rsid w:val="00441276"/>
    <w:rsid w:val="00493C9E"/>
    <w:rsid w:val="004A3020"/>
    <w:rsid w:val="004F2330"/>
    <w:rsid w:val="004F334C"/>
    <w:rsid w:val="00504C32"/>
    <w:rsid w:val="005462B5"/>
    <w:rsid w:val="00576CB8"/>
    <w:rsid w:val="00580E47"/>
    <w:rsid w:val="005E2751"/>
    <w:rsid w:val="00613F35"/>
    <w:rsid w:val="006211CF"/>
    <w:rsid w:val="0063506E"/>
    <w:rsid w:val="00636B1B"/>
    <w:rsid w:val="006B683E"/>
    <w:rsid w:val="006D3E78"/>
    <w:rsid w:val="006E7176"/>
    <w:rsid w:val="007557C0"/>
    <w:rsid w:val="007A0FD6"/>
    <w:rsid w:val="007C7873"/>
    <w:rsid w:val="008246D9"/>
    <w:rsid w:val="008B62DF"/>
    <w:rsid w:val="008C6A64"/>
    <w:rsid w:val="008D1EC5"/>
    <w:rsid w:val="008F49C8"/>
    <w:rsid w:val="0096193C"/>
    <w:rsid w:val="009B0623"/>
    <w:rsid w:val="009C3DA6"/>
    <w:rsid w:val="009C7017"/>
    <w:rsid w:val="009E5B92"/>
    <w:rsid w:val="00A050C4"/>
    <w:rsid w:val="00A23CBA"/>
    <w:rsid w:val="00A311F2"/>
    <w:rsid w:val="00A32CFB"/>
    <w:rsid w:val="00A40837"/>
    <w:rsid w:val="00A41672"/>
    <w:rsid w:val="00A945DF"/>
    <w:rsid w:val="00B33FDB"/>
    <w:rsid w:val="00B45B91"/>
    <w:rsid w:val="00B63D0B"/>
    <w:rsid w:val="00B70592"/>
    <w:rsid w:val="00BF75A4"/>
    <w:rsid w:val="00C45CDF"/>
    <w:rsid w:val="00C46E16"/>
    <w:rsid w:val="00D04B27"/>
    <w:rsid w:val="00D05E97"/>
    <w:rsid w:val="00D44121"/>
    <w:rsid w:val="00DB2934"/>
    <w:rsid w:val="00E3302D"/>
    <w:rsid w:val="00EC4F56"/>
    <w:rsid w:val="00ED2E45"/>
    <w:rsid w:val="00EF7D34"/>
    <w:rsid w:val="00F46C5D"/>
    <w:rsid w:val="00F479CF"/>
    <w:rsid w:val="00F60944"/>
    <w:rsid w:val="00F6152F"/>
    <w:rsid w:val="00FA505A"/>
    <w:rsid w:val="00FC38AC"/>
    <w:rsid w:val="0C2F7FF9"/>
    <w:rsid w:val="598B1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5"/>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0"/>
    <w:unhideWhenUsed/>
    <w:qFormat/>
    <w:uiPriority w:val="99"/>
  </w:style>
  <w:style w:type="paragraph" w:styleId="12">
    <w:name w:val="footer"/>
    <w:basedOn w:val="1"/>
    <w:link w:val="39"/>
    <w:unhideWhenUsed/>
    <w:qFormat/>
    <w:uiPriority w:val="99"/>
    <w:pPr>
      <w:tabs>
        <w:tab w:val="center" w:pos="4153"/>
        <w:tab w:val="right" w:pos="8306"/>
      </w:tabs>
      <w:snapToGrid w:val="0"/>
      <w:spacing w:line="240" w:lineRule="auto"/>
    </w:pPr>
    <w:rPr>
      <w:sz w:val="18"/>
      <w:szCs w:val="18"/>
    </w:rPr>
  </w:style>
  <w:style w:type="paragraph" w:styleId="13">
    <w:name w:val="header"/>
    <w:basedOn w:val="1"/>
    <w:link w:val="38"/>
    <w:unhideWhenUsed/>
    <w:qFormat/>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41"/>
    <w:semiHidden/>
    <w:unhideWhenUsed/>
    <w:qFormat/>
    <w:uiPriority w:val="99"/>
    <w:rPr>
      <w:b/>
      <w:bCs/>
    </w:rPr>
  </w:style>
  <w:style w:type="character" w:styleId="19">
    <w:name w:val="annotation reference"/>
    <w:basedOn w:val="18"/>
    <w:semiHidden/>
    <w:unhideWhenUsed/>
    <w:qFormat/>
    <w:uiPriority w:val="99"/>
    <w:rPr>
      <w:sz w:val="21"/>
      <w:szCs w:val="21"/>
    </w:rPr>
  </w:style>
  <w:style w:type="character" w:customStyle="1" w:styleId="20">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8"/>
    <w:link w:val="4"/>
    <w:semiHidden/>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8"/>
    <w:link w:val="5"/>
    <w:semiHidden/>
    <w:qFormat/>
    <w:uiPriority w:val="9"/>
    <w:rPr>
      <w:rFonts w:cstheme="majorBidi"/>
      <w:color w:val="104862" w:themeColor="accent1" w:themeShade="BF"/>
      <w:sz w:val="28"/>
      <w:szCs w:val="28"/>
    </w:rPr>
  </w:style>
  <w:style w:type="character" w:customStyle="1" w:styleId="24">
    <w:name w:val="标题 5 字符"/>
    <w:basedOn w:val="18"/>
    <w:link w:val="6"/>
    <w:semiHidden/>
    <w:qFormat/>
    <w:uiPriority w:val="9"/>
    <w:rPr>
      <w:rFonts w:cstheme="majorBidi"/>
      <w:color w:val="104862" w:themeColor="accent1" w:themeShade="BF"/>
      <w:sz w:val="24"/>
    </w:rPr>
  </w:style>
  <w:style w:type="character" w:customStyle="1" w:styleId="25">
    <w:name w:val="标题 6 字符"/>
    <w:basedOn w:val="18"/>
    <w:link w:val="7"/>
    <w:semiHidden/>
    <w:qFormat/>
    <w:uiPriority w:val="9"/>
    <w:rPr>
      <w:rFonts w:cstheme="majorBidi"/>
      <w:b/>
      <w:bCs/>
      <w:color w:val="104862"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8"/>
    <w:link w:val="35"/>
    <w:qFormat/>
    <w:uiPriority w:val="30"/>
    <w:rPr>
      <w:i/>
      <w:iCs/>
      <w:color w:val="104862" w:themeColor="accent1" w:themeShade="BF"/>
    </w:rPr>
  </w:style>
  <w:style w:type="character" w:customStyle="1" w:styleId="37">
    <w:name w:val="明显参考1"/>
    <w:basedOn w:val="18"/>
    <w:qFormat/>
    <w:uiPriority w:val="32"/>
    <w:rPr>
      <w:b/>
      <w:bCs/>
      <w:smallCaps/>
      <w:color w:val="104862" w:themeColor="accent1" w:themeShade="BF"/>
      <w:spacing w:val="5"/>
    </w:rPr>
  </w:style>
  <w:style w:type="character" w:customStyle="1" w:styleId="38">
    <w:name w:val="页眉 字符"/>
    <w:basedOn w:val="18"/>
    <w:link w:val="13"/>
    <w:qFormat/>
    <w:uiPriority w:val="99"/>
    <w:rPr>
      <w:sz w:val="18"/>
      <w:szCs w:val="18"/>
    </w:rPr>
  </w:style>
  <w:style w:type="character" w:customStyle="1" w:styleId="39">
    <w:name w:val="页脚 字符"/>
    <w:basedOn w:val="18"/>
    <w:link w:val="12"/>
    <w:qFormat/>
    <w:uiPriority w:val="99"/>
    <w:rPr>
      <w:sz w:val="18"/>
      <w:szCs w:val="18"/>
    </w:rPr>
  </w:style>
  <w:style w:type="character" w:customStyle="1" w:styleId="40">
    <w:name w:val="批注文字 字符"/>
    <w:basedOn w:val="18"/>
    <w:link w:val="11"/>
    <w:qFormat/>
    <w:uiPriority w:val="99"/>
    <w:rPr>
      <w:kern w:val="2"/>
      <w:sz w:val="22"/>
      <w:szCs w:val="24"/>
      <w14:ligatures w14:val="standardContextual"/>
    </w:rPr>
  </w:style>
  <w:style w:type="character" w:customStyle="1" w:styleId="41">
    <w:name w:val="批注主题 字符"/>
    <w:basedOn w:val="40"/>
    <w:link w:val="16"/>
    <w:semiHidden/>
    <w:qFormat/>
    <w:uiPriority w:val="99"/>
    <w:rPr>
      <w:b/>
      <w:bCs/>
      <w:kern w:val="2"/>
      <w:sz w:val="22"/>
      <w:szCs w:val="24"/>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1215</Words>
  <Characters>1323</Characters>
  <Lines>34</Lines>
  <Paragraphs>33</Paragraphs>
  <TotalTime>1016</TotalTime>
  <ScaleCrop>false</ScaleCrop>
  <LinksUpToDate>false</LinksUpToDate>
  <CharactersWithSpaces>1323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2026-04-14T07:32:00Z</dcterms:created>
  <dc:creator>子昕 刘</dc:creator>
  <cp:lastModifiedBy>绝地master</cp:lastModifiedBy>
  <dcterms:modified xsi:type="dcterms:W3CDTF">2026-05-20T02:08:26Z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eyJoZGlkIjoiMmViMGQ2MmM3OGYzNjg4YmEwMjE4NTkxNzg2ZTY1NzciLCJ1c2VySWQiOiI0NjYzODM5ODUifQ==</vt:lpwstr>
  </property>
  <property fmtid="{D5CDD505-2E9C-101B-9397-08002B2CF9AE}" pid="3" name="KSOProductBuildVer">
    <vt:lpwstr>2052-12.1.0.25865</vt:lpwstr>
  </property>
  <property fmtid="{D5CDD505-2E9C-101B-9397-08002B2CF9AE}" pid="4" name="ICV">
    <vt:lpwstr>A6B0BA8613CF4D3FBDD30842F5A91060_13</vt:lpwstr>
  </property>
</Properties>
</file>