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68678">
      <w:pPr>
        <w:spacing w:before="360" w:after="200"/>
        <w:jc w:val="center"/>
      </w:pPr>
      <w:bookmarkStart w:id="0" w:name="_GoBack"/>
      <w:bookmarkEnd w:id="0"/>
      <w:r>
        <w:rPr>
          <w:rFonts w:ascii="宋体" w:hAnsi="宋体" w:eastAsia="宋体"/>
          <w:b/>
          <w:sz w:val="32"/>
        </w:rPr>
        <w:t>第十五届“中国软件杯”大学生软件设计大赛挑战赛</w:t>
      </w:r>
    </w:p>
    <w:p w14:paraId="17BFDE71">
      <w:pPr>
        <w:spacing w:after="360"/>
        <w:jc w:val="center"/>
      </w:pPr>
      <w:r>
        <w:rPr>
          <w:rFonts w:ascii="宋体" w:hAnsi="宋体" w:eastAsia="宋体"/>
          <w:b/>
          <w:sz w:val="30"/>
        </w:rPr>
        <w:t>A8 赛题参加挑战赛理由及作品亮点</w:t>
      </w:r>
    </w:p>
    <w:p w14:paraId="582FEB97">
      <w:pPr>
        <w:keepNext/>
        <w:spacing w:before="280" w:after="100"/>
      </w:pPr>
      <w:r>
        <w:rPr>
          <w:rFonts w:ascii="黑体" w:hAnsi="黑体" w:eastAsia="黑体"/>
          <w:b/>
          <w:sz w:val="28"/>
        </w:rPr>
        <w:t>一、参加挑战赛理由</w:t>
      </w:r>
    </w:p>
    <w:p w14:paraId="657FC07C">
      <w:pPr>
        <w:spacing w:after="80" w:line="300" w:lineRule="auto"/>
        <w:ind w:firstLine="420"/>
      </w:pPr>
      <w:r>
        <w:rPr>
          <w:rFonts w:ascii="宋体" w:hAnsi="宋体" w:eastAsia="宋体"/>
          <w:sz w:val="21"/>
        </w:rPr>
        <w:t>本团队接受初赛未晋级下一阶段的结果，并按照大赛挑战赛通知要求，在初赛作品基础上继续整理和优化。申请参加挑战赛并非对初赛评审结果提出异议，而是希望在规定窗口内提交一个证据更完整、结构更清晰、复现路径更明确的作品版本，使评审能够直接看到项目已经完成的工程工作及其适用边界。</w:t>
      </w:r>
    </w:p>
    <w:p w14:paraId="5DE03FDD">
      <w:pPr>
        <w:spacing w:after="80" w:line="300" w:lineRule="auto"/>
        <w:ind w:firstLine="420"/>
      </w:pPr>
      <w:r>
        <w:rPr>
          <w:rFonts w:ascii="宋体" w:hAnsi="宋体" w:eastAsia="宋体"/>
          <w:sz w:val="21"/>
        </w:rPr>
        <w:t>本作品面向 A8 四旋翼无人机位姿控制系统设计优化赛题，工作重点不是只完成某一个控制器的单次仿真，而是围绕云纵150参照机体，建立从多领域建模、控制器接入、场景配置、结果分析到代码生成的可追溯工程链。初赛版本已经形成了较大的模型和控制器工程规模，但不同层级的数量、不同类型的仿真证据以及 MWORKS 与运行时部署边界仍容易被混读。挑战赛版本将进一步统一报告、用户手册、源码、配置和结果的对应关系，降低评审阅读和复核成本。</w:t>
      </w:r>
    </w:p>
    <w:p w14:paraId="19C423A9">
      <w:pPr>
        <w:spacing w:after="80" w:line="300" w:lineRule="auto"/>
        <w:ind w:firstLine="420"/>
      </w:pPr>
      <w:r>
        <w:rPr>
          <w:rFonts w:ascii="宋体" w:hAnsi="宋体" w:eastAsia="宋体"/>
          <w:sz w:val="21"/>
        </w:rPr>
        <w:t>参加挑战赛的主要原因有三点：</w:t>
      </w:r>
    </w:p>
    <w:p w14:paraId="6E491360">
      <w:pPr>
        <w:spacing w:after="80" w:line="300" w:lineRule="auto"/>
      </w:pPr>
      <w:r>
        <w:rPr>
          <w:rFonts w:ascii="宋体" w:hAnsi="宋体" w:eastAsia="宋体"/>
          <w:sz w:val="21"/>
        </w:rPr>
        <w:t>(1) 补充完整的工程证据链：对模型来源、接口合同、FormalRunner 入口、场景 Profile、指标结果和代码生成产物进行一一回链，让每个结论都能落到项目包内的源码或结果文件。 (2) 呈现可复现的国产工具链实践：作品以 MWORKS.Sysplorer/Sysblock/Syslab 为主线，展示从图形化控制器模型到 C99 生成、编译和 MWORKS CFunction SIL 复核的连续工程过程。 (3) 以真实边界说明成果：对已经完成、正在复核和仍需独立运行时验证的内容分层说明，同时保留异常记录和负样本，不以单张截图或未经同条件验证的结果替代正式证据。</w:t>
      </w:r>
    </w:p>
    <w:p w14:paraId="695DC471">
      <w:pPr>
        <w:spacing w:after="80" w:line="300" w:lineRule="auto"/>
        <w:ind w:firstLine="420"/>
      </w:pPr>
      <w:r>
        <w:rPr>
          <w:rFonts w:ascii="宋体" w:hAnsi="宋体" w:eastAsia="宋体"/>
          <w:sz w:val="21"/>
        </w:rPr>
        <w:t>因此，本团队希望通过挑战赛提交优化后的作品和材料，请组委会依据更新后的工程包、报告和复现说明，对作品的完整性、可扩展性和工程实践价值进行再次评估。</w:t>
      </w:r>
    </w:p>
    <w:p w14:paraId="2D5E14DA">
      <w:pPr>
        <w:keepNext/>
        <w:spacing w:before="280" w:after="100"/>
      </w:pPr>
      <w:r>
        <w:rPr>
          <w:rFonts w:ascii="黑体" w:hAnsi="黑体" w:eastAsia="黑体"/>
          <w:b/>
          <w:sz w:val="28"/>
        </w:rPr>
        <w:t>二、作品概述</w:t>
      </w:r>
    </w:p>
    <w:p w14:paraId="55B71724">
      <w:pPr>
        <w:spacing w:after="80" w:line="300" w:lineRule="auto"/>
        <w:ind w:firstLine="420"/>
      </w:pPr>
      <w:r>
        <w:rPr>
          <w:rFonts w:ascii="宋体" w:hAnsi="宋体" w:eastAsia="宋体"/>
          <w:sz w:val="21"/>
        </w:rPr>
        <w:t>MoSim 是一个基于 MWORKS 构建的四旋翼位姿控制与智能仿真验证平台。项目以云纵150实物的结构、装配关系、旋翼位置和传感器安装关系为参考，建立可追溯的虚拟机体与参数 Profile；在统一的四旋翼动力学 Plant 上接入多类位置、姿态和力矩控制器，并通过 Adapter、Runner 和 Profile 约定不同控制器的输入输出边界。</w:t>
      </w:r>
    </w:p>
    <w:p w14:paraId="3BD54676">
      <w:pPr>
        <w:spacing w:after="80" w:line="300" w:lineRule="auto"/>
        <w:ind w:firstLine="420"/>
      </w:pPr>
      <w:r>
        <w:rPr>
          <w:rFonts w:ascii="宋体" w:hAnsi="宋体" w:eastAsia="宋体"/>
          <w:sz w:val="21"/>
        </w:rPr>
        <w:t>下图展示项目的云纵150参照装配体。评审可从机架、旋翼、防护结构和机载设备的相对布置，理解参数 Profile 中旋翼位置、机臂长度及传感器安装关系的物理来源。</w:t>
      </w:r>
    </w:p>
    <w:p w14:paraId="381A8674">
      <w:pPr>
        <w:keepNext/>
        <w:spacing w:before="80" w:after="40"/>
        <w:jc w:val="center"/>
      </w:pPr>
      <w:r>
        <w:drawing>
          <wp:inline distT="0" distB="0" distL="114300" distR="114300">
            <wp:extent cx="5615940" cy="302704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15940" cy="3027342"/>
                    </a:xfrm>
                    <a:prstGeom prst="rect">
                      <a:avLst/>
                    </a:prstGeom>
                  </pic:spPr>
                </pic:pic>
              </a:graphicData>
            </a:graphic>
          </wp:inline>
        </w:drawing>
      </w:r>
    </w:p>
    <w:p w14:paraId="208F67AD">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1</w:t>
      </w:r>
      <w:r>
        <w:fldChar w:fldCharType="end"/>
      </w:r>
      <w:r>
        <w:rPr>
          <w:rFonts w:ascii="宋体" w:hAnsi="宋体" w:eastAsia="宋体"/>
          <w:sz w:val="19"/>
        </w:rPr>
        <w:t>　云纵150参照虚拟机体与装配关系</w:t>
      </w:r>
    </w:p>
    <w:p w14:paraId="4FECBDC5">
      <w:pPr>
        <w:spacing w:after="80" w:line="300" w:lineRule="auto"/>
        <w:ind w:firstLine="420"/>
      </w:pPr>
      <w:r>
        <w:rPr>
          <w:rFonts w:ascii="宋体" w:hAnsi="宋体" w:eastAsia="宋体"/>
          <w:sz w:val="21"/>
        </w:rPr>
        <w:t>平台覆盖名义轨迹、风扰、参数失配、电机效率故障和多机参考任务等配置入口，支持在 MWORKS 中进行模型检查、人工仿真和结果复核。团队自研 px4ctrl 完整闭环控制器已完成从 MWORKS 图形建模到 C99、编译共享库、CFunction 接入和 50 s SIL 对比的交付链路。MoSim Studio 则将配置编写、模型入口、代码生成入口和本地引导集成到一个面向操作者的界面中。</w:t>
      </w:r>
    </w:p>
    <w:p w14:paraId="0295F934">
      <w:pPr>
        <w:spacing w:after="80" w:line="300" w:lineRule="auto"/>
        <w:ind w:firstLine="420"/>
      </w:pPr>
      <w:r>
        <w:rPr>
          <w:rFonts w:ascii="宋体" w:hAnsi="宋体" w:eastAsia="宋体"/>
          <w:sz w:val="21"/>
        </w:rPr>
        <w:t>在运行时部署方面，px4ctrl 的 C99 生成物已形成从 MWORKS SIL 延伸到 ROS1/Gazebo/PX4 运行时的分段取证链：生成控制核心通过 ROS 适配器接入 MAVROS、PX4 SITL 和 Gazebo 中的 Sunray150/MID360 数据链，FAST-LIO 与 PX4 EKF 的状态通路也在对应运行记录中保留。</w:t>
      </w:r>
      <w:r>
        <w:rPr>
          <w:rFonts w:ascii="Consolas" w:hAnsi="Consolas" w:eastAsia="等线"/>
          <w:sz w:val="19"/>
        </w:rPr>
        <w:t>Results/sunray_ros1/</w:t>
      </w:r>
      <w:r>
        <w:rPr>
          <w:rFonts w:ascii="宋体" w:hAnsi="宋体" w:eastAsia="宋体"/>
          <w:sz w:val="21"/>
        </w:rPr>
        <w:t xml:space="preserve"> 下的带时间戳目录记录了名义生命周期、受限风扰、有限转子效率故障、FUEL 回放和编队相关实验；这些材料证明相应运行时环节可被复核，但不自动等同于全部任务闭环通过或实机部署。</w:t>
      </w:r>
    </w:p>
    <w:p w14:paraId="629EBCC3">
      <w:pPr>
        <w:keepNext/>
        <w:spacing w:before="280" w:after="100"/>
      </w:pPr>
      <w:r>
        <w:rPr>
          <w:rFonts w:ascii="黑体" w:hAnsi="黑体" w:eastAsia="黑体"/>
          <w:b/>
          <w:sz w:val="28"/>
        </w:rPr>
        <w:t>三、作品亮点</w:t>
      </w:r>
    </w:p>
    <w:p w14:paraId="3180E169">
      <w:pPr>
        <w:keepNext/>
        <w:spacing w:before="200" w:after="100"/>
      </w:pPr>
      <w:r>
        <w:rPr>
          <w:rFonts w:ascii="黑体" w:hAnsi="黑体" w:eastAsia="黑体"/>
          <w:b/>
          <w:sz w:val="25"/>
        </w:rPr>
        <w:t>1. 以云纵150为参照的可追溯虚拟机体</w:t>
      </w:r>
    </w:p>
    <w:p w14:paraId="7BCA23AB">
      <w:pPr>
        <w:spacing w:after="80" w:line="300" w:lineRule="auto"/>
        <w:ind w:firstLine="420"/>
      </w:pPr>
      <w:r>
        <w:rPr>
          <w:rFonts w:ascii="宋体" w:hAnsi="宋体" w:eastAsia="宋体"/>
          <w:sz w:val="21"/>
        </w:rPr>
        <w:t>项目不是采用抽象的理想四旋翼作为唯一对象，而是以云纵150实物的结构和装配关系为参照建立虚拟机体。机架尺寸、旋翼中心、机臂和传感器安装位姿按照实物测量与装配关系组织到参数 Profile 中，质量、惯量、推力/反扭矩系数和电机动态则按来源分层记录。</w:t>
      </w:r>
    </w:p>
    <w:p w14:paraId="2B0D1778">
      <w:pPr>
        <w:spacing w:after="80" w:line="300" w:lineRule="auto"/>
        <w:ind w:firstLine="420"/>
      </w:pPr>
      <w:r>
        <w:rPr>
          <w:rFonts w:ascii="宋体" w:hAnsi="宋体" w:eastAsia="宋体"/>
          <w:sz w:val="21"/>
        </w:rPr>
        <w:t>这种分层方式把“物理结构来源”和“工程种子参数”明确区分：当前模型可以用于控制器接口、闭环行为和场景注入的统一验证；后续如果获得动力台数据或飞行日志，也可以逐项替换参数而不破坏控制器和 Runner 接口。项目因此形成了从装配关系到 Modelica 参数的回溯路径，而不是把参数作为无法解释的常数散落在代码中。</w:t>
      </w:r>
    </w:p>
    <w:p w14:paraId="0A2D4CBB">
      <w:pPr>
        <w:keepNext/>
        <w:spacing w:before="200" w:after="100"/>
      </w:pPr>
      <w:r>
        <w:rPr>
          <w:rFonts w:ascii="黑体" w:hAnsi="黑体" w:eastAsia="黑体"/>
          <w:b/>
          <w:sz w:val="25"/>
        </w:rPr>
        <w:t>2. 多控制器规模与统一接入合同</w:t>
      </w:r>
    </w:p>
    <w:p w14:paraId="14D4FB09">
      <w:pPr>
        <w:spacing w:after="80" w:line="300" w:lineRule="auto"/>
        <w:ind w:firstLine="420"/>
      </w:pPr>
      <w:r>
        <w:rPr>
          <w:rFonts w:ascii="宋体" w:hAnsi="宋体" w:eastAsia="宋体"/>
          <w:sz w:val="21"/>
        </w:rPr>
        <w:t>项目以 48 条控制器路线作为 Studio 的统一入口清单，其中包含 46 个 MWORKS Modelica 控制模块，以及 Official PID、px4ctrl 两条基线。48 表示用户可选择和打开的控制器入口数，46 表示算法控制模块数；二者都不代表 48 条控制器全部通过性能测试。项目在报告中将设计存在、实现存在、可打开和性能证据分开登记。</w:t>
      </w:r>
    </w:p>
    <w:p w14:paraId="1FBC5302">
      <w:pPr>
        <w:spacing w:after="80" w:line="300" w:lineRule="auto"/>
        <w:ind w:firstLine="420"/>
      </w:pPr>
      <w:r>
        <w:rPr>
          <w:rFonts w:ascii="宋体" w:hAnsi="宋体" w:eastAsia="宋体"/>
          <w:sz w:val="21"/>
        </w:rPr>
        <w:t>统一架构将任务、标称控制、增强补偿、安全、故障容错、分配器、Plant 与指标置于同一数据流中。图中需要重点观察的是控制器族并不直接绕过 Plant，而是通过统一输出边界和分配器进入同一个整机验证闭环。</w:t>
      </w:r>
    </w:p>
    <w:p w14:paraId="2A50185A">
      <w:pPr>
        <w:keepNext/>
        <w:spacing w:before="80" w:after="40"/>
        <w:jc w:val="center"/>
      </w:pPr>
      <w:r>
        <w:drawing>
          <wp:inline distT="0" distB="0" distL="114300" distR="114300">
            <wp:extent cx="5615940" cy="316039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615940" cy="3160645"/>
                    </a:xfrm>
                    <a:prstGeom prst="rect">
                      <a:avLst/>
                    </a:prstGeom>
                  </pic:spPr>
                </pic:pic>
              </a:graphicData>
            </a:graphic>
          </wp:inline>
        </w:drawing>
      </w:r>
    </w:p>
    <w:p w14:paraId="6B4C2AB5">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2</w:t>
      </w:r>
      <w:r>
        <w:fldChar w:fldCharType="end"/>
      </w:r>
      <w:r>
        <w:rPr>
          <w:rFonts w:ascii="宋体" w:hAnsi="宋体" w:eastAsia="宋体"/>
          <w:sz w:val="19"/>
        </w:rPr>
        <w:t>　控制器族分层接入与统一接口架构</w:t>
      </w:r>
    </w:p>
    <w:p w14:paraId="15252051">
      <w:pPr>
        <w:spacing w:after="80" w:line="300" w:lineRule="auto"/>
        <w:ind w:firstLine="420"/>
      </w:pPr>
      <w:r>
        <w:rPr>
          <w:rFonts w:ascii="宋体" w:hAnsi="宋体" w:eastAsia="宋体"/>
          <w:sz w:val="21"/>
        </w:rPr>
        <w:t>不同控制器通过统一合同接入公共 Plant，主要输出边界包括：</w:t>
      </w:r>
    </w:p>
    <w:p w14:paraId="37FF32B4">
      <w:pPr>
        <w:spacing w:after="80" w:line="300" w:lineRule="auto"/>
      </w:pPr>
      <w:r>
        <w:rPr>
          <w:rFonts w:ascii="宋体" w:hAnsi="宋体" w:eastAsia="宋体"/>
          <w:sz w:val="21"/>
        </w:rPr>
        <w:t>(1) ATTITUDE_THRUST：姿态与总推力输出； (2) BODY_RATE_THRUST：角速度与总推力输出； (3) WRENCH：合力与合力矩输出； (4) ROTOR_COMMAND：四路旋翼命令输出。</w:t>
      </w:r>
    </w:p>
    <w:p w14:paraId="70FEE805">
      <w:pPr>
        <w:spacing w:after="80" w:line="300" w:lineRule="auto"/>
        <w:ind w:firstLine="420"/>
      </w:pPr>
      <w:r>
        <w:rPr>
          <w:rFonts w:ascii="宋体" w:hAnsi="宋体" w:eastAsia="宋体"/>
          <w:sz w:val="21"/>
        </w:rPr>
        <w:t>Adapter 负责控制器边界适配，Runner 负责整机实验入口，Profile 负责轨迹、采样、扰动和故障参数。这样的结构使控制器可以在保持被控对象、指标和结果读取方式一致的前提下替换，支持后续继续接入和比较不同控制算法。</w:t>
      </w:r>
    </w:p>
    <w:p w14:paraId="3A73C083">
      <w:pPr>
        <w:keepNext/>
        <w:spacing w:before="200" w:after="100"/>
      </w:pPr>
      <w:r>
        <w:rPr>
          <w:rFonts w:ascii="黑体" w:hAnsi="黑体" w:eastAsia="黑体"/>
          <w:b/>
          <w:sz w:val="25"/>
        </w:rPr>
        <w:t>3. 团队自研 px4ctrl 完整闭环控制器</w:t>
      </w:r>
    </w:p>
    <w:p w14:paraId="0C5D8017">
      <w:pPr>
        <w:spacing w:after="80" w:line="300" w:lineRule="auto"/>
        <w:ind w:firstLine="420"/>
      </w:pPr>
      <w:r>
        <w:rPr>
          <w:rFonts w:ascii="宋体" w:hAnsi="宋体" w:eastAsia="宋体"/>
          <w:sz w:val="21"/>
        </w:rPr>
        <w:t>项目首先以 Official PID 作为同条件比较基线，并在此基础上完成团队自研 px4ctrl 完整闭环控制器。该控制器面向云纵150参照机体，在 MWORKS 中实现位置/速度控制、姿态与角速度控制、控制分配和统一输出接口；通过 EquationBridge 与整机 Plant 连接，形成可审查、可运行、可导出的闭环控制链。</w:t>
      </w:r>
    </w:p>
    <w:p w14:paraId="4D29FD4C">
      <w:pPr>
        <w:spacing w:after="80" w:line="300" w:lineRule="auto"/>
        <w:ind w:firstLine="420"/>
      </w:pPr>
      <w:r>
        <w:rPr>
          <w:rFonts w:ascii="宋体" w:hAnsi="宋体" w:eastAsia="宋体"/>
          <w:sz w:val="21"/>
        </w:rPr>
        <w:t>图中需要重点观察的是：位置与速度状态从左侧进入控制逻辑，图形模型在中部完成期望加速度、姿态和推力的计算，右侧输出进入后续姿态环、角速度环和控制分配。该结构不是单独的公式或静态截图，而是已接入 FormalRunner 的完整闭环控制器实现。</w:t>
      </w:r>
    </w:p>
    <w:p w14:paraId="4FE7A7CB">
      <w:pPr>
        <w:keepNext/>
        <w:spacing w:before="80" w:after="40"/>
        <w:jc w:val="center"/>
      </w:pPr>
      <w:r>
        <w:drawing>
          <wp:inline distT="0" distB="0" distL="114300" distR="114300">
            <wp:extent cx="5615940" cy="3044825"/>
            <wp:effectExtent l="0" t="0" r="762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15940" cy="3045416"/>
                    </a:xfrm>
                    <a:prstGeom prst="rect">
                      <a:avLst/>
                    </a:prstGeom>
                  </pic:spPr>
                </pic:pic>
              </a:graphicData>
            </a:graphic>
          </wp:inline>
        </w:drawing>
      </w:r>
    </w:p>
    <w:p w14:paraId="2A7445E2">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3</w:t>
      </w:r>
      <w:r>
        <w:fldChar w:fldCharType="end"/>
      </w:r>
      <w:r>
        <w:rPr>
          <w:rFonts w:ascii="宋体" w:hAnsi="宋体" w:eastAsia="宋体"/>
          <w:sz w:val="19"/>
        </w:rPr>
        <w:t>　团队自研 px4ctrl 完整闭环控制器的 MWORKS 图形化实现</w:t>
      </w:r>
    </w:p>
    <w:p w14:paraId="5050898F">
      <w:pPr>
        <w:spacing w:after="80" w:line="300" w:lineRule="auto"/>
        <w:ind w:firstLine="420"/>
      </w:pPr>
      <w:r>
        <w:rPr>
          <w:rFonts w:ascii="宋体" w:hAnsi="宋体" w:eastAsia="宋体"/>
          <w:sz w:val="21"/>
        </w:rPr>
        <w:t>该实现将控制器设计、统一接口、整机建模、代码生成和 SIL 复核组织为同一条工程链。评审既可以从图形模型审查控制结构，也可以从对应 Runner、Profile、生成 C 文件和 SIL 记录复核其闭环行为。</w:t>
      </w:r>
    </w:p>
    <w:p w14:paraId="7259F46D">
      <w:pPr>
        <w:spacing w:after="80" w:line="300" w:lineRule="auto"/>
        <w:ind w:firstLine="420"/>
      </w:pPr>
      <w:r>
        <w:rPr>
          <w:rFonts w:ascii="宋体" w:hAnsi="宋体" w:eastAsia="宋体"/>
          <w:sz w:val="21"/>
        </w:rPr>
        <w:t>相对 Official PID 基线的核心优势。在同一组冻结且有效的实验 Profile 下，团队自研 px4ctrl 在阶跃、风扰和 Figure8 三类代表任务中分别体现出快速跟踪、扰动恢复和连续曲线跟踪优势：</w:t>
      </w:r>
    </w:p>
    <w:p w14:paraId="7783A0E0">
      <w:pPr>
        <w:spacing w:after="80" w:line="300" w:lineRule="auto"/>
      </w:pPr>
      <w:r>
        <w:rPr>
          <w:rFonts w:ascii="宋体" w:hAnsi="宋体" w:eastAsia="宋体"/>
          <w:sz w:val="21"/>
        </w:rPr>
        <w:t>(1) 阶跃响应的 RMSE 从 0.2832 m 降至 0.1989 m，最大超调从 137.49% 降至 9.24%；px4ctrl 在 3.83 s 进入调节带，Official PID 在 45 s 观察窗内仍未完成调节。 (2) 风扰任务的 RMSE 从 0.3365 m 降至 0.1613 m，降低 52.1%。 (3) Figure8 任务的 RMSE 从 0.3053 m 降至 0.0814 m，降低 73.3%。</w:t>
      </w:r>
    </w:p>
    <w:p w14:paraId="44DFACEE">
      <w:pPr>
        <w:spacing w:after="80" w:line="300" w:lineRule="auto"/>
        <w:ind w:firstLine="420"/>
      </w:pPr>
      <w:r>
        <w:rPr>
          <w:rFonts w:ascii="宋体" w:hAnsi="宋体" w:eastAsia="宋体"/>
          <w:sz w:val="21"/>
        </w:rPr>
        <w:t>这些差异对应 px4ctrl 的参考加速度前馈、显式重力补偿和三轴独立位置/速度反馈设计。该比较不包装为所有场景下的全面胜出：Official PID 在悬停和当前参数失配有效记录中更低，电机效率故障的两条记录均不足以构成完整性能对比；这些边界随结果一并保留，便于评审按任务类型理解控制器适用性。</w:t>
      </w:r>
    </w:p>
    <w:p w14:paraId="20C37157">
      <w:pPr>
        <w:keepNext/>
        <w:spacing w:before="200" w:after="100"/>
      </w:pPr>
      <w:r>
        <w:rPr>
          <w:rFonts w:ascii="黑体" w:hAnsi="黑体" w:eastAsia="黑体"/>
          <w:b/>
          <w:sz w:val="25"/>
        </w:rPr>
        <w:t>4. 同条件任务下的结果对比</w:t>
      </w:r>
    </w:p>
    <w:p w14:paraId="21F5BFD1">
      <w:pPr>
        <w:spacing w:after="80" w:line="300" w:lineRule="auto"/>
        <w:ind w:firstLine="420"/>
      </w:pPr>
      <w:r>
        <w:rPr>
          <w:rFonts w:ascii="宋体" w:hAnsi="宋体" w:eastAsia="宋体"/>
          <w:sz w:val="21"/>
        </w:rPr>
        <w:t>为了避免只展示单次名义轨迹，项目将 Official PID 与团队自研 px4ctrl 放在同一组冻结实验 Profile 下进行对比。下面三张曲线分别选择阶跃、风扰和 Figure8 三类代表任务，直接展示两条路线随时间变化的位置误差，而非仅给出单一汇总数值。</w:t>
      </w:r>
    </w:p>
    <w:p w14:paraId="6C0035C9">
      <w:pPr>
        <w:spacing w:after="80" w:line="300" w:lineRule="auto"/>
        <w:ind w:firstLine="420"/>
      </w:pPr>
      <w:r>
        <w:rPr>
          <w:rFonts w:ascii="宋体" w:hAnsi="宋体" w:eastAsia="宋体"/>
          <w:sz w:val="21"/>
        </w:rPr>
        <w:t xml:space="preserve">在阶跃响应任务中，控制器需要同时完成快速跟踪和过渡过程收敛。曲线图例给出 Official PID 的位置 RMSE 为 </w:t>
      </w:r>
      <w:r>
        <w:rPr>
          <w:rFonts w:ascii="Consolas" w:hAnsi="Consolas" w:eastAsia="等线"/>
          <w:sz w:val="19"/>
        </w:rPr>
        <w:t>0.2832 m</w:t>
      </w:r>
      <w:r>
        <w:rPr>
          <w:rFonts w:ascii="宋体" w:hAnsi="宋体" w:eastAsia="宋体"/>
          <w:sz w:val="21"/>
        </w:rPr>
        <w:t xml:space="preserve">、px4ctrl 为 </w:t>
      </w:r>
      <w:r>
        <w:rPr>
          <w:rFonts w:ascii="Consolas" w:hAnsi="Consolas" w:eastAsia="等线"/>
          <w:sz w:val="19"/>
        </w:rPr>
        <w:t>0.1989 m</w:t>
      </w:r>
      <w:r>
        <w:rPr>
          <w:rFonts w:ascii="宋体" w:hAnsi="宋体" w:eastAsia="宋体"/>
          <w:sz w:val="21"/>
        </w:rPr>
        <w:t>；可以观察到 px4ctrl 在扰动后的误差衰减更快，并保持更小的后续误差。</w:t>
      </w:r>
    </w:p>
    <w:p w14:paraId="6AD9FD50">
      <w:pPr>
        <w:keepNext/>
        <w:spacing w:before="80" w:after="40"/>
        <w:jc w:val="center"/>
      </w:pPr>
      <w:r>
        <w:drawing>
          <wp:inline distT="0" distB="0" distL="114300" distR="114300">
            <wp:extent cx="5615940" cy="3369310"/>
            <wp:effectExtent l="0" t="0" r="762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615940" cy="3369564"/>
                    </a:xfrm>
                    <a:prstGeom prst="rect">
                      <a:avLst/>
                    </a:prstGeom>
                  </pic:spPr>
                </pic:pic>
              </a:graphicData>
            </a:graphic>
          </wp:inline>
        </w:drawing>
      </w:r>
    </w:p>
    <w:p w14:paraId="23B5087D">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4</w:t>
      </w:r>
      <w:r>
        <w:fldChar w:fldCharType="end"/>
      </w:r>
      <w:r>
        <w:rPr>
          <w:rFonts w:ascii="宋体" w:hAnsi="宋体" w:eastAsia="宋体"/>
          <w:sz w:val="19"/>
        </w:rPr>
        <w:t>　Official PID 与团队自研 px4ctrl 在阶跃响应任务中的位置误差对比</w:t>
      </w:r>
    </w:p>
    <w:p w14:paraId="56DE70D7">
      <w:pPr>
        <w:spacing w:after="80" w:line="300" w:lineRule="auto"/>
        <w:ind w:firstLine="420"/>
      </w:pPr>
      <w:r>
        <w:rPr>
          <w:rFonts w:ascii="宋体" w:hAnsi="宋体" w:eastAsia="宋体"/>
          <w:sz w:val="21"/>
        </w:rPr>
        <w:t xml:space="preserve">风扰任务进一步考察外部横向扰动下的闭环恢复能力。该条件下 Official PID 的位置 RMSE 为 </w:t>
      </w:r>
      <w:r>
        <w:rPr>
          <w:rFonts w:ascii="Consolas" w:hAnsi="Consolas" w:eastAsia="等线"/>
          <w:sz w:val="19"/>
        </w:rPr>
        <w:t>0.3365 m</w:t>
      </w:r>
      <w:r>
        <w:rPr>
          <w:rFonts w:ascii="宋体" w:hAnsi="宋体" w:eastAsia="宋体"/>
          <w:sz w:val="21"/>
        </w:rPr>
        <w:t xml:space="preserve">，px4ctrl 为 </w:t>
      </w:r>
      <w:r>
        <w:rPr>
          <w:rFonts w:ascii="Consolas" w:hAnsi="Consolas" w:eastAsia="等线"/>
          <w:sz w:val="19"/>
        </w:rPr>
        <w:t>0.1613 m</w:t>
      </w:r>
      <w:r>
        <w:rPr>
          <w:rFonts w:ascii="宋体" w:hAnsi="宋体" w:eastAsia="宋体"/>
          <w:sz w:val="21"/>
        </w:rPr>
        <w:t>；曲线反映了两者面对同一风扰 Profile 时不同的稳态误差水平。</w:t>
      </w:r>
    </w:p>
    <w:p w14:paraId="732B4A4F">
      <w:pPr>
        <w:keepNext/>
        <w:spacing w:before="80" w:after="40"/>
        <w:jc w:val="center"/>
      </w:pPr>
      <w:r>
        <w:drawing>
          <wp:inline distT="0" distB="0" distL="114300" distR="114300">
            <wp:extent cx="5615940" cy="3369310"/>
            <wp:effectExtent l="0" t="0" r="762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615940" cy="3369564"/>
                    </a:xfrm>
                    <a:prstGeom prst="rect">
                      <a:avLst/>
                    </a:prstGeom>
                  </pic:spPr>
                </pic:pic>
              </a:graphicData>
            </a:graphic>
          </wp:inline>
        </w:drawing>
      </w:r>
    </w:p>
    <w:p w14:paraId="238195BB">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5</w:t>
      </w:r>
      <w:r>
        <w:fldChar w:fldCharType="end"/>
      </w:r>
      <w:r>
        <w:rPr>
          <w:rFonts w:ascii="宋体" w:hAnsi="宋体" w:eastAsia="宋体"/>
          <w:sz w:val="19"/>
        </w:rPr>
        <w:t>　Official PID 与团队自研 px4ctrl 在风扰任务中的位置误差对比</w:t>
      </w:r>
    </w:p>
    <w:p w14:paraId="44FABDD3">
      <w:pPr>
        <w:spacing w:after="80" w:line="300" w:lineRule="auto"/>
        <w:ind w:firstLine="420"/>
      </w:pPr>
      <w:r>
        <w:rPr>
          <w:rFonts w:ascii="宋体" w:hAnsi="宋体" w:eastAsia="宋体"/>
          <w:sz w:val="21"/>
        </w:rPr>
        <w:t xml:space="preserve">Figure8 轨迹同时包含连续曲率变化与重复转向，能够观察控制器在持续运动中的跟踪稳定性。该任务中 Official PID 的位置 RMSE 为 </w:t>
      </w:r>
      <w:r>
        <w:rPr>
          <w:rFonts w:ascii="Consolas" w:hAnsi="Consolas" w:eastAsia="等线"/>
          <w:sz w:val="19"/>
        </w:rPr>
        <w:t>0.3053 m</w:t>
      </w:r>
      <w:r>
        <w:rPr>
          <w:rFonts w:ascii="宋体" w:hAnsi="宋体" w:eastAsia="宋体"/>
          <w:sz w:val="21"/>
        </w:rPr>
        <w:t xml:space="preserve">，px4ctrl 为 </w:t>
      </w:r>
      <w:r>
        <w:rPr>
          <w:rFonts w:ascii="Consolas" w:hAnsi="Consolas" w:eastAsia="等线"/>
          <w:sz w:val="19"/>
        </w:rPr>
        <w:t>0.0814 m</w:t>
      </w:r>
      <w:r>
        <w:rPr>
          <w:rFonts w:ascii="宋体" w:hAnsi="宋体" w:eastAsia="宋体"/>
          <w:sz w:val="21"/>
        </w:rPr>
        <w:t>，为两条路线在复杂参考轨迹下提供了可直接复核的对照。</w:t>
      </w:r>
    </w:p>
    <w:p w14:paraId="6A149151">
      <w:pPr>
        <w:keepNext/>
        <w:spacing w:before="80" w:after="40"/>
        <w:jc w:val="center"/>
      </w:pPr>
      <w:r>
        <w:drawing>
          <wp:inline distT="0" distB="0" distL="114300" distR="114300">
            <wp:extent cx="5615940" cy="3369310"/>
            <wp:effectExtent l="0" t="0" r="762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615940" cy="3369564"/>
                    </a:xfrm>
                    <a:prstGeom prst="rect">
                      <a:avLst/>
                    </a:prstGeom>
                  </pic:spPr>
                </pic:pic>
              </a:graphicData>
            </a:graphic>
          </wp:inline>
        </w:drawing>
      </w:r>
    </w:p>
    <w:p w14:paraId="5F6DAA96">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6</w:t>
      </w:r>
      <w:r>
        <w:fldChar w:fldCharType="end"/>
      </w:r>
      <w:r>
        <w:rPr>
          <w:rFonts w:ascii="宋体" w:hAnsi="宋体" w:eastAsia="宋体"/>
          <w:sz w:val="19"/>
        </w:rPr>
        <w:t>　Official PID 与团队自研 px4ctrl 在 Figure8 任务中的位置误差对比</w:t>
      </w:r>
    </w:p>
    <w:p w14:paraId="2CC52C47">
      <w:pPr>
        <w:keepNext/>
        <w:spacing w:before="200" w:after="100"/>
      </w:pPr>
      <w:r>
        <w:rPr>
          <w:rFonts w:ascii="黑体" w:hAnsi="黑体" w:eastAsia="黑体"/>
          <w:b/>
          <w:sz w:val="25"/>
        </w:rPr>
        <w:t>5. 可组合的七类场景与故障注入接口</w:t>
      </w:r>
    </w:p>
    <w:p w14:paraId="4382D293">
      <w:pPr>
        <w:spacing w:after="80" w:line="300" w:lineRule="auto"/>
        <w:ind w:firstLine="420"/>
      </w:pPr>
      <w:r>
        <w:rPr>
          <w:rFonts w:ascii="宋体" w:hAnsi="宋体" w:eastAsia="宋体"/>
          <w:sz w:val="21"/>
        </w:rPr>
        <w:t>项目将任务轨迹和场景扰动拆开配置，形成可组合的实验 Profile。当前七类场景包括悬停、阶跃响应、Figure8、螺旋爬升、风扰、参数失配和电机效率故障；风扰、质量/惯量缩放和四路电机效率可以作为独立参数注入，不必为每一种组合重复设计控制器模型。</w:t>
      </w:r>
    </w:p>
    <w:p w14:paraId="3AB9EC4E">
      <w:pPr>
        <w:spacing w:after="80" w:line="300" w:lineRule="auto"/>
        <w:ind w:firstLine="420"/>
      </w:pPr>
      <w:r>
        <w:rPr>
          <w:rFonts w:ascii="宋体" w:hAnsi="宋体" w:eastAsia="宋体"/>
          <w:sz w:val="21"/>
        </w:rPr>
        <w:t>已冻结的两控制器七场景 A/B 证据集包含 Official PID 与 px4ctrl 各 7 条记录，共 14 条记录，其中 12 条为有效记录；两条 50% 转子1 Figure8 故障记录作为异常负样本保留，并在结果中单独说明。该处理方式强调可审计性：失败或异常结果不被删除，也不通过改变故障幅值、开始时刻或判定规则来重新标记为通过。</w:t>
      </w:r>
    </w:p>
    <w:p w14:paraId="560E8C0D">
      <w:pPr>
        <w:spacing w:after="80" w:line="300" w:lineRule="auto"/>
        <w:ind w:firstLine="420"/>
      </w:pPr>
      <w:r>
        <w:rPr>
          <w:rFonts w:ascii="宋体" w:hAnsi="宋体" w:eastAsia="宋体"/>
          <w:sz w:val="21"/>
        </w:rPr>
        <w:t>多机部分以固定三角队形 Figure8 离线参考接入为证据边界，展示多机模型和参考轨迹的组织能力。该证据不扩大解释为在线自主避障、分布式 MPC 或实时可重构编队。</w:t>
      </w:r>
    </w:p>
    <w:p w14:paraId="4F5D0A63">
      <w:pPr>
        <w:keepNext/>
        <w:spacing w:before="200" w:after="100"/>
      </w:pPr>
      <w:r>
        <w:rPr>
          <w:rFonts w:ascii="黑体" w:hAnsi="黑体" w:eastAsia="黑体"/>
          <w:b/>
          <w:sz w:val="25"/>
        </w:rPr>
        <w:t>6. 图形模型到 C99 与 SIL 的连续交付链</w:t>
      </w:r>
    </w:p>
    <w:p w14:paraId="3465CE80">
      <w:pPr>
        <w:spacing w:after="80" w:line="300" w:lineRule="auto"/>
        <w:ind w:firstLine="420"/>
      </w:pPr>
      <w:r>
        <w:rPr>
          <w:rFonts w:ascii="宋体" w:hAnsi="宋体" w:eastAsia="宋体"/>
          <w:sz w:val="21"/>
        </w:rPr>
        <w:t>项目对 px4ctrl 建立了明确的代码生成链：</w:t>
      </w:r>
    </w:p>
    <w:p w14:paraId="3A0A31C0">
      <w:pPr>
        <w:spacing w:after="120" w:line="240" w:lineRule="auto"/>
        <w:ind w:left="420" w:right="420"/>
      </w:pPr>
      <w:r>
        <w:rPr>
          <w:rFonts w:ascii="Consolas" w:hAnsi="Consolas" w:eastAsia="等线"/>
          <w:sz w:val="19"/>
        </w:rPr>
        <w:t>MWORKS 图形 Sysblock</w:t>
      </w:r>
      <w:r>
        <w:br w:type="textWrapping"/>
      </w:r>
      <w:r>
        <w:rPr>
          <w:rFonts w:ascii="Consolas" w:hAnsi="Consolas" w:eastAsia="等线"/>
          <w:sz w:val="19"/>
        </w:rPr>
        <w:t xml:space="preserve">  -&gt; GenerateModelCode 导出 C99</w:t>
      </w:r>
      <w:r>
        <w:br w:type="textWrapping"/>
      </w:r>
      <w:r>
        <w:rPr>
          <w:rFonts w:ascii="Consolas" w:hAnsi="Consolas" w:eastAsia="等线"/>
          <w:sz w:val="19"/>
        </w:rPr>
        <w:t xml:space="preserve">  -&gt; CMake 编译静态库/共享库</w:t>
      </w:r>
      <w:r>
        <w:br w:type="textWrapping"/>
      </w:r>
      <w:r>
        <w:rPr>
          <w:rFonts w:ascii="Consolas" w:hAnsi="Consolas" w:eastAsia="等线"/>
          <w:sz w:val="19"/>
        </w:rPr>
        <w:t xml:space="preserve">  -&gt; CFunction 包装与 FormalRunner 接入</w:t>
      </w:r>
      <w:r>
        <w:br w:type="textWrapping"/>
      </w:r>
      <w:r>
        <w:rPr>
          <w:rFonts w:ascii="Consolas" w:hAnsi="Consolas" w:eastAsia="等线"/>
          <w:sz w:val="19"/>
        </w:rPr>
        <w:t xml:space="preserve">  -&gt; 相同初始条件、求解器和 50 s ClimbPath SIL 对比</w:t>
      </w:r>
    </w:p>
    <w:p w14:paraId="6908FB5C">
      <w:pPr>
        <w:spacing w:after="80" w:line="300" w:lineRule="auto"/>
        <w:ind w:firstLine="420"/>
      </w:pPr>
      <w:r>
        <w:rPr>
          <w:rFonts w:ascii="宋体" w:hAnsi="宋体" w:eastAsia="宋体"/>
          <w:sz w:val="21"/>
        </w:rPr>
        <w:t>代码生成并不是导出一次文件就结束，而是将来源哈希、构建、CFunction 接入和 SIL 比较串联记录。下图展示了该链路中的回退节点，便于区分“生成成功”“数值一致”和“运行时部署完成”这三个不同层次的结论。</w:t>
      </w:r>
    </w:p>
    <w:p w14:paraId="35B22FE8">
      <w:pPr>
        <w:keepNext/>
        <w:spacing w:before="80" w:after="40"/>
        <w:jc w:val="center"/>
      </w:pPr>
      <w:r>
        <w:drawing>
          <wp:inline distT="0" distB="0" distL="114300" distR="114300">
            <wp:extent cx="5615940" cy="3160395"/>
            <wp:effectExtent l="0" t="0" r="762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615940" cy="3160645"/>
                    </a:xfrm>
                    <a:prstGeom prst="rect">
                      <a:avLst/>
                    </a:prstGeom>
                  </pic:spPr>
                </pic:pic>
              </a:graphicData>
            </a:graphic>
          </wp:inline>
        </w:drawing>
      </w:r>
    </w:p>
    <w:p w14:paraId="28BA366D">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7</w:t>
      </w:r>
      <w:r>
        <w:fldChar w:fldCharType="end"/>
      </w:r>
      <w:r>
        <w:rPr>
          <w:rFonts w:ascii="宋体" w:hAnsi="宋体" w:eastAsia="宋体"/>
          <w:sz w:val="19"/>
        </w:rPr>
        <w:t>　从 MWORKS 图形模型到 C99、SIL 与运行时部署的工程链路</w:t>
      </w:r>
    </w:p>
    <w:p w14:paraId="47E671DA">
      <w:pPr>
        <w:spacing w:after="80" w:line="300" w:lineRule="auto"/>
        <w:ind w:firstLine="420"/>
      </w:pPr>
      <w:r>
        <w:rPr>
          <w:rFonts w:ascii="宋体" w:hAnsi="宋体" w:eastAsia="宋体"/>
          <w:sz w:val="21"/>
        </w:rPr>
        <w:t xml:space="preserve">在 MWORKS 全机 CFunction SIL 中，生成 C 与图形基线的差异记录为：位置 RMSE 差 </w:t>
      </w:r>
      <w:r>
        <w:rPr>
          <w:rFonts w:ascii="Consolas" w:hAnsi="Consolas" w:eastAsia="等线"/>
          <w:sz w:val="19"/>
        </w:rPr>
        <w:t>1.1481051588325626e-13 m</w:t>
      </w:r>
      <w:r>
        <w:rPr>
          <w:rFonts w:ascii="宋体" w:hAnsi="宋体" w:eastAsia="宋体"/>
          <w:sz w:val="21"/>
        </w:rPr>
        <w:t xml:space="preserve">，姿态最大差 </w:t>
      </w:r>
      <w:r>
        <w:rPr>
          <w:rFonts w:ascii="Consolas" w:hAnsi="Consolas" w:eastAsia="等线"/>
          <w:sz w:val="19"/>
        </w:rPr>
        <w:t>3.2070318622956506e-12 rad</w:t>
      </w:r>
      <w:r>
        <w:rPr>
          <w:rFonts w:ascii="宋体" w:hAnsi="宋体" w:eastAsia="宋体"/>
          <w:sz w:val="21"/>
        </w:rPr>
        <w:t xml:space="preserve">，旋翼指令最大差 </w:t>
      </w:r>
      <w:r>
        <w:rPr>
          <w:rFonts w:ascii="Consolas" w:hAnsi="Consolas" w:eastAsia="等线"/>
          <w:sz w:val="19"/>
        </w:rPr>
        <w:t>7.354117315117037e-11 rad/s</w:t>
      </w:r>
      <w:r>
        <w:rPr>
          <w:rFonts w:ascii="宋体" w:hAnsi="宋体" w:eastAsia="宋体"/>
          <w:sz w:val="21"/>
        </w:rPr>
        <w:t>。这些数值说明当前生成代码在该 MWORKS SIL 条件下与图形模型保持数值一致。</w:t>
      </w:r>
    </w:p>
    <w:p w14:paraId="4F38E7FC">
      <w:pPr>
        <w:spacing w:after="80" w:line="300" w:lineRule="auto"/>
        <w:ind w:firstLine="420"/>
      </w:pPr>
      <w:r>
        <w:rPr>
          <w:rFonts w:ascii="宋体" w:hAnsi="宋体" w:eastAsia="宋体"/>
          <w:sz w:val="21"/>
        </w:rPr>
        <w:t>该等价性证据的边界也被明确记录：它证明的是 MWORKS 图形模型到 CFunction 的 SIL 链路，不自动等同于生成 C 已完成 Gazebo/PX4 运行时部署。运行时部署需要按照独立的 ROS1/Gazebo/PX4 证据链复核。</w:t>
      </w:r>
    </w:p>
    <w:p w14:paraId="233F59A7">
      <w:pPr>
        <w:keepNext/>
        <w:spacing w:before="200" w:after="100"/>
      </w:pPr>
      <w:r>
        <w:rPr>
          <w:rFonts w:ascii="黑体" w:hAnsi="黑体" w:eastAsia="黑体"/>
          <w:b/>
          <w:sz w:val="25"/>
        </w:rPr>
        <w:t>7. 面向操作者的 MoSim Studio 工作区</w:t>
      </w:r>
    </w:p>
    <w:p w14:paraId="07F90AD5">
      <w:pPr>
        <w:spacing w:after="80" w:line="300" w:lineRule="auto"/>
        <w:ind w:firstLine="420"/>
      </w:pPr>
      <w:r>
        <w:rPr>
          <w:rFonts w:ascii="宋体" w:hAnsi="宋体" w:eastAsia="宋体"/>
          <w:sz w:val="21"/>
        </w:rPr>
        <w:t>MoSim Studio 基于 MWORKS.Syslab TyAppDesigner 构建，提供四个工作区：在线建模验证、实时联合仿真、代码生成和 MoSim 助手。APP 负责实验 Profile 编写、控制器和任务选择、能力状态提示以及 MWORKS 模型/结果/代码入口组织；模型检查、人工仿真、原生结果查看和代码导出仍由操作者在 MWORKS 原生界面中确认和触发。</w:t>
      </w:r>
    </w:p>
    <w:p w14:paraId="6013F9C0">
      <w:pPr>
        <w:spacing w:after="80" w:line="300" w:lineRule="auto"/>
        <w:ind w:firstLine="420"/>
      </w:pPr>
      <w:r>
        <w:rPr>
          <w:rFonts w:ascii="宋体" w:hAnsi="宋体" w:eastAsia="宋体"/>
          <w:sz w:val="21"/>
        </w:rPr>
        <w:t>MoSim Studio 的五张操作界面覆盖了四个工作区和两种助手会话状态。它们不是结果截图的替代物，而是将控制器、任务、场景、模型入口和代码生成入口组织为可供操作者逐项确认的操作界面。</w:t>
      </w:r>
    </w:p>
    <w:p w14:paraId="7C5A9F90">
      <w:pPr>
        <w:spacing w:after="80" w:line="300" w:lineRule="auto"/>
        <w:ind w:firstLine="420"/>
      </w:pPr>
      <w:r>
        <w:rPr>
          <w:rFonts w:ascii="宋体" w:hAnsi="宋体" w:eastAsia="宋体"/>
          <w:sz w:val="21"/>
        </w:rPr>
        <w:t>在线建模验证工作区把验证任务、控制器选择和场景参数放在同一界面。图中可直接看到任务选择、控制器族与实例、风扰、参数失配、电机效率和故障开始时刻等配置项，这些值会冻结为可追溯的任务配置后再交由 MWORKS 执行。</w:t>
      </w:r>
    </w:p>
    <w:p w14:paraId="0F393258">
      <w:pPr>
        <w:keepNext/>
        <w:spacing w:before="80" w:after="40"/>
        <w:jc w:val="center"/>
      </w:pPr>
      <w:r>
        <w:drawing>
          <wp:inline distT="0" distB="0" distL="114300" distR="114300">
            <wp:extent cx="5615940" cy="3002915"/>
            <wp:effectExtent l="0" t="0" r="762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615940" cy="3003441"/>
                    </a:xfrm>
                    <a:prstGeom prst="rect">
                      <a:avLst/>
                    </a:prstGeom>
                  </pic:spPr>
                </pic:pic>
              </a:graphicData>
            </a:graphic>
          </wp:inline>
        </w:drawing>
      </w:r>
    </w:p>
    <w:p w14:paraId="612BFC36">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8</w:t>
      </w:r>
      <w:r>
        <w:fldChar w:fldCharType="end"/>
      </w:r>
      <w:r>
        <w:rPr>
          <w:rFonts w:ascii="宋体" w:hAnsi="宋体" w:eastAsia="宋体"/>
          <w:sz w:val="19"/>
        </w:rPr>
        <w:t>　MoSim Studio 在线建模验证工作区</w:t>
      </w:r>
    </w:p>
    <w:p w14:paraId="2ACEA586">
      <w:pPr>
        <w:spacing w:after="80" w:line="300" w:lineRule="auto"/>
        <w:ind w:firstLine="420"/>
      </w:pPr>
      <w:r>
        <w:rPr>
          <w:rFonts w:ascii="宋体" w:hAnsi="宋体" w:eastAsia="宋体"/>
          <w:sz w:val="21"/>
        </w:rPr>
        <w:t>实时联合仿真工作区用于组织 MWORKS、外部运行时和结果查看入口。操作者在该界面确认场景和连接状态后，仍在相应原生工具中触发仿真与运行时操作，保证界面配置与实际执行边界清楚分离。</w:t>
      </w:r>
    </w:p>
    <w:p w14:paraId="153812DE">
      <w:pPr>
        <w:keepNext/>
        <w:spacing w:before="80" w:after="40"/>
        <w:jc w:val="center"/>
      </w:pPr>
      <w:r>
        <w:drawing>
          <wp:inline distT="0" distB="0" distL="114300" distR="114300">
            <wp:extent cx="5615940" cy="3002915"/>
            <wp:effectExtent l="0" t="0" r="762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615940" cy="3003441"/>
                    </a:xfrm>
                    <a:prstGeom prst="rect">
                      <a:avLst/>
                    </a:prstGeom>
                  </pic:spPr>
                </pic:pic>
              </a:graphicData>
            </a:graphic>
          </wp:inline>
        </w:drawing>
      </w:r>
    </w:p>
    <w:p w14:paraId="243499DF">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9</w:t>
      </w:r>
      <w:r>
        <w:fldChar w:fldCharType="end"/>
      </w:r>
      <w:r>
        <w:rPr>
          <w:rFonts w:ascii="宋体" w:hAnsi="宋体" w:eastAsia="宋体"/>
          <w:sz w:val="19"/>
        </w:rPr>
        <w:t>　MoSim Studio 实时联合仿真工作区</w:t>
      </w:r>
    </w:p>
    <w:p w14:paraId="11E0BC61">
      <w:pPr>
        <w:spacing w:after="80" w:line="300" w:lineRule="auto"/>
        <w:ind w:firstLine="420"/>
      </w:pPr>
      <w:r>
        <w:rPr>
          <w:rFonts w:ascii="宋体" w:hAnsi="宋体" w:eastAsia="宋体"/>
          <w:sz w:val="21"/>
        </w:rPr>
        <w:t>代码生成工作区把已选控制器、任务配置和 MWORKS 原生代码生成入口集中展示，使图形模型导出、C 构建与后续复核具备明确的操作路径。</w:t>
      </w:r>
    </w:p>
    <w:p w14:paraId="7E3C6A3A">
      <w:pPr>
        <w:keepNext/>
        <w:spacing w:before="80" w:after="40"/>
        <w:jc w:val="center"/>
      </w:pPr>
      <w:r>
        <w:drawing>
          <wp:inline distT="0" distB="0" distL="114300" distR="114300">
            <wp:extent cx="5615940" cy="3002915"/>
            <wp:effectExtent l="0" t="0" r="762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615940" cy="3003441"/>
                    </a:xfrm>
                    <a:prstGeom prst="rect">
                      <a:avLst/>
                    </a:prstGeom>
                  </pic:spPr>
                </pic:pic>
              </a:graphicData>
            </a:graphic>
          </wp:inline>
        </w:drawing>
      </w:r>
    </w:p>
    <w:p w14:paraId="7DE80FCE">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10</w:t>
      </w:r>
      <w:r>
        <w:fldChar w:fldCharType="end"/>
      </w:r>
      <w:r>
        <w:rPr>
          <w:rFonts w:ascii="宋体" w:hAnsi="宋体" w:eastAsia="宋体"/>
          <w:sz w:val="19"/>
        </w:rPr>
        <w:t>　MoSim Studio 生成代码部署工作区</w:t>
      </w:r>
    </w:p>
    <w:p w14:paraId="14423517">
      <w:pPr>
        <w:spacing w:after="80" w:line="300" w:lineRule="auto"/>
        <w:ind w:firstLine="420"/>
      </w:pPr>
      <w:r>
        <w:rPr>
          <w:rFonts w:ascii="宋体" w:hAnsi="宋体" w:eastAsia="宋体"/>
          <w:sz w:val="21"/>
        </w:rPr>
        <w:t>这种设计把复杂工程入口集中到配置层，同时保留 MWORKS 原生工具作为最终操作界面。内置助手是本地上下文引导层，可以读取项目源码、配置和已有证据，帮助用户定位模型、任务和结果；它不直接 arm/takeoff、不发送飞行命令，也不把界面提示当作控制性能证据。</w:t>
      </w:r>
    </w:p>
    <w:p w14:paraId="5D812C6F">
      <w:pPr>
        <w:spacing w:after="80" w:line="300" w:lineRule="auto"/>
        <w:ind w:firstLine="420"/>
      </w:pPr>
      <w:r>
        <w:rPr>
          <w:rFonts w:ascii="宋体" w:hAnsi="宋体" w:eastAsia="宋体"/>
          <w:sz w:val="21"/>
        </w:rPr>
        <w:t>助手会话界面展示当前配置上下文、用户问题和本地分析结果，帮助使用者从 48 条控制器路线、任务 Profile 和结果目录中快速定位需要查看的内容。</w:t>
      </w:r>
    </w:p>
    <w:p w14:paraId="76DBCC35">
      <w:pPr>
        <w:keepNext/>
        <w:spacing w:before="80" w:after="40"/>
        <w:jc w:val="center"/>
      </w:pPr>
      <w:r>
        <w:drawing>
          <wp:inline distT="0" distB="0" distL="114300" distR="114300">
            <wp:extent cx="5615940" cy="3002915"/>
            <wp:effectExtent l="0" t="0" r="762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615940" cy="3003441"/>
                    </a:xfrm>
                    <a:prstGeom prst="rect">
                      <a:avLst/>
                    </a:prstGeom>
                  </pic:spPr>
                </pic:pic>
              </a:graphicData>
            </a:graphic>
          </wp:inline>
        </w:drawing>
      </w:r>
    </w:p>
    <w:p w14:paraId="48D0737C">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11</w:t>
      </w:r>
      <w:r>
        <w:fldChar w:fldCharType="end"/>
      </w:r>
      <w:r>
        <w:rPr>
          <w:rFonts w:ascii="宋体" w:hAnsi="宋体" w:eastAsia="宋体"/>
          <w:sz w:val="19"/>
        </w:rPr>
        <w:t>　MoSim Studio 助手对话与本地项目上下文读取界面</w:t>
      </w:r>
    </w:p>
    <w:p w14:paraId="4BD3EC77">
      <w:pPr>
        <w:spacing w:after="80" w:line="300" w:lineRule="auto"/>
        <w:ind w:firstLine="420"/>
      </w:pPr>
      <w:r>
        <w:rPr>
          <w:rFonts w:ascii="宋体" w:hAnsi="宋体" w:eastAsia="宋体"/>
          <w:sz w:val="21"/>
        </w:rPr>
        <w:t>在连续交互过程中，助手保留当前会话状态并展示分析进度，使操作者可以追踪一次本地查询从配置读取到回答生成的过程。</w:t>
      </w:r>
    </w:p>
    <w:p w14:paraId="19B9965F">
      <w:pPr>
        <w:keepNext/>
        <w:spacing w:before="80" w:after="40"/>
        <w:jc w:val="center"/>
      </w:pPr>
      <w:r>
        <w:drawing>
          <wp:inline distT="0" distB="0" distL="114300" distR="114300">
            <wp:extent cx="5615940" cy="3002915"/>
            <wp:effectExtent l="0" t="0" r="762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615940" cy="3003441"/>
                    </a:xfrm>
                    <a:prstGeom prst="rect">
                      <a:avLst/>
                    </a:prstGeom>
                  </pic:spPr>
                </pic:pic>
              </a:graphicData>
            </a:graphic>
          </wp:inline>
        </w:drawing>
      </w:r>
    </w:p>
    <w:p w14:paraId="4FF765F1">
      <w:pPr>
        <w:pStyle w:val="22"/>
        <w:keepNext/>
        <w:spacing w:before="40" w:after="120"/>
        <w:jc w:val="center"/>
      </w:pPr>
      <w:r>
        <w:rPr>
          <w:rFonts w:ascii="宋体" w:hAnsi="宋体" w:eastAsia="宋体"/>
          <w:sz w:val="19"/>
        </w:rPr>
        <w:t xml:space="preserve">图 </w:t>
      </w:r>
      <w:r>
        <w:fldChar w:fldCharType="begin"/>
      </w:r>
      <w:r>
        <w:instrText xml:space="preserve"> SEQ 图 \* ARABIC </w:instrText>
      </w:r>
      <w:r>
        <w:fldChar w:fldCharType="separate"/>
      </w:r>
      <w:r>
        <w:t>12</w:t>
      </w:r>
      <w:r>
        <w:fldChar w:fldCharType="end"/>
      </w:r>
      <w:r>
        <w:rPr>
          <w:rFonts w:ascii="宋体" w:hAnsi="宋体" w:eastAsia="宋体"/>
          <w:sz w:val="19"/>
        </w:rPr>
        <w:t>　MoSim Studio 助手连续会话与分析状态界面</w:t>
      </w:r>
    </w:p>
    <w:p w14:paraId="716A667C">
      <w:pPr>
        <w:keepNext/>
        <w:spacing w:before="200" w:after="100"/>
      </w:pPr>
      <w:r>
        <w:rPr>
          <w:rFonts w:ascii="黑体" w:hAnsi="黑体" w:eastAsia="黑体"/>
          <w:b/>
          <w:sz w:val="25"/>
        </w:rPr>
        <w:t>8. 证据、源码与复现路径分离管理</w:t>
      </w:r>
    </w:p>
    <w:p w14:paraId="0CD03264">
      <w:pPr>
        <w:spacing w:after="80" w:line="300" w:lineRule="auto"/>
        <w:ind w:firstLine="420"/>
      </w:pPr>
      <w:r>
        <w:rPr>
          <w:rFonts w:ascii="宋体" w:hAnsi="宋体" w:eastAsia="宋体"/>
          <w:sz w:val="21"/>
        </w:rPr>
        <w:t xml:space="preserve">项目以 </w:t>
      </w:r>
      <w:r>
        <w:rPr>
          <w:rFonts w:ascii="Consolas" w:hAnsi="Consolas" w:eastAsia="等线"/>
          <w:sz w:val="19"/>
        </w:rPr>
        <w:t>Models/MoSimQuadrotorModel/package.mo</w:t>
      </w:r>
      <w:r>
        <w:rPr>
          <w:rFonts w:ascii="宋体" w:hAnsi="宋体" w:eastAsia="宋体"/>
          <w:sz w:val="21"/>
        </w:rPr>
        <w:t xml:space="preserve"> 作为正式 Modelica 包根，将源码、配置、结果、APP 和文档分别组织。结果目录中的运行配置、</w:t>
      </w:r>
      <w:r>
        <w:rPr>
          <w:rFonts w:ascii="Consolas" w:hAnsi="Consolas" w:eastAsia="等线"/>
          <w:sz w:val="19"/>
        </w:rPr>
        <w:t>Result.msr</w:t>
      </w:r>
      <w:r>
        <w:rPr>
          <w:rFonts w:ascii="宋体" w:hAnsi="宋体" w:eastAsia="宋体"/>
          <w:sz w:val="21"/>
        </w:rPr>
        <w:t>、原始数据、指标和截图保持同一实验目录归属；代码生成目录另有 CMake、固定向量测试、manifest 和哈希检查脚本。</w:t>
      </w:r>
    </w:p>
    <w:p w14:paraId="60DCD082">
      <w:pPr>
        <w:spacing w:after="80" w:line="300" w:lineRule="auto"/>
        <w:ind w:firstLine="420"/>
      </w:pPr>
      <w:r>
        <w:rPr>
          <w:rFonts w:ascii="宋体" w:hAnsi="宋体" w:eastAsia="宋体"/>
          <w:sz w:val="21"/>
        </w:rPr>
        <w:t>在交付材料中，项目将同时提供：</w:t>
      </w:r>
    </w:p>
    <w:p w14:paraId="7D321836">
      <w:pPr>
        <w:spacing w:after="80" w:line="300" w:lineRule="auto"/>
      </w:pPr>
      <w:r>
        <w:rPr>
          <w:rFonts w:ascii="宋体" w:hAnsi="宋体" w:eastAsia="宋体"/>
          <w:sz w:val="21"/>
        </w:rPr>
        <w:t>(1) 可加载的模型源码与统一接口实现； (2) 可复用的场景和控制器配置文件； (3) 已完成实验的结果与指标文件； (4) C99 代码生成和构建说明； (5) MWORKS/Syslab 前置条件、人工操作步骤和故障排查说明。</w:t>
      </w:r>
    </w:p>
    <w:p w14:paraId="5A8D2EDD">
      <w:pPr>
        <w:spacing w:after="80" w:line="300" w:lineRule="auto"/>
        <w:ind w:firstLine="420"/>
      </w:pPr>
      <w:r>
        <w:rPr>
          <w:rFonts w:ascii="宋体" w:hAnsi="宋体" w:eastAsia="宋体"/>
          <w:sz w:val="21"/>
        </w:rPr>
        <w:t>这样，评审可以分别检查“代码是否存在”“模型能否打开”“仿真是否有结果”和“结论是否有指标依据”，避免把截图、静态检查和运行性能混为一项结论。</w:t>
      </w:r>
    </w:p>
    <w:p w14:paraId="397C0E27">
      <w:pPr>
        <w:keepNext/>
        <w:spacing w:before="200" w:after="100"/>
      </w:pPr>
      <w:r>
        <w:rPr>
          <w:rFonts w:ascii="黑体" w:hAnsi="黑体" w:eastAsia="黑体"/>
          <w:b/>
          <w:sz w:val="25"/>
        </w:rPr>
        <w:t>9. C99 生成代码的 Gazebo/PX4 全栈运行时验证</w:t>
      </w:r>
    </w:p>
    <w:p w14:paraId="4259D289">
      <w:pPr>
        <w:spacing w:after="80" w:line="300" w:lineRule="auto"/>
        <w:ind w:firstLine="420"/>
      </w:pPr>
      <w:r>
        <w:rPr>
          <w:rFonts w:ascii="宋体" w:hAnsi="宋体" w:eastAsia="宋体"/>
          <w:sz w:val="21"/>
        </w:rPr>
        <w:t>px4ctrl 的运行时部署按以下链路组织：MWORKS 图形 px4ctrl → C99 → ROS 适配器 → MAVROS → PX4 SITL → Gazebo（Sunray150 + MID360）→ FAST-LIO → PX4 EKF → 控制器闭环。该链路把 MWORKS 中的控制器实现与运行时的机体、传感器和状态估计接口逐段对齐，便于按记录核查每个边界。</w:t>
      </w:r>
    </w:p>
    <w:p w14:paraId="6EEF2551">
      <w:pPr>
        <w:spacing w:after="80" w:line="300" w:lineRule="auto"/>
      </w:pPr>
      <w:r>
        <w:rPr>
          <w:rFonts w:ascii="宋体" w:hAnsi="宋体" w:eastAsia="宋体"/>
          <w:sz w:val="21"/>
        </w:rPr>
        <w:t>(1) 状态通路。水平 XY 使用 FAST-LIO 融合激光雷达与 IMU 的状态，Z 方向保留激光定高的独立输出；两路状态输入的具体频率、时间窗和有效性以对应 JSON 状态文件为准。 (2) 运行记录。Results/sunray_ros1/ 下已有 status=passed 的名义显示/生命周期、风扰注入和有界转子效率故障恢复记录，分别位于 sunray_ros1_graphical_c99_factory_display_20260731_001/、sunray_ros1_graphical_c99_wind_figure8_20260801_001/ 和 sunray_ros1_graphical_c99_motor_fault_recovery_20260731_002/。 (3) 证据边界。这些 passed 是各自记录的局部状态；其中名义和风扰记录的 claim_boundary 主要指向源内生命周期、显示和记录链，故障记录指向有界 Gazebo 转子效率故障恢复。它们证明生成 C99 已进入 Gazebo/PX4 运行时取证链，不自动等同于 P3 全部质量门通过、实机部署或所有控制器性能通过。</w:t>
      </w:r>
    </w:p>
    <w:p w14:paraId="69D7AFCF">
      <w:pPr>
        <w:keepNext/>
        <w:spacing w:before="200" w:after="100"/>
      </w:pPr>
      <w:r>
        <w:rPr>
          <w:rFonts w:ascii="黑体" w:hAnsi="黑体" w:eastAsia="黑体"/>
          <w:b/>
          <w:sz w:val="25"/>
        </w:rPr>
        <w:t>10. 自主感知与规划能力扩展</w:t>
      </w:r>
    </w:p>
    <w:p w14:paraId="0660FE0A">
      <w:pPr>
        <w:spacing w:after="80" w:line="300" w:lineRule="auto"/>
        <w:ind w:firstLine="420"/>
      </w:pPr>
      <w:r>
        <w:rPr>
          <w:rFonts w:ascii="宋体" w:hAnsi="宋体" w:eastAsia="宋体"/>
          <w:sz w:val="21"/>
        </w:rPr>
        <w:t>在运行时扩展层，项目围绕“感知—建图—规划—执行”保留了多条可复核路径：</w:t>
      </w:r>
    </w:p>
    <w:p w14:paraId="7FB098C4">
      <w:pPr>
        <w:spacing w:after="80" w:line="300" w:lineRule="auto"/>
      </w:pPr>
      <w:r>
        <w:rPr>
          <w:rFonts w:ascii="宋体" w:hAnsi="宋体" w:eastAsia="宋体"/>
          <w:sz w:val="21"/>
        </w:rPr>
        <w:t>(1) FAST-LIO 实时建图。通过 MID360 点云与 IMU 融合提供位姿和地图输入，相关 FAST-LIO/MAVROS gate 记录了实际话题、坐标系、时间窗和输出频率；这些记录用于证明感知链路存在，不把单个 odometry gate 直接解释为完整自主飞行。 (2) Diff-Planner 局部避障。在 FAST-LIO 地图和局部障碍输入上生成满足动力学约束的轨迹，并在对应实验中记录局部重规划、轨迹和安全检查结果；具体实时性和避障是否通过，以各带时间戳目录中的状态文件为准。 (3) FUEL 自主探索。FUEL 记录了未知区域、占据栅格、候选目标和轨迹回放等数据，体现无预设路径的目标选择思路；现有 P4 记录的结论是历史 rosbag/操作地图显示复现，不直接宣称 live Gazebo/PX4 自主探索验收。</w:t>
      </w:r>
    </w:p>
    <w:p w14:paraId="62C17780">
      <w:pPr>
        <w:spacing w:after="80" w:line="300" w:lineRule="auto"/>
        <w:ind w:firstLine="420"/>
      </w:pPr>
      <w:r>
        <w:rPr>
          <w:rFonts w:ascii="宋体" w:hAnsi="宋体" w:eastAsia="宋体"/>
          <w:sz w:val="21"/>
        </w:rPr>
        <w:t>这三项能力在架构上将平台从“跟踪预设轨迹”推进到“根据感知结果选择下一步飞行目标”，但它们属于独立于 MWORKS 控制器性能的感知、规划和显示能力层级，不能用其中一层的记录替代另一层的闭环证据。</w:t>
      </w:r>
    </w:p>
    <w:p w14:paraId="322650A7">
      <w:pPr>
        <w:keepNext/>
        <w:spacing w:before="200" w:after="100"/>
      </w:pPr>
      <w:r>
        <w:rPr>
          <w:rFonts w:ascii="黑体" w:hAnsi="黑体" w:eastAsia="黑体"/>
          <w:b/>
          <w:sz w:val="25"/>
        </w:rPr>
        <w:t>11. Gazebo 三机编队与 AI 辅助开发基础设施</w:t>
      </w:r>
    </w:p>
    <w:p w14:paraId="2C478C85">
      <w:pPr>
        <w:spacing w:after="80" w:line="300" w:lineRule="auto"/>
        <w:ind w:firstLine="420"/>
      </w:pPr>
      <w:r>
        <w:rPr>
          <w:rFonts w:ascii="宋体" w:hAnsi="宋体" w:eastAsia="宋体"/>
          <w:sz w:val="21"/>
        </w:rPr>
        <w:t xml:space="preserve">三机编队方面，平台组织固定三角队形的 Swarm Formation 任务：三架无人机分别运行独立的 PX4 飞控和生成 C99 控制核心，通信拓扑采用 ROS 全连接，各机可读取其他成员的位姿，队形保持由各机本地跟踪偏移参考完成。后续计划接入 Diff-Swarm 动态编队，使队形能够通过分布式在线优化进行重构。现有 </w:t>
      </w:r>
      <w:r>
        <w:rPr>
          <w:rFonts w:ascii="Consolas" w:hAnsi="Consolas" w:eastAsia="等线"/>
          <w:sz w:val="19"/>
        </w:rPr>
        <w:t>Results/sunray_ros1/factory_l2_swarm_formation_*/</w:t>
      </w:r>
      <w:r>
        <w:rPr>
          <w:rFonts w:ascii="宋体" w:hAnsi="宋体" w:eastAsia="宋体"/>
          <w:sz w:val="21"/>
        </w:rPr>
        <w:t xml:space="preserve"> 目录包含编队链路、障碍和指标记录，但不同记录的状态字段并不相同，需按单个 JSON 的 </w:t>
      </w:r>
      <w:r>
        <w:rPr>
          <w:rFonts w:ascii="Consolas" w:hAnsi="Consolas" w:eastAsia="等线"/>
          <w:sz w:val="19"/>
        </w:rPr>
        <w:t>status</w:t>
      </w:r>
      <w:r>
        <w:rPr>
          <w:rFonts w:ascii="宋体" w:hAnsi="宋体" w:eastAsia="宋体"/>
          <w:sz w:val="21"/>
        </w:rPr>
        <w:t xml:space="preserve"> 和 </w:t>
      </w:r>
      <w:r>
        <w:rPr>
          <w:rFonts w:ascii="Consolas" w:hAnsi="Consolas" w:eastAsia="等线"/>
          <w:sz w:val="19"/>
        </w:rPr>
        <w:t>claim_boundary</w:t>
      </w:r>
      <w:r>
        <w:rPr>
          <w:rFonts w:ascii="宋体" w:hAnsi="宋体" w:eastAsia="宋体"/>
          <w:sz w:val="21"/>
        </w:rPr>
        <w:t xml:space="preserve"> 复核，不能合并写成三机最终验收。</w:t>
      </w:r>
    </w:p>
    <w:p w14:paraId="2DF0E727">
      <w:pPr>
        <w:spacing w:after="80" w:line="300" w:lineRule="auto"/>
        <w:ind w:firstLine="420"/>
      </w:pPr>
      <w:r>
        <w:rPr>
          <w:rFonts w:ascii="宋体" w:hAnsi="宋体" w:eastAsia="宋体"/>
          <w:sz w:val="21"/>
        </w:rPr>
        <w:t>AI 助手基础设施方面，项目整理了 95 个领域技能包，将 MWORKS 官方文档按函数签名蒸馏为结构化规则；配置了 8 个 MCP 工具服务器，覆盖 Sysplorer 建模、Syslab 执行、ROS 通信、桌面操作和 3D 建模等任务；固化 56 个工作流定义，覆盖从加载库、建模、仿真到结果整理的操作链。助手还可以调用 Syslab 执行 Julia 代码进行数据分析和可视化；这些能力属于研发与复现辅助基础设施，不替代 MWORKS、Gazebo、PX4 或 ROS 的原生结果证据。</w:t>
      </w:r>
    </w:p>
    <w:p w14:paraId="178F53AE">
      <w:pPr>
        <w:keepNext/>
        <w:spacing w:before="280" w:after="100"/>
      </w:pPr>
      <w:r>
        <w:rPr>
          <w:rFonts w:ascii="黑体" w:hAnsi="黑体" w:eastAsia="黑体"/>
          <w:b/>
          <w:sz w:val="28"/>
        </w:rPr>
        <w:t>四、挑战赛提交版本的重点优化</w:t>
      </w:r>
    </w:p>
    <w:p w14:paraId="3820F265">
      <w:pPr>
        <w:spacing w:after="80" w:line="300" w:lineRule="auto"/>
        <w:ind w:firstLine="420"/>
      </w:pPr>
      <w:r>
        <w:rPr>
          <w:rFonts w:ascii="宋体" w:hAnsi="宋体" w:eastAsia="宋体"/>
          <w:sz w:val="21"/>
        </w:rPr>
        <w:t>针对初赛版本的评审可读性和复现成本，挑战赛提交版本重点完成以下整理：</w:t>
      </w:r>
    </w:p>
    <w:p w14:paraId="752CFAE0">
      <w:pPr>
        <w:spacing w:after="80" w:line="300" w:lineRule="auto"/>
      </w:pPr>
      <w:r>
        <w:rPr>
          <w:rFonts w:ascii="宋体" w:hAnsi="宋体" w:eastAsia="宋体"/>
          <w:sz w:val="21"/>
        </w:rPr>
        <w:t>(1) 统一正文口径。将控制器目录规模、Modelica 模块数、FormalRunner 入口数和有效实验记录数分层列出，删除容易引起误解的合并数字。 (2) 加强公式到实现的回链。每个控制器单元同时给出设计说明、核心公式、Modelica 图形结构和源码入口；Official PID 与 px4ctrl 另行给出推导和工程边界。 (3) 完善场景证据登记。统一记录任务轨迹、风扰、参数失配、电机故障、开始时刻、求解器、采样和结果路径，保留有效记录与负样本。 (4) 收敛代码生成交付。提供生成类名、C 文件清单、SHA-256 manifest、跨平台构建命令、固定向量测试和 SIL 对比结果。 (5) 降低使用门槛。同步完善用户手册、APP 入口说明和干净目录复现步骤，明确 MWORKS/Syslab、C 编译器和可选 Gazebo/ROS/PX4 环境的依赖关系。 (6) 明确能力边界。对 MWORKS 形式化模型证据、CFunction SIL 证据、Gazebo/PX4 运行时证据和显示层截图分别标注，不使用展示层画面替代控制器指标。</w:t>
      </w:r>
    </w:p>
    <w:p w14:paraId="149EAFB2">
      <w:pPr>
        <w:keepNext/>
        <w:spacing w:before="280" w:after="100"/>
      </w:pPr>
      <w:r>
        <w:rPr>
          <w:rFonts w:ascii="黑体" w:hAnsi="黑体" w:eastAsia="黑体"/>
          <w:b/>
          <w:sz w:val="28"/>
        </w:rPr>
        <w:t>五、结语</w:t>
      </w:r>
    </w:p>
    <w:p w14:paraId="13B5A531">
      <w:pPr>
        <w:spacing w:after="80" w:line="300" w:lineRule="auto"/>
        <w:ind w:firstLine="420"/>
      </w:pPr>
      <w:r>
        <w:rPr>
          <w:rFonts w:ascii="宋体" w:hAnsi="宋体" w:eastAsia="宋体"/>
          <w:sz w:val="21"/>
        </w:rPr>
        <w:t>MoSim 的目标是把四旋翼控制算法从公式和单个模型，进一步组织成可配置、可比较、可复现的工程平台。项目已经完成云纵150参照机体建模、统一控制器接口、多场景配置、MWORKS 图形化验证、px4ctrl 代码生成与 SIL 复核以及 Studio 操作入口等多项工作。挑战赛版本将以更清晰的证据索引和更严格的边界说明呈现这些成果。</w:t>
      </w:r>
    </w:p>
    <w:p w14:paraId="306F4127">
      <w:pPr>
        <w:spacing w:after="80" w:line="300" w:lineRule="auto"/>
        <w:ind w:firstLine="420"/>
      </w:pPr>
      <w:r>
        <w:rPr>
          <w:rFonts w:ascii="宋体" w:hAnsi="宋体" w:eastAsia="宋体"/>
          <w:sz w:val="21"/>
        </w:rPr>
        <w:t>挑战赛版本的核心增量，是将验证链从 MWORKS 内部 SIL 延伸到 ROS/Gazebo/PX4 运行时取证：生成 C99 控制核心已在名义生命周期、风扰注入、有限转子故障、FUEL 回放和三机编队等任务中形成分段记录，证明国产建模工具到运行时接口的工程贯通路径。运行时记录仍按各自状态和边界解释，不把局部取证升级为所有任务通过、实机部署或闭环质量门全部通过。</w:t>
      </w:r>
    </w:p>
    <w:p w14:paraId="6A0D9134">
      <w:pPr>
        <w:spacing w:after="80" w:line="300" w:lineRule="auto"/>
        <w:ind w:firstLine="420"/>
      </w:pPr>
      <w:r>
        <w:rPr>
          <w:rFonts w:ascii="宋体" w:hAnsi="宋体" w:eastAsia="宋体"/>
          <w:sz w:val="21"/>
        </w:rPr>
        <w:t>本团队希望获得参加挑战赛的机会，提交经过优化的作品、报告、用户手册和复现材料，请组委会基于完整工程包对作品的技术实现、工程规模、可扩展性和国产工具链实践价值进行再次评估。</w:t>
      </w:r>
    </w:p>
    <w:p w14:paraId="42438671">
      <w:pPr>
        <w:keepNext/>
        <w:spacing w:before="280" w:after="100"/>
      </w:pPr>
      <w:r>
        <w:rPr>
          <w:rFonts w:ascii="黑体" w:hAnsi="黑体" w:eastAsia="黑体"/>
          <w:b/>
          <w:sz w:val="28"/>
        </w:rPr>
        <w:t>六、项目包内证据索引</w:t>
      </w:r>
    </w:p>
    <w:p w14:paraId="0113BF64">
      <w:pPr>
        <w:spacing w:after="80" w:line="300" w:lineRule="auto"/>
        <w:ind w:firstLine="420"/>
      </w:pPr>
      <w:r>
        <w:rPr>
          <w:rFonts w:ascii="宋体" w:hAnsi="宋体" w:eastAsia="宋体"/>
          <w:sz w:val="21"/>
        </w:rPr>
        <w:t>以下路径均为项目包内相对路径，供评审复核；路径所对应的具体结论以文件中的状态字段和说明为准。</w:t>
      </w:r>
    </w:p>
    <w:p w14:paraId="3BA8F3E8">
      <w:pPr>
        <w:pStyle w:val="22"/>
        <w:keepNext/>
        <w:spacing w:before="40" w:after="120"/>
        <w:jc w:val="center"/>
      </w:pPr>
      <w:r>
        <w:rPr>
          <w:rFonts w:ascii="宋体" w:hAnsi="宋体" w:eastAsia="宋体"/>
          <w:sz w:val="19"/>
        </w:rPr>
        <w:t xml:space="preserve">表 </w:t>
      </w:r>
      <w:r>
        <w:fldChar w:fldCharType="begin"/>
      </w:r>
      <w:r>
        <w:instrText xml:space="preserve"> SEQ 表 \* ARABIC </w:instrText>
      </w:r>
      <w:r>
        <w:fldChar w:fldCharType="separate"/>
      </w:r>
      <w:r>
        <w:t>1</w:t>
      </w:r>
      <w:r>
        <w:fldChar w:fldCharType="end"/>
      </w:r>
      <w:r>
        <w:rPr>
          <w:rFonts w:ascii="宋体" w:hAnsi="宋体" w:eastAsia="宋体"/>
          <w:sz w:val="19"/>
        </w:rPr>
        <w:t>　项目包内证据索引</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2"/>
        <w:gridCol w:w="4422"/>
      </w:tblGrid>
      <w:tr w14:paraId="30AD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41" w:type="dxa"/>
            <w:shd w:val="clear" w:color="auto" w:fill="D9E2F3"/>
            <w:tcMar>
              <w:top w:w="80" w:type="dxa"/>
              <w:left w:w="100" w:type="dxa"/>
              <w:bottom w:w="80" w:type="dxa"/>
              <w:right w:w="100" w:type="dxa"/>
            </w:tcMar>
            <w:vAlign w:val="center"/>
          </w:tcPr>
          <w:p w14:paraId="1A74EFF9">
            <w:pPr>
              <w:spacing w:after="0" w:line="252" w:lineRule="auto"/>
              <w:jc w:val="center"/>
            </w:pPr>
            <w:r>
              <w:rPr>
                <w:rFonts w:ascii="宋体" w:hAnsi="宋体" w:eastAsia="宋体"/>
                <w:b/>
                <w:sz w:val="18"/>
              </w:rPr>
              <w:t>证据内容</w:t>
            </w:r>
          </w:p>
        </w:tc>
        <w:tc>
          <w:tcPr>
            <w:tcW w:w="6102" w:type="dxa"/>
            <w:shd w:val="clear" w:color="auto" w:fill="D9E2F3"/>
            <w:tcMar>
              <w:top w:w="80" w:type="dxa"/>
              <w:left w:w="100" w:type="dxa"/>
              <w:bottom w:w="80" w:type="dxa"/>
              <w:right w:w="100" w:type="dxa"/>
            </w:tcMar>
            <w:vAlign w:val="center"/>
          </w:tcPr>
          <w:p w14:paraId="71FB49D3">
            <w:pPr>
              <w:spacing w:after="0" w:line="252" w:lineRule="auto"/>
              <w:jc w:val="center"/>
            </w:pPr>
            <w:r>
              <w:rPr>
                <w:rFonts w:ascii="宋体" w:hAnsi="宋体" w:eastAsia="宋体"/>
                <w:b/>
                <w:sz w:val="18"/>
              </w:rPr>
              <w:t>项目包内路径</w:t>
            </w:r>
          </w:p>
        </w:tc>
      </w:tr>
      <w:tr w14:paraId="781B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1D7E2407">
            <w:pPr>
              <w:spacing w:after="0" w:line="252" w:lineRule="auto"/>
              <w:jc w:val="left"/>
            </w:pPr>
            <w:r>
              <w:rPr>
                <w:rFonts w:ascii="宋体" w:hAnsi="宋体" w:eastAsia="宋体"/>
                <w:sz w:val="18"/>
              </w:rPr>
              <w:t>正式 Modelica 包根</w:t>
            </w:r>
          </w:p>
        </w:tc>
        <w:tc>
          <w:tcPr>
            <w:tcW w:w="6102" w:type="dxa"/>
            <w:tcMar>
              <w:top w:w="80" w:type="dxa"/>
              <w:left w:w="100" w:type="dxa"/>
              <w:bottom w:w="80" w:type="dxa"/>
              <w:right w:w="100" w:type="dxa"/>
            </w:tcMar>
            <w:vAlign w:val="center"/>
          </w:tcPr>
          <w:p w14:paraId="2A75E63E">
            <w:pPr>
              <w:spacing w:after="0" w:line="252" w:lineRule="auto"/>
              <w:jc w:val="left"/>
            </w:pPr>
            <w:r>
              <w:rPr>
                <w:rFonts w:ascii="宋体" w:hAnsi="宋体" w:eastAsia="宋体"/>
                <w:sz w:val="18"/>
              </w:rPr>
              <w:t>Models/MoSimQuadrotorModel/package.mo</w:t>
            </w:r>
          </w:p>
        </w:tc>
      </w:tr>
      <w:tr w14:paraId="1C7E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66A29BED">
            <w:pPr>
              <w:spacing w:after="0" w:line="252" w:lineRule="auto"/>
              <w:jc w:val="left"/>
            </w:pPr>
            <w:r>
              <w:rPr>
                <w:rFonts w:ascii="宋体" w:hAnsi="宋体" w:eastAsia="宋体"/>
                <w:sz w:val="18"/>
              </w:rPr>
              <w:t>控制器与接口路由矩阵</w:t>
            </w:r>
          </w:p>
        </w:tc>
        <w:tc>
          <w:tcPr>
            <w:tcW w:w="6102" w:type="dxa"/>
            <w:tcMar>
              <w:top w:w="80" w:type="dxa"/>
              <w:left w:w="100" w:type="dxa"/>
              <w:bottom w:w="80" w:type="dxa"/>
              <w:right w:w="100" w:type="dxa"/>
            </w:tcMar>
            <w:vAlign w:val="center"/>
          </w:tcPr>
          <w:p w14:paraId="63738569">
            <w:pPr>
              <w:spacing w:after="0" w:line="252" w:lineRule="auto"/>
              <w:jc w:val="left"/>
            </w:pPr>
            <w:r>
              <w:rPr>
                <w:rFonts w:ascii="宋体" w:hAnsi="宋体" w:eastAsia="宋体"/>
                <w:sz w:val="18"/>
              </w:rPr>
              <w:t>Config/control_platform/controller_route_interface_matrix.json</w:t>
            </w:r>
          </w:p>
        </w:tc>
      </w:tr>
      <w:tr w14:paraId="3F3F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01942EA4">
            <w:pPr>
              <w:spacing w:after="0" w:line="252" w:lineRule="auto"/>
              <w:jc w:val="left"/>
            </w:pPr>
            <w:r>
              <w:rPr>
                <w:rFonts w:ascii="宋体" w:hAnsi="宋体" w:eastAsia="宋体"/>
                <w:sz w:val="18"/>
              </w:rPr>
              <w:t>七场景实验 Profile</w:t>
            </w:r>
          </w:p>
        </w:tc>
        <w:tc>
          <w:tcPr>
            <w:tcW w:w="6102" w:type="dxa"/>
            <w:tcMar>
              <w:top w:w="80" w:type="dxa"/>
              <w:left w:w="100" w:type="dxa"/>
              <w:bottom w:w="80" w:type="dxa"/>
              <w:right w:w="100" w:type="dxa"/>
            </w:tcMar>
            <w:vAlign w:val="center"/>
          </w:tcPr>
          <w:p w14:paraId="14040A71">
            <w:pPr>
              <w:spacing w:after="0" w:line="252" w:lineRule="auto"/>
              <w:jc w:val="left"/>
            </w:pPr>
            <w:r>
              <w:rPr>
                <w:rFonts w:ascii="宋体" w:hAnsi="宋体" w:eastAsia="宋体"/>
                <w:sz w:val="18"/>
              </w:rPr>
              <w:t>Config/control_platform/seven_scenario_experiment_profiles_v2.json</w:t>
            </w:r>
          </w:p>
        </w:tc>
      </w:tr>
      <w:tr w14:paraId="52F2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5B00A7F9">
            <w:pPr>
              <w:spacing w:after="0" w:line="252" w:lineRule="auto"/>
              <w:jc w:val="left"/>
            </w:pPr>
            <w:r>
              <w:rPr>
                <w:rFonts w:ascii="宋体" w:hAnsi="宋体" w:eastAsia="宋体"/>
                <w:sz w:val="18"/>
              </w:rPr>
              <w:t>七场景注入合同</w:t>
            </w:r>
          </w:p>
        </w:tc>
        <w:tc>
          <w:tcPr>
            <w:tcW w:w="6102" w:type="dxa"/>
            <w:tcMar>
              <w:top w:w="80" w:type="dxa"/>
              <w:left w:w="100" w:type="dxa"/>
              <w:bottom w:w="80" w:type="dxa"/>
              <w:right w:w="100" w:type="dxa"/>
            </w:tcMar>
            <w:vAlign w:val="center"/>
          </w:tcPr>
          <w:p w14:paraId="22E7F2A6">
            <w:pPr>
              <w:spacing w:after="0" w:line="252" w:lineRule="auto"/>
              <w:jc w:val="left"/>
            </w:pPr>
            <w:r>
              <w:rPr>
                <w:rFonts w:ascii="宋体" w:hAnsi="宋体" w:eastAsia="宋体"/>
                <w:sz w:val="18"/>
              </w:rPr>
              <w:t>Config/control_platform/seven_scenario_injection_contract_v2.json</w:t>
            </w:r>
          </w:p>
        </w:tc>
      </w:tr>
      <w:tr w14:paraId="548C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0B34D045">
            <w:pPr>
              <w:spacing w:after="0" w:line="252" w:lineRule="auto"/>
              <w:jc w:val="left"/>
            </w:pPr>
            <w:r>
              <w:rPr>
                <w:rFonts w:ascii="宋体" w:hAnsi="宋体" w:eastAsia="宋体"/>
                <w:sz w:val="18"/>
              </w:rPr>
              <w:t>48 条目录当前对账</w:t>
            </w:r>
          </w:p>
        </w:tc>
        <w:tc>
          <w:tcPr>
            <w:tcW w:w="6102" w:type="dxa"/>
            <w:tcMar>
              <w:top w:w="80" w:type="dxa"/>
              <w:left w:w="100" w:type="dxa"/>
              <w:bottom w:w="80" w:type="dxa"/>
              <w:right w:w="100" w:type="dxa"/>
            </w:tcMar>
            <w:vAlign w:val="center"/>
          </w:tcPr>
          <w:p w14:paraId="167FADB1">
            <w:pPr>
              <w:spacing w:after="0" w:line="252" w:lineRule="auto"/>
              <w:jc w:val="left"/>
            </w:pPr>
            <w:r>
              <w:rPr>
                <w:rFonts w:ascii="宋体" w:hAnsi="宋体" w:eastAsia="宋体"/>
                <w:sz w:val="18"/>
              </w:rPr>
              <w:t>Results/control_platform/phase2_full_48_climbpath/g3_repair/G3_CATALOG_48_CURRENT_STATUS.json</w:t>
            </w:r>
          </w:p>
        </w:tc>
      </w:tr>
      <w:tr w14:paraId="025B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3E95C5E7">
            <w:pPr>
              <w:spacing w:after="0" w:line="252" w:lineRule="auto"/>
              <w:jc w:val="left"/>
            </w:pPr>
            <w:r>
              <w:rPr>
                <w:rFonts w:ascii="宋体" w:hAnsi="宋体" w:eastAsia="宋体"/>
                <w:sz w:val="18"/>
              </w:rPr>
              <w:t>Official PID/px4ctrl 七场景 A/B 结果</w:t>
            </w:r>
          </w:p>
        </w:tc>
        <w:tc>
          <w:tcPr>
            <w:tcW w:w="6102" w:type="dxa"/>
            <w:tcMar>
              <w:top w:w="80" w:type="dxa"/>
              <w:left w:w="100" w:type="dxa"/>
              <w:bottom w:w="80" w:type="dxa"/>
              <w:right w:w="100" w:type="dxa"/>
            </w:tcMar>
            <w:vAlign w:val="center"/>
          </w:tcPr>
          <w:p w14:paraId="759436DD">
            <w:pPr>
              <w:spacing w:after="0" w:line="252" w:lineRule="auto"/>
              <w:jc w:val="left"/>
            </w:pPr>
            <w:r>
              <w:rPr>
                <w:rFonts w:ascii="宋体" w:hAnsi="宋体" w:eastAsia="宋体"/>
                <w:sz w:val="18"/>
              </w:rPr>
              <w:t>Results/control_platform/seven_scenario_ab_v2/</w:t>
            </w:r>
          </w:p>
        </w:tc>
      </w:tr>
      <w:tr w14:paraId="3437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5655606F">
            <w:pPr>
              <w:spacing w:after="0" w:line="252" w:lineRule="auto"/>
              <w:jc w:val="left"/>
            </w:pPr>
            <w:r>
              <w:rPr>
                <w:rFonts w:ascii="宋体" w:hAnsi="宋体" w:eastAsia="宋体"/>
                <w:sz w:val="18"/>
              </w:rPr>
              <w:t>团队自研 px4ctrl 完整闭环模型证据</w:t>
            </w:r>
          </w:p>
        </w:tc>
        <w:tc>
          <w:tcPr>
            <w:tcW w:w="6102" w:type="dxa"/>
            <w:tcMar>
              <w:top w:w="80" w:type="dxa"/>
              <w:left w:w="100" w:type="dxa"/>
              <w:bottom w:w="80" w:type="dxa"/>
              <w:right w:w="100" w:type="dxa"/>
            </w:tcMar>
            <w:vAlign w:val="center"/>
          </w:tcPr>
          <w:p w14:paraId="56656550">
            <w:pPr>
              <w:spacing w:after="0" w:line="252" w:lineRule="auto"/>
              <w:jc w:val="left"/>
            </w:pPr>
            <w:r>
              <w:rPr>
                <w:rFonts w:ascii="宋体" w:hAnsi="宋体" w:eastAsia="宋体"/>
                <w:sz w:val="18"/>
              </w:rPr>
              <w:t>Results/control_platform/px4ctrl_graphical_completion_20260728/</w:t>
            </w:r>
          </w:p>
        </w:tc>
      </w:tr>
      <w:tr w14:paraId="58F2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1DA7604A">
            <w:pPr>
              <w:spacing w:after="0" w:line="252" w:lineRule="auto"/>
              <w:jc w:val="left"/>
            </w:pPr>
            <w:r>
              <w:rPr>
                <w:rFonts w:ascii="宋体" w:hAnsi="宋体" w:eastAsia="宋体"/>
                <w:sz w:val="18"/>
              </w:rPr>
              <w:t>px4ctrl 生成 C 与 SIL 证据</w:t>
            </w:r>
          </w:p>
        </w:tc>
        <w:tc>
          <w:tcPr>
            <w:tcW w:w="6102" w:type="dxa"/>
            <w:tcMar>
              <w:top w:w="80" w:type="dxa"/>
              <w:left w:w="100" w:type="dxa"/>
              <w:bottom w:w="80" w:type="dxa"/>
              <w:right w:w="100" w:type="dxa"/>
            </w:tcMar>
            <w:vAlign w:val="center"/>
          </w:tcPr>
          <w:p w14:paraId="25E2516C">
            <w:pPr>
              <w:spacing w:after="0" w:line="252" w:lineRule="auto"/>
              <w:jc w:val="left"/>
            </w:pPr>
            <w:r>
              <w:rPr>
                <w:rFonts w:ascii="宋体" w:hAnsi="宋体" w:eastAsia="宋体"/>
                <w:sz w:val="18"/>
              </w:rPr>
              <w:t>Results/control_platform/px4ctrl_codegen_sil_v1/</w:t>
            </w:r>
          </w:p>
        </w:tc>
      </w:tr>
      <w:tr w14:paraId="46B8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0B7ADA82">
            <w:pPr>
              <w:spacing w:after="0" w:line="252" w:lineRule="auto"/>
              <w:jc w:val="left"/>
            </w:pPr>
            <w:r>
              <w:rPr>
                <w:rFonts w:ascii="宋体" w:hAnsi="宋体" w:eastAsia="宋体"/>
                <w:sz w:val="18"/>
              </w:rPr>
              <w:t>px4ctrl C 交付物</w:t>
            </w:r>
          </w:p>
        </w:tc>
        <w:tc>
          <w:tcPr>
            <w:tcW w:w="6102" w:type="dxa"/>
            <w:tcMar>
              <w:top w:w="80" w:type="dxa"/>
              <w:left w:w="100" w:type="dxa"/>
              <w:bottom w:w="80" w:type="dxa"/>
              <w:right w:w="100" w:type="dxa"/>
            </w:tcMar>
            <w:vAlign w:val="center"/>
          </w:tcPr>
          <w:p w14:paraId="275F0766">
            <w:pPr>
              <w:spacing w:after="0" w:line="252" w:lineRule="auto"/>
              <w:jc w:val="left"/>
            </w:pPr>
            <w:r>
              <w:rPr>
                <w:rFonts w:ascii="宋体" w:hAnsi="宋体" w:eastAsia="宋体"/>
                <w:sz w:val="18"/>
              </w:rPr>
              <w:t>src/control/codegen/px4ctrl/</w:t>
            </w:r>
          </w:p>
        </w:tc>
      </w:tr>
      <w:tr w14:paraId="7851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574F0F1D">
            <w:pPr>
              <w:spacing w:after="0" w:line="252" w:lineRule="auto"/>
              <w:jc w:val="left"/>
            </w:pPr>
            <w:r>
              <w:rPr>
                <w:rFonts w:ascii="宋体" w:hAnsi="宋体" w:eastAsia="宋体"/>
                <w:sz w:val="18"/>
              </w:rPr>
              <w:t>MoSim Studio 使用与边界说明</w:t>
            </w:r>
          </w:p>
        </w:tc>
        <w:tc>
          <w:tcPr>
            <w:tcW w:w="6102" w:type="dxa"/>
            <w:tcMar>
              <w:top w:w="80" w:type="dxa"/>
              <w:left w:w="100" w:type="dxa"/>
              <w:bottom w:w="80" w:type="dxa"/>
              <w:right w:w="100" w:type="dxa"/>
            </w:tcMar>
            <w:vAlign w:val="center"/>
          </w:tcPr>
          <w:p w14:paraId="1F6310B0">
            <w:pPr>
              <w:spacing w:after="0" w:line="252" w:lineRule="auto"/>
              <w:jc w:val="left"/>
            </w:pPr>
            <w:r>
              <w:rPr>
                <w:rFonts w:ascii="宋体" w:hAnsi="宋体" w:eastAsia="宋体"/>
                <w:sz w:val="18"/>
              </w:rPr>
              <w:t>apps/model_studio/README.md</w:t>
            </w:r>
          </w:p>
        </w:tc>
      </w:tr>
      <w:tr w14:paraId="42A8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15554AD8">
            <w:pPr>
              <w:spacing w:after="0" w:line="252" w:lineRule="auto"/>
              <w:jc w:val="left"/>
            </w:pPr>
            <w:r>
              <w:rPr>
                <w:rFonts w:ascii="宋体" w:hAnsi="宋体" w:eastAsia="宋体"/>
                <w:sz w:val="18"/>
              </w:rPr>
              <w:t>C99 单机运行时记录</w:t>
            </w:r>
          </w:p>
        </w:tc>
        <w:tc>
          <w:tcPr>
            <w:tcW w:w="6102" w:type="dxa"/>
            <w:tcMar>
              <w:top w:w="80" w:type="dxa"/>
              <w:left w:w="100" w:type="dxa"/>
              <w:bottom w:w="80" w:type="dxa"/>
              <w:right w:w="100" w:type="dxa"/>
            </w:tcMar>
            <w:vAlign w:val="center"/>
          </w:tcPr>
          <w:p w14:paraId="25C245EE">
            <w:pPr>
              <w:spacing w:after="0" w:line="252" w:lineRule="auto"/>
              <w:jc w:val="left"/>
            </w:pPr>
            <w:r>
              <w:rPr>
                <w:rFonts w:ascii="宋体" w:hAnsi="宋体" w:eastAsia="宋体"/>
                <w:sz w:val="18"/>
              </w:rPr>
              <w:t>Results/sunray_ros1/sunray_ros1_graphical_c99_*/</w:t>
            </w:r>
          </w:p>
        </w:tc>
      </w:tr>
      <w:tr w14:paraId="709D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03DA11F1">
            <w:pPr>
              <w:spacing w:after="0" w:line="252" w:lineRule="auto"/>
              <w:jc w:val="left"/>
            </w:pPr>
            <w:r>
              <w:rPr>
                <w:rFonts w:ascii="宋体" w:hAnsi="宋体" w:eastAsia="宋体"/>
                <w:sz w:val="18"/>
              </w:rPr>
              <w:t>Gazebo 三机编队证据</w:t>
            </w:r>
          </w:p>
        </w:tc>
        <w:tc>
          <w:tcPr>
            <w:tcW w:w="6102" w:type="dxa"/>
            <w:tcMar>
              <w:top w:w="80" w:type="dxa"/>
              <w:left w:w="100" w:type="dxa"/>
              <w:bottom w:w="80" w:type="dxa"/>
              <w:right w:w="100" w:type="dxa"/>
            </w:tcMar>
            <w:vAlign w:val="center"/>
          </w:tcPr>
          <w:p w14:paraId="69F4D857">
            <w:pPr>
              <w:spacing w:after="0" w:line="252" w:lineRule="auto"/>
              <w:jc w:val="left"/>
            </w:pPr>
            <w:r>
              <w:rPr>
                <w:rFonts w:ascii="宋体" w:hAnsi="宋体" w:eastAsia="宋体"/>
                <w:sz w:val="18"/>
              </w:rPr>
              <w:t>Results/sunray_ros1/factory_l2_swarm_formation_*/</w:t>
            </w:r>
          </w:p>
        </w:tc>
      </w:tr>
      <w:tr w14:paraId="11DC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1" w:type="dxa"/>
            <w:tcMar>
              <w:top w:w="80" w:type="dxa"/>
              <w:left w:w="100" w:type="dxa"/>
              <w:bottom w:w="80" w:type="dxa"/>
              <w:right w:w="100" w:type="dxa"/>
            </w:tcMar>
            <w:vAlign w:val="center"/>
          </w:tcPr>
          <w:p w14:paraId="359FDA04">
            <w:pPr>
              <w:spacing w:after="0" w:line="252" w:lineRule="auto"/>
              <w:jc w:val="left"/>
            </w:pPr>
            <w:r>
              <w:rPr>
                <w:rFonts w:ascii="宋体" w:hAnsi="宋体" w:eastAsia="宋体"/>
                <w:sz w:val="18"/>
              </w:rPr>
              <w:t>FUEL/Diff-Planner 运行记录</w:t>
            </w:r>
          </w:p>
        </w:tc>
        <w:tc>
          <w:tcPr>
            <w:tcW w:w="6102" w:type="dxa"/>
            <w:tcMar>
              <w:top w:w="80" w:type="dxa"/>
              <w:left w:w="100" w:type="dxa"/>
              <w:bottom w:w="80" w:type="dxa"/>
              <w:right w:w="100" w:type="dxa"/>
            </w:tcMar>
            <w:vAlign w:val="center"/>
          </w:tcPr>
          <w:p w14:paraId="213819DE">
            <w:pPr>
              <w:spacing w:after="0" w:line="252" w:lineRule="auto"/>
              <w:jc w:val="left"/>
            </w:pPr>
            <w:r>
              <w:rPr>
                <w:rFonts w:ascii="宋体" w:hAnsi="宋体" w:eastAsia="宋体"/>
                <w:sz w:val="18"/>
              </w:rPr>
              <w:t>Results/sunray_ros1/factory_l2_fuel_/、Results/sunray_ros1/diff_/</w:t>
            </w:r>
          </w:p>
        </w:tc>
      </w:tr>
    </w:tbl>
    <w:p w14:paraId="524D5C87"/>
    <w:p w14:paraId="3A45D1C1">
      <w:pPr>
        <w:spacing w:after="80" w:line="300" w:lineRule="auto"/>
        <w:ind w:firstLine="420"/>
      </w:pPr>
      <w:r>
        <w:rPr>
          <w:rFonts w:ascii="宋体" w:hAnsi="宋体" w:eastAsia="宋体"/>
          <w:sz w:val="21"/>
        </w:rPr>
        <w:t xml:space="preserve">上述索引只负责定位材料；具体结论以每个带时间戳目录中的 JSON </w:t>
      </w:r>
      <w:r>
        <w:rPr>
          <w:rFonts w:ascii="Consolas" w:hAnsi="Consolas" w:eastAsia="等线"/>
          <w:sz w:val="19"/>
        </w:rPr>
        <w:t>status</w:t>
      </w:r>
      <w:r>
        <w:rPr>
          <w:rFonts w:ascii="宋体" w:hAnsi="宋体" w:eastAsia="宋体"/>
          <w:sz w:val="21"/>
        </w:rPr>
        <w:t>、</w:t>
      </w:r>
      <w:r>
        <w:rPr>
          <w:rFonts w:ascii="Consolas" w:hAnsi="Consolas" w:eastAsia="等线"/>
          <w:sz w:val="19"/>
        </w:rPr>
        <w:t>claim_boundary</w:t>
      </w:r>
      <w:r>
        <w:rPr>
          <w:rFonts w:ascii="宋体" w:hAnsi="宋体" w:eastAsia="宋体"/>
          <w:sz w:val="21"/>
        </w:rPr>
        <w:t xml:space="preserve"> 和配套原始数据为准。</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531" w:bottom="1440" w:left="153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BFE1F">
    <w:pPr>
      <w:spacing w:before="0" w:after="0"/>
      <w:jc w:val="center"/>
    </w:pPr>
    <w:r>
      <w:rPr>
        <w:rFonts w:ascii="宋体" w:hAnsi="宋体" w:eastAsia="宋体"/>
        <w:sz w:val="18"/>
      </w:rPr>
      <w:t xml:space="preserve">第 </w:t>
    </w:r>
    <w:r>
      <w:fldChar w:fldCharType="begin"/>
    </w:r>
    <w:r>
      <w:instrText xml:space="preserve"> PAGE </w:instrText>
    </w:r>
    <w:r>
      <w:fldChar w:fldCharType="separate"/>
    </w:r>
    <w:r>
      <w:t>1</w:t>
    </w:r>
    <w:r>
      <w:fldChar w:fldCharType="end"/>
    </w:r>
    <w:r>
      <w:rPr>
        <w:rFonts w:ascii="宋体" w:hAnsi="宋体" w:eastAsia="宋体"/>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B1941">
    <w:pPr>
      <w:spacing w:before="0" w:after="0"/>
      <w:jc w:val="center"/>
    </w:pPr>
    <w:r>
      <w:rPr>
        <w:rFonts w:ascii="宋体" w:hAnsi="宋体" w:eastAsia="宋体"/>
        <w:sz w:val="18"/>
      </w:rPr>
      <w:t xml:space="preserve">第 </w:t>
    </w:r>
    <w:r>
      <w:fldChar w:fldCharType="begin"/>
    </w:r>
    <w:r>
      <w:instrText xml:space="preserve"> PAGE </w:instrText>
    </w:r>
    <w:r>
      <w:fldChar w:fldCharType="separate"/>
    </w:r>
    <w:r>
      <w:t>1</w:t>
    </w:r>
    <w:r>
      <w:fldChar w:fldCharType="end"/>
    </w:r>
    <w:r>
      <w:rPr>
        <w:rFonts w:ascii="宋体" w:hAnsi="宋体" w:eastAsia="宋体"/>
        <w:sz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F36F0">
    <w:pPr>
      <w:spacing w:before="0" w:after="0"/>
      <w:jc w:val="center"/>
    </w:pPr>
    <w:r>
      <w:rPr>
        <w:rFonts w:ascii="宋体" w:hAnsi="宋体" w:eastAsia="宋体"/>
        <w:sz w:val="18"/>
      </w:rPr>
      <w:t xml:space="preserve">第 </w:t>
    </w:r>
    <w:r>
      <w:fldChar w:fldCharType="begin"/>
    </w:r>
    <w:r>
      <w:instrText xml:space="preserve"> PAGE </w:instrText>
    </w:r>
    <w:r>
      <w:fldChar w:fldCharType="separate"/>
    </w:r>
    <w:r>
      <w:t>1</w:t>
    </w:r>
    <w: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r>
        <w:separator/>
      </w:r>
    </w:p>
  </w:footnote>
  <w:footnote w:type="continuationSeparator" w:id="1">
    <w:p>
      <w:pPr>
        <w:spacing w:line="28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9BBD">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8BF35">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DAE9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CD4293"/>
    <w:multiLevelType w:val="multilevel"/>
    <w:tmpl w:val="73CD4293"/>
    <w:lvl w:ilvl="0" w:tentative="0">
      <w:start w:val="1"/>
      <w:numFmt w:val="chineseCountingThousand"/>
      <w:pStyle w:val="2"/>
      <w:suff w:val="space"/>
      <w:lvlText w:val="%1、"/>
      <w:lvlJc w:val="left"/>
      <w:pPr>
        <w:ind w:left="425" w:hanging="425"/>
      </w:pPr>
      <w:rPr>
        <w:rFonts w:hint="eastAsia" w:ascii="黑体" w:hAnsi="黑体" w:eastAsia="黑体"/>
        <w:b w:val="0"/>
        <w:i w:val="0"/>
        <w:sz w:val="28"/>
      </w:rPr>
    </w:lvl>
    <w:lvl w:ilvl="1" w:tentative="0">
      <w:start w:val="1"/>
      <w:numFmt w:val="decimal"/>
      <w:pStyle w:val="3"/>
      <w:isLgl/>
      <w:suff w:val="space"/>
      <w:lvlText w:val="%1.%2"/>
      <w:lvlJc w:val="left"/>
      <w:pPr>
        <w:ind w:left="992" w:hanging="567"/>
      </w:pPr>
      <w:rPr>
        <w:rFonts w:hint="eastAsia" w:ascii="黑体" w:hAnsi="黑体" w:eastAsia="黑体"/>
        <w:b w:val="0"/>
        <w:i w:val="0"/>
        <w:sz w:val="24"/>
      </w:rPr>
    </w:lvl>
    <w:lvl w:ilvl="2" w:tentative="0">
      <w:start w:val="1"/>
      <w:numFmt w:val="decimal"/>
      <w:pStyle w:val="4"/>
      <w:isLgl/>
      <w:suff w:val="space"/>
      <w:lvlText w:val="%1.%2.%3"/>
      <w:lvlJc w:val="left"/>
      <w:pPr>
        <w:ind w:left="1418" w:hanging="567"/>
      </w:pPr>
      <w:rPr>
        <w:rFonts w:hint="eastAsia" w:ascii="黑体" w:hAns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37863"/>
    <w:rsid w:val="00045239"/>
    <w:rsid w:val="000539F4"/>
    <w:rsid w:val="00060C36"/>
    <w:rsid w:val="00064A61"/>
    <w:rsid w:val="0008029E"/>
    <w:rsid w:val="000815BE"/>
    <w:rsid w:val="00087A05"/>
    <w:rsid w:val="00090D69"/>
    <w:rsid w:val="000A1C75"/>
    <w:rsid w:val="000B11C1"/>
    <w:rsid w:val="000B78CB"/>
    <w:rsid w:val="000C30E0"/>
    <w:rsid w:val="000D2E4E"/>
    <w:rsid w:val="000E03AA"/>
    <w:rsid w:val="000F0457"/>
    <w:rsid w:val="000F1D29"/>
    <w:rsid w:val="00134651"/>
    <w:rsid w:val="00136347"/>
    <w:rsid w:val="001374D3"/>
    <w:rsid w:val="00142FB8"/>
    <w:rsid w:val="00144B2A"/>
    <w:rsid w:val="00161DA2"/>
    <w:rsid w:val="00162157"/>
    <w:rsid w:val="001639B7"/>
    <w:rsid w:val="00171A48"/>
    <w:rsid w:val="00172B82"/>
    <w:rsid w:val="001873C2"/>
    <w:rsid w:val="001939A1"/>
    <w:rsid w:val="00195F45"/>
    <w:rsid w:val="0019771A"/>
    <w:rsid w:val="001A2F74"/>
    <w:rsid w:val="001A35B1"/>
    <w:rsid w:val="001B079C"/>
    <w:rsid w:val="001C239C"/>
    <w:rsid w:val="001C7D65"/>
    <w:rsid w:val="001E1F3D"/>
    <w:rsid w:val="001E2693"/>
    <w:rsid w:val="001F3C75"/>
    <w:rsid w:val="001F5C5A"/>
    <w:rsid w:val="001F6D34"/>
    <w:rsid w:val="00217314"/>
    <w:rsid w:val="00222A3C"/>
    <w:rsid w:val="00225389"/>
    <w:rsid w:val="0022698C"/>
    <w:rsid w:val="002319B3"/>
    <w:rsid w:val="00236AE3"/>
    <w:rsid w:val="00240B4E"/>
    <w:rsid w:val="00250F22"/>
    <w:rsid w:val="00254993"/>
    <w:rsid w:val="002633EC"/>
    <w:rsid w:val="002828E5"/>
    <w:rsid w:val="002949FC"/>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19A4"/>
    <w:rsid w:val="00377EC8"/>
    <w:rsid w:val="0038449E"/>
    <w:rsid w:val="003912A3"/>
    <w:rsid w:val="0039499D"/>
    <w:rsid w:val="003A2C5A"/>
    <w:rsid w:val="003A4D87"/>
    <w:rsid w:val="003B7C68"/>
    <w:rsid w:val="003E348E"/>
    <w:rsid w:val="003E5411"/>
    <w:rsid w:val="003F2D00"/>
    <w:rsid w:val="0042468F"/>
    <w:rsid w:val="00432972"/>
    <w:rsid w:val="0044226F"/>
    <w:rsid w:val="00443B9A"/>
    <w:rsid w:val="00445DC6"/>
    <w:rsid w:val="0046741F"/>
    <w:rsid w:val="00476829"/>
    <w:rsid w:val="004831D4"/>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9423D"/>
    <w:rsid w:val="005A50CC"/>
    <w:rsid w:val="005A515F"/>
    <w:rsid w:val="005A670E"/>
    <w:rsid w:val="005A7319"/>
    <w:rsid w:val="005B134D"/>
    <w:rsid w:val="005B2174"/>
    <w:rsid w:val="005B7C6A"/>
    <w:rsid w:val="005C20C3"/>
    <w:rsid w:val="005C4D45"/>
    <w:rsid w:val="005C4E2D"/>
    <w:rsid w:val="005C616D"/>
    <w:rsid w:val="005D7036"/>
    <w:rsid w:val="005E267F"/>
    <w:rsid w:val="005E45E8"/>
    <w:rsid w:val="005E79E1"/>
    <w:rsid w:val="005F2B6F"/>
    <w:rsid w:val="005F53BA"/>
    <w:rsid w:val="005F5D59"/>
    <w:rsid w:val="00601733"/>
    <w:rsid w:val="00604F37"/>
    <w:rsid w:val="00607B02"/>
    <w:rsid w:val="0065334D"/>
    <w:rsid w:val="00665939"/>
    <w:rsid w:val="006744CD"/>
    <w:rsid w:val="0068276C"/>
    <w:rsid w:val="00696B38"/>
    <w:rsid w:val="006A1DF6"/>
    <w:rsid w:val="006C057D"/>
    <w:rsid w:val="006C5041"/>
    <w:rsid w:val="006D4342"/>
    <w:rsid w:val="006E78E6"/>
    <w:rsid w:val="006F3BF2"/>
    <w:rsid w:val="0071041E"/>
    <w:rsid w:val="00710749"/>
    <w:rsid w:val="00746792"/>
    <w:rsid w:val="007514C2"/>
    <w:rsid w:val="00785F59"/>
    <w:rsid w:val="007A4988"/>
    <w:rsid w:val="007A5476"/>
    <w:rsid w:val="007B2C6C"/>
    <w:rsid w:val="007D1D9B"/>
    <w:rsid w:val="007D57BE"/>
    <w:rsid w:val="007E40F5"/>
    <w:rsid w:val="007E5BA6"/>
    <w:rsid w:val="007E62E1"/>
    <w:rsid w:val="007F5C0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31A7"/>
    <w:rsid w:val="00985F7C"/>
    <w:rsid w:val="009B1874"/>
    <w:rsid w:val="009B443A"/>
    <w:rsid w:val="009B6062"/>
    <w:rsid w:val="009B6845"/>
    <w:rsid w:val="009E70B3"/>
    <w:rsid w:val="00A01CB8"/>
    <w:rsid w:val="00A10DAA"/>
    <w:rsid w:val="00A11EC7"/>
    <w:rsid w:val="00A154AB"/>
    <w:rsid w:val="00A249FA"/>
    <w:rsid w:val="00A41D3C"/>
    <w:rsid w:val="00A422BF"/>
    <w:rsid w:val="00A63C46"/>
    <w:rsid w:val="00A64234"/>
    <w:rsid w:val="00A94FB5"/>
    <w:rsid w:val="00AA26EA"/>
    <w:rsid w:val="00AC0C64"/>
    <w:rsid w:val="00AC5569"/>
    <w:rsid w:val="00AD735E"/>
    <w:rsid w:val="00AE04A2"/>
    <w:rsid w:val="00AE33B8"/>
    <w:rsid w:val="00B13F44"/>
    <w:rsid w:val="00B14BAF"/>
    <w:rsid w:val="00B3400F"/>
    <w:rsid w:val="00B44C8B"/>
    <w:rsid w:val="00B734B3"/>
    <w:rsid w:val="00B9313C"/>
    <w:rsid w:val="00B9341E"/>
    <w:rsid w:val="00B94A1F"/>
    <w:rsid w:val="00BB222D"/>
    <w:rsid w:val="00BD4D76"/>
    <w:rsid w:val="00BD59DD"/>
    <w:rsid w:val="00BE5596"/>
    <w:rsid w:val="00C04E01"/>
    <w:rsid w:val="00C055B7"/>
    <w:rsid w:val="00C1159A"/>
    <w:rsid w:val="00C243A6"/>
    <w:rsid w:val="00C27B00"/>
    <w:rsid w:val="00C31742"/>
    <w:rsid w:val="00C34ECB"/>
    <w:rsid w:val="00C34FCA"/>
    <w:rsid w:val="00C3760F"/>
    <w:rsid w:val="00C6067A"/>
    <w:rsid w:val="00C62257"/>
    <w:rsid w:val="00C642CD"/>
    <w:rsid w:val="00C80518"/>
    <w:rsid w:val="00C80E0A"/>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17960"/>
    <w:rsid w:val="00D25ACD"/>
    <w:rsid w:val="00D30C2F"/>
    <w:rsid w:val="00D31CEE"/>
    <w:rsid w:val="00D37C10"/>
    <w:rsid w:val="00D40FD6"/>
    <w:rsid w:val="00D505F5"/>
    <w:rsid w:val="00D73511"/>
    <w:rsid w:val="00D77D75"/>
    <w:rsid w:val="00D829B4"/>
    <w:rsid w:val="00DA347F"/>
    <w:rsid w:val="00DB6E28"/>
    <w:rsid w:val="00DC2413"/>
    <w:rsid w:val="00DC63D4"/>
    <w:rsid w:val="00DD0B07"/>
    <w:rsid w:val="00DD3139"/>
    <w:rsid w:val="00DF2DC0"/>
    <w:rsid w:val="00DF45A2"/>
    <w:rsid w:val="00E20055"/>
    <w:rsid w:val="00E26A2F"/>
    <w:rsid w:val="00E46B1C"/>
    <w:rsid w:val="00E47D48"/>
    <w:rsid w:val="00E60E45"/>
    <w:rsid w:val="00E6321F"/>
    <w:rsid w:val="00E63F6D"/>
    <w:rsid w:val="00E647FE"/>
    <w:rsid w:val="00E65F9B"/>
    <w:rsid w:val="00E73E33"/>
    <w:rsid w:val="00E821AC"/>
    <w:rsid w:val="00E97B25"/>
    <w:rsid w:val="00EA1041"/>
    <w:rsid w:val="00EA25A8"/>
    <w:rsid w:val="00EA6245"/>
    <w:rsid w:val="00EB244D"/>
    <w:rsid w:val="00EC1596"/>
    <w:rsid w:val="00ED668A"/>
    <w:rsid w:val="00EE2107"/>
    <w:rsid w:val="00EF1CA6"/>
    <w:rsid w:val="00F03383"/>
    <w:rsid w:val="00F114B1"/>
    <w:rsid w:val="00F174EF"/>
    <w:rsid w:val="00F21999"/>
    <w:rsid w:val="00F51D42"/>
    <w:rsid w:val="00F568CF"/>
    <w:rsid w:val="00F63512"/>
    <w:rsid w:val="00F737E9"/>
    <w:rsid w:val="00F7496A"/>
    <w:rsid w:val="00F91D20"/>
    <w:rsid w:val="00F9561D"/>
    <w:rsid w:val="00FA2AA2"/>
    <w:rsid w:val="00FA4A26"/>
    <w:rsid w:val="00FA7C2E"/>
    <w:rsid w:val="00FB417A"/>
    <w:rsid w:val="00FB7BFE"/>
    <w:rsid w:val="00FC2704"/>
    <w:rsid w:val="00FF19BF"/>
    <w:rsid w:val="27874C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updateFields w:val="true"/>
  <w:doNotCompressPicture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numPr>
        <w:ilvl w:val="0"/>
        <w:numId w:val="1"/>
      </w:numPr>
      <w:spacing w:before="120" w:after="120"/>
      <w:ind w:left="0" w:firstLine="0" w:firstLineChars="0"/>
      <w:jc w:val="left"/>
      <w:outlineLvl w:val="0"/>
    </w:pPr>
    <w:rPr>
      <w:rFonts w:ascii="黑体" w:hAnsi="黑体" w:eastAsia="黑体"/>
      <w:bCs/>
      <w:kern w:val="44"/>
      <w:sz w:val="28"/>
      <w:szCs w:val="44"/>
    </w:rPr>
  </w:style>
  <w:style w:type="paragraph" w:styleId="3">
    <w:name w:val="heading 2"/>
    <w:basedOn w:val="1"/>
    <w:next w:val="1"/>
    <w:link w:val="19"/>
    <w:unhideWhenUsed/>
    <w:qFormat/>
    <w:uiPriority w:val="9"/>
    <w:pPr>
      <w:keepNext/>
      <w:keepLines/>
      <w:numPr>
        <w:ilvl w:val="1"/>
        <w:numId w:val="1"/>
      </w:numPr>
      <w:spacing w:before="50" w:beforeLines="50" w:after="50" w:afterLines="50"/>
      <w:ind w:left="0" w:firstLine="0" w:firstLineChars="0"/>
      <w:jc w:val="left"/>
      <w:outlineLvl w:val="1"/>
    </w:pPr>
    <w:rPr>
      <w:rFonts w:ascii="黑体" w:hAnsi="黑体" w:eastAsia="黑体" w:cstheme="majorBidi"/>
      <w:bCs/>
      <w:szCs w:val="32"/>
    </w:rPr>
  </w:style>
  <w:style w:type="paragraph" w:styleId="4">
    <w:name w:val="heading 3"/>
    <w:basedOn w:val="1"/>
    <w:next w:val="1"/>
    <w:link w:val="20"/>
    <w:unhideWhenUsed/>
    <w:qFormat/>
    <w:uiPriority w:val="9"/>
    <w:pPr>
      <w:keepNext/>
      <w:keepLines/>
      <w:numPr>
        <w:ilvl w:val="2"/>
        <w:numId w:val="1"/>
      </w:numPr>
      <w:spacing w:before="40" w:beforeLines="40" w:after="40" w:afterLines="40"/>
      <w:ind w:left="0" w:firstLine="0" w:firstLineChars="0"/>
      <w:jc w:val="left"/>
      <w:outlineLvl w:val="2"/>
    </w:pPr>
    <w:rPr>
      <w:rFonts w:ascii="黑体" w:hAnsi="黑体" w:eastAsia="黑体"/>
      <w:bCs/>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nhideWhenUsed/>
    <w:uiPriority w:val="39"/>
    <w:pPr>
      <w:ind w:left="840" w:leftChars="400"/>
    </w:pPr>
  </w:style>
  <w:style w:type="paragraph" w:styleId="6">
    <w:name w:val="Balloon Text"/>
    <w:basedOn w:val="1"/>
    <w:link w:val="25"/>
    <w:semiHidden/>
    <w:unhideWhenUsed/>
    <w:uiPriority w:val="99"/>
    <w:rPr>
      <w:sz w:val="18"/>
      <w:szCs w:val="18"/>
    </w:rPr>
  </w:style>
  <w:style w:type="paragraph" w:styleId="7">
    <w:name w:val="footer"/>
    <w:basedOn w:val="1"/>
    <w:link w:val="17"/>
    <w:unhideWhenUsed/>
    <w:uiPriority w:val="99"/>
    <w:pPr>
      <w:tabs>
        <w:tab w:val="center" w:pos="4153"/>
        <w:tab w:val="right" w:pos="8306"/>
      </w:tabs>
      <w:snapToGrid w:val="0"/>
      <w:jc w:val="left"/>
    </w:pPr>
    <w:rPr>
      <w:sz w:val="18"/>
      <w:szCs w:val="18"/>
    </w:rPr>
  </w:style>
  <w:style w:type="paragraph" w:styleId="8">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style>
  <w:style w:type="paragraph" w:styleId="10">
    <w:name w:val="toc 2"/>
    <w:basedOn w:val="1"/>
    <w:next w:val="1"/>
    <w:autoRedefine/>
    <w:unhideWhenUsed/>
    <w:uiPriority w:val="39"/>
    <w:pPr>
      <w:ind w:left="420" w:leftChars="200"/>
    </w:pPr>
  </w:style>
  <w:style w:type="paragraph" w:styleId="11">
    <w:name w:val="Normal (Web)"/>
    <w:basedOn w:val="1"/>
    <w:semiHidden/>
    <w:unhideWhenUsed/>
    <w:uiPriority w:val="99"/>
    <w:pPr>
      <w:widowControl/>
      <w:spacing w:before="100" w:beforeAutospacing="1" w:after="100" w:afterAutospacing="1"/>
      <w:ind w:firstLine="0" w:firstLineChars="0"/>
      <w:jc w:val="left"/>
    </w:pPr>
    <w:rPr>
      <w:rFonts w:ascii="宋体" w:hAnsi="宋体" w:cs="宋体"/>
      <w:kern w:val="0"/>
      <w:szCs w:val="24"/>
    </w:r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uiPriority w:val="99"/>
    <w:rPr>
      <w:color w:val="0563C1" w:themeColor="hyperlink"/>
      <w:u w:val="single"/>
      <w14:textFill>
        <w14:solidFill>
          <w14:schemeClr w14:val="hlink"/>
        </w14:solidFill>
      </w14:textFill>
    </w:rPr>
  </w:style>
  <w:style w:type="character" w:customStyle="1" w:styleId="16">
    <w:name w:val="页眉 字符"/>
    <w:basedOn w:val="14"/>
    <w:link w:val="8"/>
    <w:uiPriority w:val="99"/>
    <w:rPr>
      <w:sz w:val="18"/>
      <w:szCs w:val="18"/>
    </w:rPr>
  </w:style>
  <w:style w:type="character" w:customStyle="1" w:styleId="17">
    <w:name w:val="页脚 字符"/>
    <w:basedOn w:val="14"/>
    <w:link w:val="7"/>
    <w:uiPriority w:val="99"/>
    <w:rPr>
      <w:sz w:val="18"/>
      <w:szCs w:val="18"/>
    </w:rPr>
  </w:style>
  <w:style w:type="character" w:customStyle="1" w:styleId="18">
    <w:name w:val="标题 1 字符"/>
    <w:basedOn w:val="14"/>
    <w:link w:val="2"/>
    <w:uiPriority w:val="9"/>
    <w:rPr>
      <w:rFonts w:ascii="黑体" w:hAnsi="黑体" w:eastAsia="黑体"/>
      <w:bCs/>
      <w:kern w:val="44"/>
      <w:sz w:val="28"/>
      <w:szCs w:val="44"/>
    </w:rPr>
  </w:style>
  <w:style w:type="character" w:customStyle="1" w:styleId="19">
    <w:name w:val="标题 2 字符"/>
    <w:basedOn w:val="14"/>
    <w:link w:val="3"/>
    <w:uiPriority w:val="9"/>
    <w:rPr>
      <w:rFonts w:ascii="黑体" w:hAnsi="黑体" w:eastAsia="黑体" w:cstheme="majorBidi"/>
      <w:bCs/>
      <w:sz w:val="24"/>
      <w:szCs w:val="32"/>
    </w:rPr>
  </w:style>
  <w:style w:type="character" w:customStyle="1" w:styleId="20">
    <w:name w:val="标题 3 字符"/>
    <w:basedOn w:val="14"/>
    <w:link w:val="4"/>
    <w:uiPriority w:val="9"/>
    <w:rPr>
      <w:rFonts w:ascii="黑体" w:hAnsi="黑体" w:eastAsia="黑体"/>
      <w:bCs/>
      <w:sz w:val="24"/>
      <w:szCs w:val="32"/>
    </w:rPr>
  </w:style>
  <w:style w:type="paragraph" w:styleId="21">
    <w:name w:val="List Paragraph"/>
    <w:basedOn w:val="1"/>
    <w:qFormat/>
    <w:uiPriority w:val="34"/>
    <w:pPr>
      <w:ind w:firstLine="420"/>
    </w:pPr>
  </w:style>
  <w:style w:type="paragraph" w:customStyle="1" w:styleId="22">
    <w:name w:val="图表标题"/>
    <w:basedOn w:val="1"/>
    <w:next w:val="1"/>
    <w:qFormat/>
    <w:uiPriority w:val="0"/>
    <w:pPr>
      <w:ind w:firstLine="0" w:firstLineChars="0"/>
      <w:jc w:val="center"/>
    </w:pPr>
    <w:rPr>
      <w:b/>
      <w:sz w:val="21"/>
      <w:szCs w:val="21"/>
    </w:rPr>
  </w:style>
  <w:style w:type="character" w:customStyle="1" w:styleId="23">
    <w:name w:val="未处理的提及1"/>
    <w:basedOn w:val="14"/>
    <w:semiHidden/>
    <w:unhideWhenUsed/>
    <w:uiPriority w:val="99"/>
    <w:rPr>
      <w:color w:val="605E5C"/>
      <w:shd w:val="clear" w:color="auto" w:fill="E1DFDD"/>
    </w:rPr>
  </w:style>
  <w:style w:type="paragraph" w:customStyle="1" w:styleId="24">
    <w:name w:val="Bibliography"/>
    <w:basedOn w:val="1"/>
    <w:next w:val="1"/>
    <w:unhideWhenUsed/>
    <w:uiPriority w:val="37"/>
  </w:style>
  <w:style w:type="character" w:customStyle="1" w:styleId="25">
    <w:name w:val="批注框文本 字符"/>
    <w:basedOn w:val="14"/>
    <w:link w:val="6"/>
    <w:semiHidden/>
    <w:uiPriority w:val="99"/>
    <w:rPr>
      <w:rFonts w:ascii="Times New Roman" w:hAnsi="Times New Roman" w:eastAsia="宋体"/>
      <w:sz w:val="18"/>
      <w:szCs w:val="18"/>
    </w:rPr>
  </w:style>
  <w:style w:type="table" w:customStyle="1" w:styleId="26">
    <w:name w:val="三线表"/>
    <w:basedOn w:val="12"/>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7">
    <w:name w:val="TOC Heading"/>
    <w:basedOn w:val="2"/>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bCs w:val="0"/>
      <w:color w:val="2F5597" w:themeColor="accent1" w:themeShade="BF"/>
      <w:kern w:val="0"/>
      <w:sz w:val="32"/>
      <w:szCs w:val="32"/>
    </w:rPr>
  </w:style>
  <w:style w:type="character" w:styleId="28">
    <w:name w:val="Placeholder Text"/>
    <w:basedOn w:val="14"/>
    <w:semiHidden/>
    <w:uiPriority w:val="99"/>
    <w:rPr>
      <w:color w:val="808080"/>
    </w:rPr>
  </w:style>
  <w:style w:type="character" w:customStyle="1" w:styleId="29">
    <w:name w:val="AMEquationSection"/>
    <w:basedOn w:val="14"/>
    <w:qFormat/>
    <w:uiPriority w:val="0"/>
    <w:rPr>
      <w:rFonts w:ascii="黑体" w:hAnsi="黑体" w:eastAsia="黑体"/>
      <w:color w:val="FF0000"/>
      <w:sz w:val="32"/>
      <w:szCs w:val="32"/>
    </w:rPr>
  </w:style>
  <w:style w:type="paragraph" w:customStyle="1" w:styleId="30">
    <w:name w:val="AMDisplayEquation"/>
    <w:basedOn w:val="2"/>
    <w:next w:val="1"/>
    <w:link w:val="31"/>
    <w:uiPriority w:val="0"/>
    <w:pPr>
      <w:tabs>
        <w:tab w:val="center" w:pos="4420"/>
        <w:tab w:val="right" w:pos="8840"/>
      </w:tabs>
    </w:pPr>
    <w:rPr>
      <w:color w:val="FF0000"/>
    </w:rPr>
  </w:style>
  <w:style w:type="character" w:customStyle="1" w:styleId="31">
    <w:name w:val="AMDisplayEquation 字符"/>
    <w:basedOn w:val="14"/>
    <w:link w:val="30"/>
    <w:qFormat/>
    <w:uiPriority w:val="0"/>
    <w:rPr>
      <w:rFonts w:ascii="黑体" w:hAnsi="黑体" w:eastAsia="黑体"/>
      <w:bCs/>
      <w:color w:val="FF0000"/>
      <w:kern w:val="44"/>
      <w:sz w:val="28"/>
      <w:szCs w:val="44"/>
    </w:rPr>
  </w:style>
  <w:style w:type="paragraph" w:customStyle="1" w:styleId="32">
    <w:name w:val="EndNote Bibliography Title"/>
    <w:basedOn w:val="1"/>
    <w:link w:val="33"/>
    <w:uiPriority w:val="0"/>
    <w:pPr>
      <w:jc w:val="center"/>
    </w:pPr>
    <w:rPr>
      <w:rFonts w:cs="Times New Roman"/>
    </w:rPr>
  </w:style>
  <w:style w:type="character" w:customStyle="1" w:styleId="33">
    <w:name w:val="EndNote Bibliography Title 字符"/>
    <w:basedOn w:val="14"/>
    <w:link w:val="32"/>
    <w:uiPriority w:val="0"/>
    <w:rPr>
      <w:rFonts w:ascii="Times New Roman" w:hAnsi="Times New Roman" w:eastAsia="宋体" w:cs="Times New Roman"/>
      <w:sz w:val="24"/>
    </w:rPr>
  </w:style>
  <w:style w:type="paragraph" w:customStyle="1" w:styleId="34">
    <w:name w:val="EndNote Bibliography"/>
    <w:basedOn w:val="1"/>
    <w:link w:val="35"/>
    <w:qFormat/>
    <w:uiPriority w:val="0"/>
    <w:rPr>
      <w:rFonts w:cs="Times New Roman"/>
    </w:rPr>
  </w:style>
  <w:style w:type="character" w:customStyle="1" w:styleId="35">
    <w:name w:val="EndNote Bibliography 字符"/>
    <w:basedOn w:val="14"/>
    <w:link w:val="34"/>
    <w:uiPriority w:val="0"/>
    <w:rPr>
      <w:rFonts w:ascii="Times New Roman" w:hAnsi="Times New Roman" w:eastAsia="宋体" w:cs="Times New Roman"/>
      <w:sz w:val="24"/>
    </w:rPr>
  </w:style>
  <w:style w:type="character" w:customStyle="1" w:styleId="36">
    <w:name w:val="Unresolved Mention"/>
    <w:basedOn w:val="14"/>
    <w:semiHidden/>
    <w:unhideWhenUsed/>
    <w:qFormat/>
    <w:uiPriority w:val="99"/>
    <w:rPr>
      <w:color w:val="605E5C"/>
      <w:shd w:val="clear" w:color="auto" w:fill="E1DFDD"/>
    </w:rPr>
  </w:style>
  <w:style w:type="character" w:customStyle="1" w:styleId="37">
    <w:name w:val="tit"/>
    <w:basedOn w:val="14"/>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1417</Words>
  <Characters>1475</Characters>
  <Lines>147</Lines>
  <Paragraphs>107</Paragraphs>
  <TotalTime>32</TotalTime>
  <ScaleCrop>false</ScaleCrop>
  <LinksUpToDate>false</LinksUpToDate>
  <CharactersWithSpaces>2785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2024-07-06T02:45:00Z</dcterms:created>
  <dc:creator>sxjm qf</dc:creator>
  <cp:lastModifiedBy>石决明</cp:lastModifiedBy>
  <cp:lastPrinted>2020-11-30T03:40:00Z</cp:lastPrinted>
  <dcterms:modified xsi:type="dcterms:W3CDTF">2026-08-01T17:25:44Z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2052-12.1.0.26895</vt:lpwstr>
  </property>
  <property fmtid="{D5CDD505-2E9C-101B-9397-08002B2CF9AE}" pid="8" name="ICV">
    <vt:lpwstr>8A663D53001148079D5FC7A19E0CB659_12</vt:lpwstr>
  </property>
</Properties>
</file>