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</w:pPr>
      <w:r>
        <w:rPr>
          <w:rFonts w:ascii="Calibri" w:hAnsi="Calibri" w:eastAsia="Microsoft YaHei"/>
          <w:b/>
          <w:color w:val="2E74B5"/>
          <w:sz w:val="20"/>
        </w:rPr>
        <w:t>规则需求规格</w:t>
      </w:r>
    </w:p>
    <w:p>
      <w:pPr>
        <w:spacing w:before="0" w:after="100"/>
      </w:pPr>
      <w:r>
        <w:rPr>
          <w:rFonts w:ascii="Calibri" w:hAnsi="Calibri" w:eastAsia="Microsoft YaHei"/>
          <w:b/>
          <w:color w:val="17365D"/>
          <w:sz w:val="48"/>
        </w:rPr>
        <w:t>麻将小程序游戏规则需求规格</w:t>
      </w:r>
    </w:p>
    <w:p>
      <w:pPr>
        <w:spacing w:before="0" w:after="240"/>
      </w:pPr>
      <w:r>
        <w:rPr>
          <w:rFonts w:ascii="Calibri" w:hAnsi="Calibri" w:eastAsia="Microsoft YaHei"/>
          <w:b/>
          <w:color w:val="667085"/>
          <w:sz w:val="22"/>
        </w:rPr>
        <w:t>版本 v0.1  ·  已确认规则固化稿</w:t>
      </w:r>
    </w:p>
    <w:p>
      <w:pPr>
        <w:spacing w:before="0" w:after="200" w:line="288" w:lineRule="auto"/>
        <w:ind w:left="173" w:right="173"/>
        <w:shd w:fill="F4F6F9"/>
        <w:pBdr>
          <w:left w:val="single" w:sz="20" w:space="8" w:color="2E74B5"/>
        </w:pBdr>
      </w:pPr>
      <w:r>
        <w:rPr>
          <w:rFonts w:ascii="Calibri" w:hAnsi="Calibri" w:eastAsia="Microsoft YaHei"/>
          <w:b/>
          <w:color w:val="1F4D78"/>
          <w:sz w:val="21"/>
        </w:rPr>
        <w:t>文档边界：</w:t>
      </w:r>
      <w:r>
        <w:rPr>
          <w:rFonts w:ascii="Calibri" w:hAnsi="Calibri" w:eastAsia="Microsoft YaHei"/>
          <w:sz w:val="21"/>
        </w:rPr>
        <w:t>本稿仅收录原对话中已明确确认的规则；未确认、存在边界歧义或尚未讨论的内容统一列入“待确认事项”，不采用其他麻将玩法的默认规则补齐。</w:t>
      </w:r>
    </w:p>
    <w:p>
      <w:pPr>
        <w:pStyle w:val="Heading1"/>
      </w:pPr>
      <w:r>
        <w:t>1. 基础配置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采用四人麻将。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牌池使用万、筒、条及东、南、西、北、中、发、白，共136张。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不使用花牌，不设置癞子、鬼牌或其他万能牌。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不掷骰子；系统洗牌后生成并模拟实体牌墙。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R005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产品流程目标是尽量还原线下牌局的摸牌、出牌、响应和补牌顺序。</w:t>
      </w:r>
    </w:p>
    <w:p>
      <w:pPr>
        <w:pStyle w:val="Heading1"/>
      </w:pPr>
      <w:r>
        <w:t>2. 庄家与发牌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第一局庄家随机产生。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庄家胡牌时连庄。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庄家未胡牌时，下一局由当前庄家的下家坐庄。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闲家胡牌（包括闲家自摸）视为庄家未胡，下一局由当前庄家的下家坐庄。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流局时庄家连庄。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发牌完成后，庄家14张，三名闲家各13张。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R016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庄家先打出第一张牌。</w:t>
      </w:r>
    </w:p>
    <w:p>
      <w:pPr>
        <w:pStyle w:val="Heading1"/>
      </w:pPr>
      <w:r>
        <w:t>3. 回合流程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开局时庄家以14张起手，直接执行首次出牌。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正常回合中，当前玩家先摸1张牌，再可选择自摸胡、杠或打出1张牌。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玩家打牌后，其他玩家可根据条件选择吃、碰、杠、胡或过。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吃仅允许出牌人的下家响应；碰、明杠、胡可响应任意一家打出的牌。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若无人对弃牌执行操作，则轮到出牌人的下家正常摸牌。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R025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碰牌成功后不摸牌，由碰牌者直接打出1张牌；杠牌成功后按补牌规则从牌墙尾部补1张，再继续出牌。</w:t>
      </w:r>
    </w:p>
    <w:p>
      <w:pPr>
        <w:pStyle w:val="Heading1"/>
      </w:pPr>
      <w:r>
        <w:t>4. 吃、碰、杠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吃牌只能使用上家打出的牌。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吃牌仅适用于万、筒、条，并须组成同一花色的连续3张顺子。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东、南、西、北、中、发、白均不能吃。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碰牌条件为：手中已有2张相同牌，任意其他玩家打出第3张相同牌。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R034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碰牌后不补摸，碰牌者直接出牌。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明杠条件为：手中已有3张相同牌，任意其他玩家打出第4张相同牌。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暗杠条件为：玩家通过自己摸牌在手中凑齐4张相同牌。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加杠条件为：玩家此前已碰出3张相同牌，之后自己摸到第4张并申请加杠。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普通暗杠的具体牌面不向其他玩家公开，其他玩家不知道暗杠是哪一种牌。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普通明杠、暗杠、加杠成立后，均从牌墙尾部补1张牌，再继续出牌。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R045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普通明杠、暗杠、加杠在胡牌结构中均按1组面子计算。</w:t>
      </w:r>
    </w:p>
    <w:p>
      <w:pPr>
        <w:pStyle w:val="Heading1"/>
      </w:pPr>
      <w:r>
        <w:t>5. 操作优先级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同一张弃牌触发多种操作时，优先级固定为：胡 &gt; 杠 &gt; 碰 &gt; 吃。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同一张弃牌可被两名或三名玩家同时胡，允许一炮多响。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玩家选择“过”，表示放弃当前这一次针对该牌的操作机会。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当同一张弃牌同时可胡、可明杠时，胡优先，明杠不成立。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R054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除胡以外，不会出现两家同时对同一弃牌满足同级碰或明杠的有效情况；吃也仅限下家，因此无需设置同级座次裁决。</w:t>
      </w:r>
    </w:p>
    <w:p>
      <w:pPr>
        <w:pStyle w:val="Heading1"/>
      </w:pPr>
      <w:r>
        <w:t>6. 普通胡牌条件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普通胡牌基础结构为4组面子加1对将。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普通面子可为顺子、刻子或杠；下蛋按后文规则视为特殊杠并计作1组面子。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不存在“达到最低番数后才能胡”的限制，但仍必须满足本节规定的胡牌门槛。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胡牌时必须万、筒、条三门齐全；该条件在任何情况下都不能被豁免。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默认须有至少1组包含1或9的面子；只需出现1或9中的任意一种，不要求两者同时存在。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1或9仅作为将牌对子时，不满足“一九面子”条件。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默认须有至少1个刻子。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没有包含1或9的面子时，必须至少有1个字牌刻子，即东、南、西、北、中、发、白中的任意一组相同3张；该字牌刻子用于豁免一九条件。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牌型中存在普通明杠、暗杠、加杠、中发白下蛋或东南西北下蛋中的任意一种时，可同时豁免一九条件和刻子条件，但仍须满足三门齐全。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R069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吃、碰、杠、下蛋等已亮出面子与剩余手牌合并参与三门齐全、一九面子、刻子及杠豁免判断。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胡牌来源允许自摸和他家点炮。</w:t>
      </w:r>
    </w:p>
    <w:p>
      <w:pPr>
        <w:pStyle w:val="Heading1"/>
      </w:pPr>
      <w:r>
        <w:t>7. 十三幺与七小对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十三幺采用标准结构：一万、九万、一筒、九筒、一条、九条、东、南、西、北、中、发、白各1张，再任意重复其中1张作将。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十三幺为特殊胡法，不采用普通的4组面子加1对将结构。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十三幺不再额外判断一九条件或刻子条件；万、筒、条三门在其标准结构中天然齐全。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七小对为特殊胡法，基本结构为7组对子。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七小对必须至少有1组由数字1或9组成的对子，例如一万一万即可满足该条件。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R076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七小对中的1或9不要求组成面子；七小对不采用普通的4组面子加1对将结构。</w:t>
      </w:r>
    </w:p>
    <w:p>
      <w:pPr>
        <w:pStyle w:val="Heading1"/>
      </w:pPr>
      <w:r>
        <w:t>8. 下蛋与涨毛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本规则中“下蛋”属于杠类特殊操作；“涨毛”是对已成立下蛋继续追加对应字牌的操作。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玩家通过自己摸牌凑齐中、发、白各1张，可组成“中发白蛋”。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玩家通过自己摸牌凑齐东、南、西、北各1张，可组成“东南西北蛋”。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两种下蛋都必须全部由玩家自己摸齐，不能使用其他玩家打出的牌完成。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首次下蛋须先宣布并进入抢杠胡判断；无人抢胡后才成立。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下蛋成立后须亮出，牌张从手牌区移出，不能再作为手牌使用；整个蛋按1组面子计算。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下蛋成立后从牌墙尾部补1张牌。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中发白蛋和东南西北蛋均按“有杠”处理，可触发普通胡牌的一九、刻子双豁免。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已有中发白蛋后，玩家自己再摸到中、发、白中的任意1张，可加到该蛋上“涨毛”；东南西北蛋同理。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R089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每次涨毛成立后从牌墙尾部补1张；补牌若再次满足涨毛条件，可继续涨毛并继续补牌。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不论同一个蛋涨毛多少次，整个蛋始终只计1组面子。</w:t>
      </w:r>
    </w:p>
    <w:p>
      <w:pPr>
        <w:pStyle w:val="Heading1"/>
      </w:pPr>
      <w:r>
        <w:t>9. 抢杠胡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普通加杠可被其他玩家抢杠胡。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中发白和东南西北的首次下蛋均可被抢杠胡。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中发白蛋和东南西北蛋的每次涨毛均可被抢杠胡。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普通暗杠不能被抢杠胡；暗杠具体牌面不向其他玩家公开。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普通明杠来源于他家弃牌，不单独进入抢杠流程；若有人能胡该弃牌，按“胡 &gt; 杠”直接优先胡。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R096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发起加杠、首次下蛋或涨毛后，应先等待其他玩家判断抢胡；有人抢胡则该次杠、下蛋或涨毛不成立，全部选择过后才成立并补牌。</w:t>
      </w:r>
    </w:p>
    <w:p>
      <w:pPr>
        <w:pStyle w:val="Heading1"/>
      </w:pPr>
      <w:r>
        <w:t>10. 杠后胡牌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R100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普通杠、下蛋、涨毛成立后均从牌墙尾部补1张牌。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R101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杠、下蛋或涨毛后的补牌若满足胡牌条件，允许直接自摸胡，称为杠上开花。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R102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补牌后不能胡时，当前玩家正常打出1张牌。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R103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杠后打出的牌若被其他玩家胡，按普通点炮处理，不额外套用特殊规则。</w:t>
      </w:r>
    </w:p>
    <w:p>
      <w:pPr>
        <w:pStyle w:val="Heading1"/>
      </w:pPr>
      <w:r>
        <w:t>11. 过胡与过碰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玩家对一次可胡机会选择过，仅放弃当前这一次胡牌机会。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之后其他玩家再次打出可胡牌时，该玩家仍可正常胡。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过胡后不需要等到自己再次摸牌即可恢复胡牌资格。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玩家对一次可碰机会选择过，仅放弃当前这一次碰牌机会。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之后再次出现同牌可碰机会时，该玩家仍可正常碰。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过明杠后不会再出现同牌的第二次明杠机会，因为同一种牌总共只有4张。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R116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已确认的过胡与过碰均不形成持续锁定；玩家后续再次获得相应机会时可重新操作。</w:t>
      </w:r>
    </w:p>
    <w:p>
      <w:pPr>
        <w:pStyle w:val="Heading1"/>
      </w:pPr>
      <w:r>
        <w:t>12. 牌墙与流局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正常摸牌从牌墙前端进行。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普通杠、下蛋、涨毛的补牌从牌墙尾部进行，并直接消耗尾部牌张。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不预留王牌或死墙；牌墙中的牌均可被正常摸牌或补牌消耗。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一直进行到牌墙完全没有牌；136张牌耗尽且仍无人胡时流局。</w:t>
      </w:r>
    </w:p>
    <w:p>
      <w:pPr>
        <w:pStyle w:val="Rule"/>
      </w:pPr>
      <w:r>
        <w:rPr>
          <w:rFonts w:ascii="Calibri" w:hAnsi="Calibri" w:eastAsia="Microsoft YaHei"/>
          <w:b/>
          <w:color w:val="1F4D78"/>
          <w:sz w:val="21"/>
        </w:rPr>
        <w:t>R124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流局后庄家继续连庄。</w:t>
      </w:r>
    </w:p>
    <w:p>
      <w:r>
        <w:br w:type="page"/>
      </w:r>
    </w:p>
    <w:p>
      <w:pPr>
        <w:pStyle w:val="Heading1"/>
      </w:pPr>
      <w:r>
        <w:t>13. 待确认事项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牌墙最后一张及最后一次弃牌是否存在“海底捞月、海底炮”等特殊名称、番型或加分。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完整番型／牌型字典：各番型成立条件、番数或分值、能否叠加、互斥关系及封顶规则。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基础计分公式，以及自摸、点炮、一炮多响、庄家身份对应的支付关系和最终结算方式。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P004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普通明杠、暗杠、加杠、两类下蛋及涨毛各自如何计分、由谁支付、何时即时结算。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P005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流局时是否查听、是否存在听牌／未听牌赔付、已经产生的杠／下蛋／涨毛分是否保留，以及其他流局结算。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P006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抢杠胡、杠上开花、杠上炮、天胡、地胡等特殊场景是否另计番或另加分。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P007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七小对的剩余边界：是否仍须万筒条三门齐全、4张相同牌是否可拆作2对、是否必须门清、已吃碰杠后是否还能成立。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P008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抢杠胡场景中，若多名玩家同时可胡，是否同样允许多人同时胡及其支付方式。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P009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吃牌成功后的精确回合衔接：是否与碰牌相同，由吃牌者不摸牌并立即出1张。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P010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整场游戏的局数／圈数、座次轮转、结束条件、初始积分及最终排名规则。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P011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线上操作时限：出牌倒计时、吃碰杠胡响应时间、超时默认动作及托管策略。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P012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掉线与重连、主动退出、房主退出、中途解散、解散投票及异常中断结算规则。</w:t>
      </w:r>
    </w:p>
    <w:p>
      <w:pPr>
        <w:pStyle w:val="PendingRule"/>
      </w:pPr>
      <w:r>
        <w:rPr>
          <w:rFonts w:ascii="Calibri" w:hAnsi="Calibri" w:eastAsia="Microsoft YaHei"/>
          <w:b/>
          <w:color w:val="9B1C1C"/>
          <w:sz w:val="21"/>
        </w:rPr>
        <w:t>P013</w:t>
      </w:r>
      <w:r>
        <w:rPr>
          <w:rFonts w:ascii="Calibri" w:hAnsi="Calibri" w:eastAsia="Microsoft YaHei"/>
          <w:sz w:val="21"/>
        </w:rPr>
        <w:tab/>
      </w:r>
      <w:r>
        <w:rPr>
          <w:rFonts w:ascii="Calibri" w:hAnsi="Calibri" w:eastAsia="Microsoft YaHei"/>
          <w:sz w:val="21"/>
        </w:rPr>
        <w:t>暗杠在界面上的具体展示形式，以及本人、其他玩家和回放记录各自可见的信息范围。</w:t>
      </w:r>
    </w:p>
    <w:p>
      <w:pPr>
        <w:keepLines/>
        <w:spacing w:before="240" w:after="0"/>
        <w:shd w:fill="E8EEF5"/>
        <w:pBdr>
          <w:left w:val="single" w:sz="18" w:space="8" w:color="1F4D78"/>
        </w:pBdr>
      </w:pPr>
      <w:r>
        <w:rPr>
          <w:rFonts w:ascii="Calibri" w:hAnsi="Calibri" w:eastAsia="Microsoft YaHei"/>
          <w:b/>
          <w:color w:val="1F4D78"/>
          <w:sz w:val="20"/>
        </w:rPr>
        <w:t>版本控制：</w:t>
      </w:r>
      <w:r>
        <w:rPr>
          <w:rFonts w:ascii="Calibri" w:hAnsi="Calibri" w:eastAsia="Microsoft YaHei"/>
          <w:sz w:val="20"/>
        </w:rPr>
        <w:t>后续每完成一个规则模块，建议在本文件基础上递增版本号，并保留规则编号不变；新增规则使用新编号，修改既有规则时记录变更原因。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667085"/>
        <w:sz w:val="18"/>
      </w:rPr>
      <w:t>麻将小程序规则需求规格</w:t>
    </w:r>
    <w:r>
      <w:rPr>
        <w:rFonts w:ascii="Calibri" w:hAnsi="Calibri" w:eastAsia="Microsoft YaHei"/>
        <w:color w:val="667085"/>
        <w:sz w:val="18"/>
      </w:rPr>
      <w:t xml:space="preserve">  |  v0.1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ule">
    <w:name w:val="Rule"/>
    <w:pPr>
      <w:keepLines/>
      <w:tabs>
        <w:tab w:pos="979" w:val="left"/>
      </w:tabs>
      <w:spacing w:before="0" w:after="60" w:line="276" w:lineRule="auto"/>
      <w:ind w:left="979" w:hanging="979"/>
    </w:pPr>
    <w:rPr>
      <w:rFonts w:ascii="Calibri" w:hAnsi="Calibri" w:eastAsia="Microsoft YaHei"/>
      <w:b w:val="0"/>
      <w:color w:val="000000"/>
      <w:sz w:val="21"/>
    </w:rPr>
  </w:style>
  <w:style w:type="paragraph" w:customStyle="1" w:styleId="PendingRule">
    <w:name w:val="Pending Rule"/>
    <w:pPr>
      <w:keepLines/>
      <w:tabs>
        <w:tab w:pos="979" w:val="left"/>
      </w:tabs>
      <w:spacing w:before="0" w:after="60" w:line="276" w:lineRule="auto"/>
      <w:ind w:left="979" w:hanging="979"/>
    </w:pPr>
    <w:rPr>
      <w:rFonts w:ascii="Calibri" w:hAnsi="Calibri" w:eastAsia="Microsoft YaHei"/>
      <w:b w:val="0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麻将小程序游戏规则需求规格 v0.1</dc:title>
  <dc:subject>线下麻将规则线上化需求规格</dc:subject>
  <dc:creator>python-docx</dc:creator>
  <cp:keywords>麻将, 小程序, 游戏规则, 需求规格</cp:keywords>
  <dc:description>仅汇总已确认规则；未确认事项单列。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