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82B5E">
      <w:pPr>
        <w:spacing w:after="278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一.</w:t>
      </w:r>
      <w:r>
        <w:rPr>
          <w:rFonts w:hint="eastAsia" w:ascii="楷体" w:hAnsi="楷体" w:eastAsia="楷体" w:cs="楷体"/>
          <w:b/>
          <w:spacing w:val="0"/>
          <w:sz w:val="33"/>
        </w:rPr>
        <w:t>BladeX</w:t>
      </w: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与JEECG 功能对比</w:t>
      </w:r>
    </w:p>
    <w:p w14:paraId="75990D00">
      <w:pPr>
        <w:spacing w:after="278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33"/>
        </w:rPr>
        <w:t>BladeX</w:t>
      </w:r>
    </w:p>
    <w:p w14:paraId="064BE170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用户管理:</w:t>
      </w:r>
    </w:p>
    <w:p w14:paraId="09B211EA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用户所属角色,所属部门,所属岗位,直属主管,可多选.租户单选.</w:t>
      </w:r>
    </w:p>
    <w:p w14:paraId="71E78C7A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平台配置</w:t>
      </w:r>
    </w:p>
    <w:p w14:paraId="018B2FE2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将用户的信息用于拓展，拓展后可生成至令牌内.</w:t>
      </w:r>
    </w:p>
    <w:p w14:paraId="3B2D90D8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密码重置</w:t>
      </w:r>
    </w:p>
    <w:p w14:paraId="3A95923D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默认密码的配置于租户参数管理</w:t>
      </w:r>
    </w:p>
    <w:p w14:paraId="7A963FF4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账号封禁</w:t>
      </w:r>
    </w:p>
    <w:p w14:paraId="6E3669B6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账号连续输入错误次数大于配置锁定次数.账号封禁,IP封禁.实现方式 redis key+TTL.</w:t>
      </w:r>
    </w:p>
    <w:p w14:paraId="562E0F02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账号解封</w:t>
      </w:r>
    </w:p>
    <w:p w14:paraId="5F5FA11A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(存在问题):账号解封仅仅解封账号,IP未解封.</w:t>
      </w:r>
    </w:p>
    <w:p w14:paraId="2F4DDD27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若需改造 在账号解封操作内增加IP解封.</w:t>
      </w:r>
    </w:p>
    <w:p w14:paraId="7229C15E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账号冻结/解冻(无)</w:t>
      </w:r>
    </w:p>
    <w:p w14:paraId="78CB7FD3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审核</w:t>
      </w:r>
    </w:p>
    <w:p w14:paraId="71F3331C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新注册账号需要审核后才可使用</w:t>
      </w:r>
    </w:p>
    <w:p w14:paraId="3A7BF995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导入/导出</w:t>
      </w:r>
    </w:p>
    <w:p w14:paraId="7A6382A6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支持可选增量/全量</w:t>
      </w:r>
    </w:p>
    <w:p w14:paraId="419C5DFA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设为/取消主管</w:t>
      </w:r>
    </w:p>
    <w:p w14:paraId="3389D698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打上标签,可在直属主管下拉列表中获取到.</w:t>
      </w:r>
    </w:p>
    <w:p w14:paraId="7E162DDD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租户管理</w:t>
      </w:r>
    </w:p>
    <w:p w14:paraId="1D8635BD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参数管理</w:t>
      </w:r>
    </w:p>
    <w:p w14:paraId="22B719D5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租户下默认密码配置.租户下登录错误次数配置等默认参数配置.</w:t>
      </w:r>
    </w:p>
    <w:p w14:paraId="0043DEB9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租户管理</w:t>
      </w:r>
    </w:p>
    <w:p w14:paraId="4F912C2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过期时间鉴权/租户账号额度:即一个租户下能存在多少的用户量</w:t>
      </w:r>
    </w:p>
    <w:p w14:paraId="7583077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产品包管理:租户最多拥有的权限范围.</w:t>
      </w:r>
    </w:p>
    <w:p w14:paraId="0018BB1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所有数据支持租户隔离.以及隔离等级的选择(库/表/字段层面).</w:t>
      </w:r>
    </w:p>
    <w:p w14:paraId="4599751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不需要隔离的数据可通过注解方式开放数据</w:t>
      </w:r>
    </w:p>
    <w:p w14:paraId="6A77FD07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权限管理</w:t>
      </w:r>
    </w:p>
    <w:p w14:paraId="08E16BE6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菜单/按钮权限</w:t>
      </w:r>
    </w:p>
    <w:p w14:paraId="27A3651D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通用web配置功能</w:t>
      </w:r>
    </w:p>
    <w:p w14:paraId="631582E2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数据权限</w:t>
      </w:r>
    </w:p>
    <w:p w14:paraId="0FA1260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纯注解配置:@DataAuth 支持固定字段/自定义规则</w:t>
      </w:r>
    </w:p>
    <w:p w14:paraId="3235F7C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Web全自动配置,页面配置后动态生效.</w:t>
      </w:r>
    </w:p>
    <w:p w14:paraId="3D8660C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注解半自动配置 ,即web配置复用+注解(权限编号)</w:t>
      </w:r>
    </w:p>
    <w:p w14:paraId="056FFAD4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接口权限</w:t>
      </w:r>
    </w:p>
    <w:p w14:paraId="77E1086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@PreAuth /@IsAdmin EL表达式</w:t>
      </w:r>
    </w:p>
    <w:p w14:paraId="57D530F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注解指定角色</w:t>
      </w:r>
    </w:p>
    <w:p w14:paraId="60C339A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web配置+注解:权限编号</w:t>
      </w:r>
    </w:p>
    <w:p w14:paraId="32FAD5F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通过注解方式 强行限定特定接口只能特定角色访问.</w:t>
      </w:r>
    </w:p>
    <w:p w14:paraId="07812B28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数据字典</w:t>
      </w:r>
    </w:p>
    <w:p w14:paraId="496EBA65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系统字典</w:t>
      </w:r>
    </w:p>
    <w:p w14:paraId="4264214E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对于系统配置参数层级的维护,全局统一.</w:t>
      </w:r>
    </w:p>
    <w:p w14:paraId="007DB6CF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业务字典</w:t>
      </w:r>
    </w:p>
    <w:p w14:paraId="35D6F03E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可根据不同租户区分不同的业务值.</w:t>
      </w:r>
    </w:p>
    <w:p w14:paraId="4745146D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eg:区域类型下拉</w:t>
      </w:r>
    </w:p>
    <w:p w14:paraId="5C71007E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A租户为办公楼,区域类型的字典维护:办公室/洽谈室/会议室....</w:t>
      </w:r>
    </w:p>
    <w:p w14:paraId="562C5870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B租户为体艺馆,区域类型的字典维护:游泳池/篮球场/乒乓球馆....</w:t>
      </w:r>
    </w:p>
    <w:p w14:paraId="51B172C4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系统监控</w:t>
      </w:r>
    </w:p>
    <w:p w14:paraId="5EB53EE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通用日志</w:t>
      </w:r>
    </w:p>
    <w:p w14:paraId="47C3343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错误日志</w:t>
      </w:r>
    </w:p>
    <w:p w14:paraId="4EF5EF3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接口日志</w:t>
      </w:r>
    </w:p>
    <w:p w14:paraId="23BF7BE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审计日志</w:t>
      </w:r>
    </w:p>
    <w:p w14:paraId="68D6BCCC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基础数据缓存</w:t>
      </w:r>
    </w:p>
    <w:p w14:paraId="465FF9F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用户缓存</w:t>
      </w:r>
    </w:p>
    <w:p w14:paraId="14AA029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系统缓存</w:t>
      </w:r>
    </w:p>
    <w:p w14:paraId="46073DCB">
      <w:pPr>
        <w:rPr>
          <w:rFonts w:hint="eastAsia" w:ascii="楷体" w:hAnsi="楷体" w:eastAsia="楷体" w:cs="楷体"/>
          <w:spacing w:val="0"/>
          <w:sz w:val="24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字典缓存</w:t>
      </w:r>
    </w:p>
    <w:p w14:paraId="2096A17E">
      <w:pPr>
        <w:spacing w:after="287"/>
        <w:rPr>
          <w:rFonts w:hint="eastAsia" w:ascii="楷体" w:hAnsi="楷体" w:eastAsia="楷体" w:cs="楷体"/>
          <w:b/>
          <w:spacing w:val="0"/>
          <w:sz w:val="28"/>
        </w:rPr>
      </w:pPr>
    </w:p>
    <w:p w14:paraId="36F404AB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用户登录</w:t>
      </w:r>
    </w:p>
    <w:p w14:paraId="2F804BF7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drawing>
          <wp:inline distT="0" distB="0" distL="114300" distR="114300">
            <wp:extent cx="5480050" cy="883285"/>
            <wp:effectExtent l="0" t="0" r="635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84E10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用户密码登录:使用SM2非对称加密,</w:t>
      </w:r>
      <w:r>
        <w:rPr>
          <w:rFonts w:hint="eastAsia" w:ascii="楷体" w:hAnsi="楷体" w:eastAsia="楷体" w:cs="楷体"/>
          <w:b/>
          <w:bCs/>
          <w:spacing w:val="0"/>
          <w:sz w:val="24"/>
        </w:rPr>
        <w:t>国家密码局</w:t>
      </w:r>
      <w:r>
        <w:rPr>
          <w:rFonts w:hint="eastAsia" w:ascii="楷体" w:hAnsi="楷体" w:eastAsia="楷体" w:cs="楷体"/>
          <w:spacing w:val="0"/>
          <w:sz w:val="24"/>
        </w:rPr>
        <w:t>认可,属于</w:t>
      </w:r>
      <w:r>
        <w:rPr>
          <w:rFonts w:hint="eastAsia" w:ascii="楷体" w:hAnsi="楷体" w:eastAsia="楷体" w:cs="楷体"/>
          <w:b/>
          <w:bCs/>
          <w:spacing w:val="0"/>
          <w:sz w:val="24"/>
        </w:rPr>
        <w:t>等保推荐算法</w:t>
      </w:r>
      <w:r>
        <w:rPr>
          <w:rFonts w:hint="eastAsia" w:ascii="楷体" w:hAnsi="楷体" w:eastAsia="楷体" w:cs="楷体"/>
          <w:spacing w:val="0"/>
          <w:sz w:val="24"/>
        </w:rPr>
        <w:t>.</w:t>
      </w:r>
    </w:p>
    <w:p w14:paraId="1FE857A9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安全架构</w:t>
      </w:r>
    </w:p>
    <w:p w14:paraId="31805000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认证协议：OAuth2</w:t>
      </w:r>
      <w:r>
        <w:rPr>
          <w:rFonts w:hint="eastAsia" w:ascii="楷体" w:hAnsi="楷体" w:eastAsia="楷体" w:cs="楷体"/>
          <w:spacing w:val="0"/>
          <w:sz w:val="24"/>
        </w:rPr>
        <w:br w:type="textWrapping"/>
      </w:r>
      <w:r>
        <w:rPr>
          <w:rFonts w:hint="eastAsia" w:ascii="楷体" w:hAnsi="楷体" w:eastAsia="楷体" w:cs="楷体"/>
          <w:spacing w:val="0"/>
          <w:sz w:val="24"/>
        </w:rPr>
        <w:t>Token 形式：JWT</w:t>
      </w:r>
      <w:r>
        <w:rPr>
          <w:rFonts w:hint="eastAsia" w:ascii="楷体" w:hAnsi="楷体" w:eastAsia="楷体" w:cs="楷体"/>
          <w:spacing w:val="0"/>
          <w:sz w:val="24"/>
        </w:rPr>
        <w:br w:type="textWrapping"/>
      </w:r>
      <w:r>
        <w:rPr>
          <w:rFonts w:hint="eastAsia" w:ascii="楷体" w:hAnsi="楷体" w:eastAsia="楷体" w:cs="楷体"/>
          <w:spacing w:val="0"/>
          <w:sz w:val="24"/>
        </w:rPr>
        <w:t>授权实现：Spring Security</w:t>
      </w:r>
    </w:p>
    <w:p w14:paraId="1D373F40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代码结构</w:t>
      </w:r>
    </w:p>
    <w:p w14:paraId="5D9584D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方法颗粒度最小化</w:t>
      </w:r>
    </w:p>
    <w:p w14:paraId="4DBFF74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基础业务代码解耦,提高复用性.</w:t>
      </w:r>
    </w:p>
    <w:p w14:paraId="3001C15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代码风格严格统一规范化</w:t>
      </w:r>
    </w:p>
    <w:p w14:paraId="60954C3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大量使用设计模式,以提高学习成本为代价,方便后期扩展维护</w:t>
      </w:r>
    </w:p>
    <w:p w14:paraId="68EF41ED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官方设计取向</w:t>
      </w:r>
    </w:p>
    <w:p w14:paraId="41E87F3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追求企业开发更加高效</w:t>
      </w:r>
    </w:p>
    <w:p w14:paraId="14AADF0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部署更加方便</w:t>
      </w:r>
    </w:p>
    <w:p w14:paraId="01CEC9E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生产更加稳定</w:t>
      </w:r>
    </w:p>
    <w:p w14:paraId="6278F46D">
      <w:pPr>
        <w:spacing w:after="278"/>
        <w:rPr>
          <w:rFonts w:hint="eastAsia" w:ascii="楷体" w:hAnsi="楷体" w:eastAsia="楷体" w:cs="楷体"/>
          <w:b/>
          <w:spacing w:val="0"/>
          <w:sz w:val="33"/>
        </w:rPr>
      </w:pPr>
    </w:p>
    <w:p w14:paraId="5C560899">
      <w:pPr>
        <w:spacing w:after="278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33"/>
        </w:rPr>
        <w:t>JEECG</w:t>
      </w:r>
    </w:p>
    <w:p w14:paraId="1CD6AA43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用户管理</w:t>
      </w:r>
    </w:p>
    <w:p w14:paraId="53D75BC5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职务/部门/角色/租户均为多选.</w:t>
      </w:r>
    </w:p>
    <w:p w14:paraId="1283EB55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平台配置(无)</w:t>
      </w:r>
    </w:p>
    <w:p w14:paraId="2A39F23D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无</w:t>
      </w:r>
    </w:p>
    <w:p w14:paraId="59168868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密码重置</w:t>
      </w:r>
    </w:p>
    <w:p w14:paraId="04855827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默认密码写死,</w:t>
      </w:r>
      <w:r>
        <w:rPr>
          <w:rFonts w:hint="eastAsia" w:ascii="楷体" w:hAnsi="楷体" w:eastAsia="楷体" w:cs="楷体"/>
          <w:b/>
          <w:spacing w:val="0"/>
          <w:sz w:val="24"/>
        </w:rPr>
        <w:t>不可配置.</w:t>
      </w:r>
    </w:p>
    <w:p w14:paraId="4B4C8123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账号封禁</w:t>
      </w:r>
    </w:p>
    <w:p w14:paraId="32F88AB8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账号连续输入错误次数</w:t>
      </w:r>
      <w:r>
        <w:rPr>
          <w:rFonts w:hint="eastAsia" w:ascii="楷体" w:hAnsi="楷体" w:eastAsia="楷体" w:cs="楷体"/>
          <w:b/>
          <w:spacing w:val="0"/>
          <w:sz w:val="24"/>
        </w:rPr>
        <w:t>大于5次</w:t>
      </w:r>
      <w:r>
        <w:rPr>
          <w:rFonts w:hint="eastAsia" w:ascii="楷体" w:hAnsi="楷体" w:eastAsia="楷体" w:cs="楷体"/>
          <w:spacing w:val="0"/>
          <w:sz w:val="24"/>
        </w:rPr>
        <w:t>.账号封禁.实现方式 redis key+TTL.</w:t>
      </w:r>
    </w:p>
    <w:p w14:paraId="11F288E7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账号解封(无)</w:t>
      </w:r>
    </w:p>
    <w:p w14:paraId="4B9E79C9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即输入错误后,无法在页面中解封</w:t>
      </w:r>
    </w:p>
    <w:p w14:paraId="1926A89D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账号冻结</w:t>
      </w:r>
    </w:p>
    <w:p w14:paraId="15332C95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用DB中的status 状态.正常.</w:t>
      </w:r>
    </w:p>
    <w:p w14:paraId="03B23A32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账号解冻</w:t>
      </w:r>
    </w:p>
    <w:p w14:paraId="3B77210B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用DB中的status 状态.正常.</w:t>
      </w:r>
    </w:p>
    <w:p w14:paraId="163FBA5F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回收站</w:t>
      </w:r>
    </w:p>
    <w:p w14:paraId="6428B8DE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即删除的用户在回收站中,可恢复为正常账号.</w:t>
      </w:r>
    </w:p>
    <w:p w14:paraId="2D1D38DF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导入/导出</w:t>
      </w:r>
    </w:p>
    <w:p w14:paraId="3E5D857A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未限制文件格式.</w:t>
      </w:r>
    </w:p>
    <w:p w14:paraId="7D604065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租户管理</w:t>
      </w:r>
    </w:p>
    <w:p w14:paraId="70EB8C24">
      <w:pPr>
        <w:rPr>
          <w:rFonts w:hint="eastAsia" w:ascii="楷体" w:hAnsi="楷体" w:eastAsia="楷体" w:cs="楷体"/>
          <w:spacing w:val="0"/>
          <w:sz w:val="24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基础表中存在tenant_id字段,但是数据未隔离.</w:t>
      </w:r>
    </w:p>
    <w:p w14:paraId="01A21C7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eg:在A租户下的角色,在B租户中也能看到.而且给产品包赋予A1,A2的权限.能够在角色中赋予A1,A2,B1,C1等全量权限.</w:t>
      </w:r>
    </w:p>
    <w:p w14:paraId="2C42D30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若需实现功能:得通过数据权限进行隔离, 且数据权限配置底层代码需改造.</w:t>
      </w:r>
    </w:p>
    <w:p w14:paraId="6C2AB2B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用户表中租户可多选. 租户这块JEECG开源版并不支持传统意义的租户隔离(库/表/字段层面),只是个产品包的赋值,且不能够形成逻辑闭环.</w:t>
      </w:r>
    </w:p>
    <w:p w14:paraId="1AF516C7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权限管理</w:t>
      </w:r>
    </w:p>
    <w:p w14:paraId="3C5153E4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菜单/按钮权限</w:t>
      </w:r>
    </w:p>
    <w:p w14:paraId="66A26847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通用web配置功能</w:t>
      </w:r>
    </w:p>
    <w:p w14:paraId="24F1E68E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数据权限</w:t>
      </w:r>
    </w:p>
    <w:p w14:paraId="44CA3D91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数据权限通过注解(@RequiresPermissions)+web配置方式实现,但底层代码存在bug,需改造后使用.</w:t>
      </w:r>
    </w:p>
    <w:p w14:paraId="33E895A4">
      <w:pPr>
        <w:spacing w:after="319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4"/>
        </w:rPr>
        <w:t>接口权限(无)</w:t>
      </w:r>
    </w:p>
    <w:p w14:paraId="04601CA5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数据字典</w:t>
      </w:r>
    </w:p>
    <w:p w14:paraId="692A0E5F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无划分.</w:t>
      </w:r>
    </w:p>
    <w:p w14:paraId="6656EE8C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系统监控</w:t>
      </w:r>
    </w:p>
    <w:p w14:paraId="59F8AB2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日志管理</w:t>
      </w:r>
    </w:p>
    <w:p w14:paraId="13A4084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数据日志</w:t>
      </w:r>
    </w:p>
    <w:p w14:paraId="0ED763C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SQL监控</w:t>
      </w:r>
    </w:p>
    <w:p w14:paraId="751A7A5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性能监控</w:t>
      </w:r>
    </w:p>
    <w:p w14:paraId="31617F8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Redis监控</w:t>
      </w:r>
    </w:p>
    <w:p w14:paraId="71B3778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请求追踪</w:t>
      </w:r>
    </w:p>
    <w:p w14:paraId="57ECD893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基础数据缓存(无)</w:t>
      </w:r>
    </w:p>
    <w:p w14:paraId="731976E0">
      <w:pPr>
        <w:spacing w:after="287"/>
        <w:rPr>
          <w:rFonts w:hint="eastAsia" w:ascii="楷体" w:hAnsi="楷体" w:eastAsia="楷体" w:cs="楷体"/>
          <w:b/>
          <w:spacing w:val="0"/>
          <w:sz w:val="28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用户登录</w:t>
      </w:r>
    </w:p>
    <w:p w14:paraId="24A389B7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drawing>
          <wp:inline distT="0" distB="0" distL="114300" distR="114300">
            <wp:extent cx="5485765" cy="2821940"/>
            <wp:effectExtent l="0" t="0" r="6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</w:rPr>
        <w:drawing>
          <wp:inline distT="0" distB="0" distL="114300" distR="114300">
            <wp:extent cx="5483225" cy="1542415"/>
            <wp:effectExtent l="0" t="0" r="31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B5B64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用户密码使用:AES对称加密,</w:t>
      </w:r>
      <w:r>
        <w:rPr>
          <w:rFonts w:hint="eastAsia" w:ascii="楷体" w:hAnsi="楷体" w:eastAsia="楷体" w:cs="楷体"/>
          <w:b/>
          <w:bCs/>
          <w:spacing w:val="0"/>
          <w:sz w:val="24"/>
        </w:rPr>
        <w:t>存在泄露风险</w:t>
      </w:r>
    </w:p>
    <w:p w14:paraId="62E6FB36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安全架构</w:t>
      </w:r>
    </w:p>
    <w:p w14:paraId="13492D22">
      <w:pPr>
        <w:spacing w:after="2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pacing w:val="0"/>
          <w:sz w:val="24"/>
        </w:rPr>
        <w:t>Token 形式：JWT</w:t>
      </w:r>
      <w:r>
        <w:rPr>
          <w:rFonts w:hint="eastAsia" w:ascii="楷体" w:hAnsi="楷体" w:eastAsia="楷体" w:cs="楷体"/>
          <w:spacing w:val="0"/>
          <w:sz w:val="24"/>
        </w:rPr>
        <w:br w:type="textWrapping"/>
      </w:r>
      <w:r>
        <w:rPr>
          <w:rFonts w:hint="eastAsia" w:ascii="楷体" w:hAnsi="楷体" w:eastAsia="楷体" w:cs="楷体"/>
          <w:spacing w:val="0"/>
          <w:sz w:val="24"/>
        </w:rPr>
        <w:t>授权实现：Shiro</w:t>
      </w:r>
    </w:p>
    <w:p w14:paraId="461E55CE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代码结构</w:t>
      </w:r>
    </w:p>
    <w:p w14:paraId="79D9662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ERP开发方式</w:t>
      </w:r>
    </w:p>
    <w:p w14:paraId="600DFAD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为了便捷开发,代码风格不严谨</w:t>
      </w:r>
    </w:p>
    <w:p w14:paraId="78DF00F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在提高可读性的同时,降低了扩展性.</w:t>
      </w:r>
    </w:p>
    <w:p w14:paraId="04E7F0B2">
      <w:pPr>
        <w:spacing w:after="28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pacing w:val="0"/>
          <w:sz w:val="28"/>
        </w:rPr>
        <w:t>官方设计取向</w:t>
      </w:r>
    </w:p>
    <w:p w14:paraId="697FB95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低学习成本</w:t>
      </w:r>
    </w:p>
    <w:p w14:paraId="0A0C807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中小企业 / 快速开发</w:t>
      </w:r>
    </w:p>
    <w:p w14:paraId="1D07589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>权限可视化 + 代码生成</w:t>
      </w:r>
    </w:p>
    <w:p w14:paraId="45B28700">
      <w:pPr>
        <w:rPr>
          <w:rFonts w:hint="eastAsia" w:ascii="楷体" w:hAnsi="楷体" w:eastAsia="楷体" w:cs="楷体"/>
          <w:spacing w:val="0"/>
          <w:sz w:val="24"/>
        </w:rPr>
      </w:pPr>
      <w:r>
        <w:rPr>
          <w:rFonts w:hint="eastAsia" w:ascii="楷体" w:hAnsi="楷体" w:eastAsia="楷体" w:cs="楷体"/>
          <w:sz w:val="24"/>
        </w:rPr>
        <w:t>•</w:t>
      </w:r>
      <w:r>
        <w:rPr>
          <w:rFonts w:hint="eastAsia" w:ascii="楷体" w:hAnsi="楷体" w:eastAsia="楷体" w:cs="楷体"/>
          <w:sz w:val="24"/>
        </w:rPr>
        <w:tab/>
      </w:r>
      <w:r>
        <w:rPr>
          <w:rFonts w:hint="eastAsia" w:ascii="楷体" w:hAnsi="楷体" w:eastAsia="楷体" w:cs="楷体"/>
          <w:spacing w:val="0"/>
          <w:sz w:val="24"/>
        </w:rPr>
        <w:t xml:space="preserve">本质是 </w:t>
      </w:r>
      <w:r>
        <w:rPr>
          <w:rFonts w:hint="eastAsia" w:ascii="楷体" w:hAnsi="楷体" w:eastAsia="楷体" w:cs="楷体"/>
          <w:b/>
          <w:spacing w:val="0"/>
          <w:sz w:val="24"/>
        </w:rPr>
        <w:t>“工程效率优先”</w:t>
      </w:r>
      <w:r>
        <w:rPr>
          <w:rFonts w:hint="eastAsia" w:ascii="楷体" w:hAnsi="楷体" w:eastAsia="楷体" w:cs="楷体"/>
          <w:spacing w:val="0"/>
          <w:sz w:val="24"/>
        </w:rPr>
        <w:t>，不是“</w:t>
      </w:r>
      <w:r>
        <w:rPr>
          <w:rFonts w:hint="eastAsia" w:ascii="楷体" w:hAnsi="楷体" w:eastAsia="楷体" w:cs="楷体"/>
          <w:b/>
          <w:spacing w:val="0"/>
          <w:sz w:val="24"/>
        </w:rPr>
        <w:t>规范优先</w:t>
      </w:r>
      <w:r>
        <w:rPr>
          <w:rFonts w:hint="eastAsia" w:ascii="楷体" w:hAnsi="楷体" w:eastAsia="楷体" w:cs="楷体"/>
          <w:spacing w:val="0"/>
          <w:sz w:val="24"/>
        </w:rPr>
        <w:t>”。</w:t>
      </w:r>
    </w:p>
    <w:p w14:paraId="4A52B605">
      <w:pPr>
        <w:numPr>
          <w:ilvl w:val="0"/>
          <w:numId w:val="1"/>
        </w:numPr>
        <w:spacing w:after="278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实战对比</w:t>
      </w:r>
    </w:p>
    <w:p w14:paraId="1BA939AB">
      <w:pPr>
        <w:numPr>
          <w:ilvl w:val="0"/>
          <w:numId w:val="0"/>
        </w:numPr>
        <w:spacing w:after="278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以自身开发的两个项目的感受作为对比,列举几点:</w:t>
      </w:r>
    </w:p>
    <w:p w14:paraId="474E2840">
      <w:pPr>
        <w:numPr>
          <w:ilvl w:val="0"/>
          <w:numId w:val="0"/>
        </w:numPr>
        <w:spacing w:after="278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《公交集团报餐管理系统》</w:t>
      </w:r>
    </w:p>
    <w:p w14:paraId="0D237CDB">
      <w:pPr>
        <w:numPr>
          <w:ilvl w:val="0"/>
          <w:numId w:val="0"/>
        </w:numPr>
        <w:spacing w:after="278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开发框架:JEECG</w:t>
      </w:r>
    </w:p>
    <w:p w14:paraId="3DFDF228">
      <w:pPr>
        <w:numPr>
          <w:ilvl w:val="0"/>
          <w:numId w:val="0"/>
        </w:numPr>
        <w:spacing w:after="278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JDK版本:JDK8</w:t>
      </w:r>
    </w:p>
    <w:p w14:paraId="10B992EC">
      <w:pPr>
        <w:numPr>
          <w:ilvl w:val="0"/>
          <w:numId w:val="0"/>
        </w:numPr>
        <w:spacing w:after="278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运维部署及中间件:Jenkins+Jar包形式部署</w:t>
      </w:r>
    </w:p>
    <w:p w14:paraId="7FC7521B">
      <w:pPr>
        <w:numPr>
          <w:ilvl w:val="0"/>
          <w:numId w:val="0"/>
        </w:numPr>
        <w:spacing w:after="278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文件存储:FTP</w:t>
      </w:r>
    </w:p>
    <w:p w14:paraId="1A2002F7">
      <w:pPr>
        <w:numPr>
          <w:ilvl w:val="0"/>
          <w:numId w:val="2"/>
        </w:numPr>
        <w:spacing w:after="278"/>
        <w:ind w:left="0" w:leftChars="0" w:firstLine="0" w:firstLineChars="0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基础数据缓存:没有基础数据缓存的情况,对业务表的查询需要联基础表(如用户表,部门表等),对SQL效率大幅度降低.</w:t>
      </w:r>
    </w:p>
    <w:p w14:paraId="0E4838F8">
      <w:pPr>
        <w:numPr>
          <w:ilvl w:val="0"/>
          <w:numId w:val="2"/>
        </w:numPr>
        <w:spacing w:after="278"/>
        <w:ind w:left="0" w:leftChars="0" w:firstLine="0" w:firstLineChars="0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文件存储及权限控制:文件以FTP形式传输,每个连接占用服务器资源,吃的是磁盘I/O能力,并发能力弱,权限难以划分.以及等保安全的问题.</w:t>
      </w:r>
    </w:p>
    <w:p w14:paraId="372E0755">
      <w:pPr>
        <w:numPr>
          <w:ilvl w:val="0"/>
          <w:numId w:val="2"/>
        </w:numPr>
        <w:spacing w:after="278"/>
        <w:ind w:left="0" w:leftChars="0" w:firstLine="0" w:firstLineChars="0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JDK版本:JDK8确实是用户体量以及存在时间比较久的版本.</w:t>
      </w:r>
    </w:p>
    <w:p w14:paraId="76583AD7">
      <w:pPr>
        <w:numPr>
          <w:ilvl w:val="0"/>
          <w:numId w:val="2"/>
        </w:numPr>
        <w:spacing w:after="278"/>
        <w:ind w:left="0" w:leftChars="0" w:firstLine="0" w:firstLineChars="0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代码规范:从开发框架来讲,底层就不在意代码规范这件事,提高可读性的同时会导致代码复用性,扩展性较差.</w:t>
      </w:r>
    </w:p>
    <w:p w14:paraId="46428FFE">
      <w:pPr>
        <w:numPr>
          <w:ilvl w:val="0"/>
          <w:numId w:val="2"/>
        </w:numPr>
        <w:spacing w:after="278"/>
        <w:ind w:left="0" w:leftChars="0" w:firstLine="0" w:firstLineChars="0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部署运维:Jenkins+Jar包的部署,一个项目的发布,常常需要十几二十分钟.对于项目未上线前的内部测试/开发,降低了许多效率.</w:t>
      </w:r>
    </w:p>
    <w:p w14:paraId="720269F5">
      <w:pPr>
        <w:widowControl w:val="0"/>
        <w:numPr>
          <w:ilvl w:val="0"/>
          <w:numId w:val="0"/>
        </w:numPr>
        <w:spacing w:after="278"/>
        <w:jc w:val="both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</w:p>
    <w:p w14:paraId="0DCC1449">
      <w:pPr>
        <w:widowControl w:val="0"/>
        <w:numPr>
          <w:ilvl w:val="0"/>
          <w:numId w:val="0"/>
        </w:numPr>
        <w:spacing w:after="278"/>
        <w:jc w:val="both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</w:p>
    <w:p w14:paraId="1E964A1A">
      <w:pPr>
        <w:widowControl w:val="0"/>
        <w:numPr>
          <w:ilvl w:val="0"/>
          <w:numId w:val="0"/>
        </w:numPr>
        <w:spacing w:after="278"/>
        <w:jc w:val="both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</w:p>
    <w:p w14:paraId="2615653A">
      <w:pPr>
        <w:numPr>
          <w:ilvl w:val="0"/>
          <w:numId w:val="0"/>
        </w:numPr>
        <w:spacing w:after="278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《狄耐克空间预约系统》</w:t>
      </w:r>
    </w:p>
    <w:p w14:paraId="02111F48">
      <w:pPr>
        <w:numPr>
          <w:ilvl w:val="0"/>
          <w:numId w:val="0"/>
        </w:numPr>
        <w:spacing w:after="278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开发框架:BladeX</w:t>
      </w:r>
    </w:p>
    <w:p w14:paraId="5E48ED53">
      <w:pPr>
        <w:numPr>
          <w:ilvl w:val="0"/>
          <w:numId w:val="0"/>
        </w:numPr>
        <w:spacing w:after="278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JDK版本:JDK17</w:t>
      </w:r>
    </w:p>
    <w:p w14:paraId="4B52AB3A">
      <w:pPr>
        <w:numPr>
          <w:ilvl w:val="0"/>
          <w:numId w:val="0"/>
        </w:numPr>
        <w:spacing w:after="278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运维部署及中间件:</w:t>
      </w:r>
    </w:p>
    <w:p w14:paraId="61F7F72E">
      <w:pPr>
        <w:numPr>
          <w:ilvl w:val="0"/>
          <w:numId w:val="0"/>
        </w:numPr>
        <w:spacing w:after="278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Rabbitmq,Minio,Nginx,docker,dockercompose,Portainer,Harbor,Nexus</w:t>
      </w:r>
    </w:p>
    <w:p w14:paraId="1813BD69">
      <w:pPr>
        <w:numPr>
          <w:ilvl w:val="0"/>
          <w:numId w:val="0"/>
        </w:numPr>
        <w:spacing w:after="278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</w:p>
    <w:p w14:paraId="378B41BE">
      <w:pPr>
        <w:numPr>
          <w:ilvl w:val="0"/>
          <w:numId w:val="3"/>
        </w:numPr>
        <w:spacing w:after="278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基础数据缓存:所有需要用到基础数据的情况下,都走Redis缓存,SQL的联表操作转移至内存中运行,极大提升接口响应时间,并且减轻开发时的代码量.</w:t>
      </w:r>
    </w:p>
    <w:p w14:paraId="34124480">
      <w:pPr>
        <w:numPr>
          <w:ilvl w:val="0"/>
          <w:numId w:val="3"/>
        </w:numPr>
        <w:spacing w:after="278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文件存储及权限控制:文件通过OSS对象存储系统管理,文件上传规则规范化.方便文件管理/文件迁移.以及加上了Nignx对OSS的鉴权转发至后端服务,避免文件数据流经过业务服务，在高并发下载场景下有效提升系统吞吐能力并降低服务资源消耗。</w:t>
      </w:r>
    </w:p>
    <w:p w14:paraId="42FE04CF">
      <w:pPr>
        <w:numPr>
          <w:ilvl w:val="0"/>
          <w:numId w:val="3"/>
        </w:numPr>
        <w:spacing w:after="278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JDK17与JDK8的官方对比:Web 接口吞吐提升20%,GC 停顿时间降低50%,CPU 利用率提升15%,并且长时间运行更加稳定.</w:t>
      </w:r>
    </w:p>
    <w:p w14:paraId="2AD57A5B">
      <w:pPr>
        <w:numPr>
          <w:ilvl w:val="0"/>
          <w:numId w:val="3"/>
        </w:numPr>
        <w:spacing w:after="278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代码规范:底层框架贴合阿里开发规范,遵从设计模式思想,大面积使用设计模式,扩展性,复用性提高的同时学习成本会相对提高.并且基础组件的封装,较为成熟,提供大量的工具类,避免项目中的大部分依赖冲突问题</w:t>
      </w:r>
    </w:p>
    <w:p w14:paraId="64E19DBB">
      <w:pPr>
        <w:numPr>
          <w:ilvl w:val="0"/>
          <w:numId w:val="3"/>
        </w:numPr>
        <w:spacing w:after="278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 xml:space="preserve">运维部署:使用Docker容器化部署,加上docker-compose容器编排.使版本的发布,仅需一两分钟.并且有Portainer容器可视化的管理界面,可时刻监视容器运行状态,以及日志的短效检索. </w:t>
      </w:r>
    </w:p>
    <w:p w14:paraId="1240F9BA">
      <w:pPr>
        <w:widowControl w:val="0"/>
        <w:numPr>
          <w:ilvl w:val="0"/>
          <w:numId w:val="0"/>
        </w:numPr>
        <w:spacing w:after="278"/>
        <w:jc w:val="both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</w:p>
    <w:p w14:paraId="357E6A58">
      <w:pPr>
        <w:numPr>
          <w:ilvl w:val="0"/>
          <w:numId w:val="1"/>
        </w:numPr>
        <w:spacing w:after="278"/>
        <w:ind w:left="0" w:leftChars="0" w:firstLine="0" w:firstLineChars="0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长期规划</w:t>
      </w:r>
    </w:p>
    <w:p w14:paraId="05FA41ED">
      <w:pPr>
        <w:numPr>
          <w:ilvl w:val="0"/>
          <w:numId w:val="0"/>
        </w:numPr>
        <w:spacing w:after="278"/>
        <w:ind w:leftChars="0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日志持久化方面可考虑使用Grafana+Loki 实现.</w:t>
      </w:r>
    </w:p>
    <w:p w14:paraId="2ACB19AB">
      <w:pPr>
        <w:numPr>
          <w:ilvl w:val="0"/>
          <w:numId w:val="0"/>
        </w:numPr>
        <w:spacing w:after="278"/>
        <w:ind w:leftChars="0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集成Zipkin进行链路追踪,方便生产环境的bug定位. Nexus 进行统一的依赖管理.</w:t>
      </w:r>
    </w:p>
    <w:p w14:paraId="279F4FF3">
      <w:pPr>
        <w:numPr>
          <w:ilvl w:val="0"/>
          <w:numId w:val="0"/>
        </w:numPr>
        <w:spacing w:after="278"/>
        <w:ind w:leftChars="0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Harbor作为镜像仓库,依照产品切分TAG.</w:t>
      </w:r>
    </w:p>
    <w:p w14:paraId="1896D7D5">
      <w:pPr>
        <w:numPr>
          <w:ilvl w:val="0"/>
          <w:numId w:val="0"/>
        </w:numPr>
        <w:spacing w:after="278"/>
        <w:ind w:leftChars="0"/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使用MagicAPI,接口/sql的固化,对于大屏的数据,实现敏捷开发.</w:t>
      </w:r>
    </w:p>
    <w:p w14:paraId="69D25461">
      <w:pPr>
        <w:numPr>
          <w:ilvl w:val="0"/>
          <w:numId w:val="0"/>
        </w:numPr>
        <w:spacing w:after="278"/>
        <w:ind w:leftChars="0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  <w:r>
        <w:rPr>
          <w:rFonts w:hint="eastAsia" w:ascii="楷体" w:hAnsi="楷体" w:eastAsia="楷体" w:cs="楷体"/>
          <w:b/>
          <w:spacing w:val="0"/>
          <w:sz w:val="33"/>
          <w:lang w:val="en-US" w:eastAsia="zh-CN"/>
        </w:rPr>
        <w:t>使用Node-Red,物联网规则配置化,减少业务代码耦合度.</w:t>
      </w:r>
    </w:p>
    <w:p w14:paraId="79156E3F">
      <w:pPr>
        <w:numPr>
          <w:ilvl w:val="0"/>
          <w:numId w:val="0"/>
        </w:numPr>
        <w:spacing w:after="278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</w:p>
    <w:p w14:paraId="65738975">
      <w:pPr>
        <w:numPr>
          <w:ilvl w:val="0"/>
          <w:numId w:val="0"/>
        </w:numPr>
        <w:spacing w:after="278"/>
        <w:rPr>
          <w:rFonts w:hint="default" w:ascii="楷体" w:hAnsi="楷体" w:eastAsia="楷体" w:cs="楷体"/>
          <w:b/>
          <w:spacing w:val="0"/>
          <w:sz w:val="33"/>
          <w:lang w:val="en-US" w:eastAsia="zh-CN"/>
        </w:rPr>
      </w:pPr>
    </w:p>
    <w:p w14:paraId="2C2BCA75">
      <w:pPr>
        <w:rPr>
          <w:rFonts w:hint="eastAsia" w:ascii="楷体" w:hAnsi="楷体" w:eastAsia="楷体" w:cs="楷体"/>
          <w:spacing w:val="0"/>
          <w:sz w:val="24"/>
          <w:lang w:val="en-US" w:eastAsia="zh-CN"/>
        </w:rPr>
      </w:pPr>
      <w:bookmarkStart w:id="0" w:name="_GoBack"/>
      <w:bookmarkEnd w:id="0"/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88B80A"/>
    <w:multiLevelType w:val="singleLevel"/>
    <w:tmpl w:val="CB88B80A"/>
    <w:lvl w:ilvl="0" w:tentative="0">
      <w:start w:val="2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1">
    <w:nsid w:val="EB451351"/>
    <w:multiLevelType w:val="singleLevel"/>
    <w:tmpl w:val="EB4513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A4031DC"/>
    <w:multiLevelType w:val="singleLevel"/>
    <w:tmpl w:val="3A4031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1161861"/>
    <w:rsid w:val="030F1E44"/>
    <w:rsid w:val="03261624"/>
    <w:rsid w:val="05551D4C"/>
    <w:rsid w:val="05AE1E90"/>
    <w:rsid w:val="097906FF"/>
    <w:rsid w:val="0C0D1B60"/>
    <w:rsid w:val="11C75D80"/>
    <w:rsid w:val="1A047CFF"/>
    <w:rsid w:val="1F8F25D3"/>
    <w:rsid w:val="1FE346CD"/>
    <w:rsid w:val="24912949"/>
    <w:rsid w:val="27A110F5"/>
    <w:rsid w:val="2900009D"/>
    <w:rsid w:val="2F296BD9"/>
    <w:rsid w:val="342033A2"/>
    <w:rsid w:val="3EA177D5"/>
    <w:rsid w:val="3F422D66"/>
    <w:rsid w:val="3FE02725"/>
    <w:rsid w:val="423A2407"/>
    <w:rsid w:val="4DB1450C"/>
    <w:rsid w:val="504B57F2"/>
    <w:rsid w:val="56301712"/>
    <w:rsid w:val="56B118C7"/>
    <w:rsid w:val="5E167440"/>
    <w:rsid w:val="613025C6"/>
    <w:rsid w:val="65B57A1A"/>
    <w:rsid w:val="6EEB5D7F"/>
    <w:rsid w:val="784E4825"/>
    <w:rsid w:val="7EDD51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2254</Words>
  <Characters>2699</Characters>
  <TotalTime>4</TotalTime>
  <ScaleCrop>false</ScaleCrop>
  <LinksUpToDate>false</LinksUpToDate>
  <CharactersWithSpaces>2773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2025-12-30T12:20:00Z</dcterms:created>
  <dc:creator>Administrator</dc:creator>
  <cp:lastModifiedBy>扬</cp:lastModifiedBy>
  <dcterms:modified xsi:type="dcterms:W3CDTF">2025-12-30T13:23:57Z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eyJoZGlkIjoiOGJhZTE0YTQxMjhiNDQxMGMyY2VhNzljZDhkMjBlMzUiLCJ1c2VySWQiOiIxMDAxODUwNDk0In0=</vt:lpwstr>
  </property>
  <property fmtid="{D5CDD505-2E9C-101B-9397-08002B2CF9AE}" pid="3" name="KSOProductBuildVer">
    <vt:lpwstr>2052-12.1.0.24034</vt:lpwstr>
  </property>
  <property fmtid="{D5CDD505-2E9C-101B-9397-08002B2CF9AE}" pid="4" name="ICV">
    <vt:lpwstr>C7DA7D99F32D4A8F9B63022B7DF82E4A_12</vt:lpwstr>
  </property>
</Properties>
</file>