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GIS应用答题模板（多领域通用）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GIS答题核心围绕「空间数据整合+空间分析能力」，适配“事前-事中-事后”全流程，结合具体领域场景，分点规范作答，确保踩点全面、逻辑清晰。模板涵盖火灾爆炸、自然灾害、城市管理、资源环境、交通物流等高频领域，可直接套用，灵活调整细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一、通用答题框架（所有领域适配，核心踩分点）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答题结构：总述+分场景（事前/事中/事后）+技术支撑+应用价值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总述</w:t>
      </w:r>
      <w:r>
        <w:rPr>
          <w:rFonts w:eastAsia="等线" w:ascii="Arial" w:cs="Arial" w:hAnsi="Arial"/>
          <w:sz w:val="22"/>
        </w:rPr>
        <w:t>：简要说明GIS在该领域的核心作用（一句话概括，如“GIS在XX领域中，核心是通过空间数据可视化与空间分析，构建全流程空间化支撑体系，实现精准管控、高效处置与科学决策”）。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分场景作答（核心踩分点）</w:t>
      </w:r>
      <w:r>
        <w:rPr>
          <w:rFonts w:eastAsia="等线" w:ascii="Arial" w:cs="Arial" w:hAnsi="Arial"/>
          <w:sz w:val="22"/>
        </w:rPr>
        <w:t>：按“事前-事中-事后”逻辑展开，结合领域特点补充具体场景，每个场景说明“GIS做什么+实现什么效果”。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技术支撑（可选，拔高得分）</w:t>
      </w:r>
      <w:r>
        <w:rPr>
          <w:rFonts w:eastAsia="等线" w:ascii="Arial" w:cs="Arial" w:hAnsi="Arial"/>
          <w:sz w:val="22"/>
        </w:rPr>
        <w:t>：简要列举适配该领域的GIS关键技术（如空间数据整合、缓冲区分析、三维可视化、WebGIS/移动GIS等）。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应用价值（总结，升华得分）</w:t>
      </w:r>
      <w:r>
        <w:rPr>
          <w:rFonts w:eastAsia="等线" w:ascii="Arial" w:cs="Arial" w:hAnsi="Arial"/>
          <w:sz w:val="22"/>
        </w:rPr>
        <w:t>：从效率、精准度、管理水平、安全保障等角度总结，体现GIS的实际意义。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二、分领域答题模板（直接套用，替换括号内内容即可）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模板1：火灾爆炸领域（如辽宁公司火灾爆炸、石化园区火灾等）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总述</w:t>
      </w:r>
      <w:r>
        <w:rPr>
          <w:rFonts w:eastAsia="等线" w:ascii="Arial" w:cs="Arial" w:hAnsi="Arial"/>
          <w:sz w:val="22"/>
        </w:rPr>
        <w:t>：GIS在火灾爆炸事故中，核心是构建“事前防控—事中处置—事后复盘”全流程空间化支撑体系，整合事故相关空间与属性数据，通过空间分析实现风险精准管控、救援高效调度与事故科学复盘。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分场景作答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事前：① 构建重大危险源“一张图”，整合储罐、管线、危化品仓库等空间位置与属性信息，叠加周边敏感目标（人口、建筑、道路），明确风险底数；② 开展风险分区，叠加工艺风险、消防设施分布等数据，划分高/中/低风险区，指导隐患排查；③ 优化应急资源布局，规划消防站、应急物资库位置，确保救援覆盖。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事中：① 事故快速定位，一键调取起火/爆炸点周边设施、消防资源、疏散通道等数据；② 规划最优救援路径，结合实时路况、风向、爆炸影响范围，规避危险区域；③ 动态模拟事故后果，标绘冲击波、热辐射、有毒气体扩散范围，指导人员疏散与警戒；④ 实现多部门协同，共享数据，支撑可视化指挥。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事后：① 空间还原事故过程，回溯起火点、蔓延路径、救援路线，还原事故全貌；② 量化损失评估，叠加影响范围与建筑、设备、人口数据，为事故调查提供依据；③ 复盘应急能力，优化应急预案与资源布局。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技术支撑</w:t>
      </w:r>
      <w:r>
        <w:rPr>
          <w:rFonts w:eastAsia="等线" w:ascii="Arial" w:cs="Arial" w:hAnsi="Arial"/>
          <w:sz w:val="22"/>
        </w:rPr>
        <w:t>：空间数据整合（CAD/BIM/卫星影像）、缓冲区分析、网络分析（路径规划）、三维可视化、应急模型集成、移动GIS。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应用价值</w:t>
      </w:r>
      <w:r>
        <w:rPr>
          <w:rFonts w:eastAsia="等线" w:ascii="Arial" w:cs="Arial" w:hAnsi="Arial"/>
          <w:sz w:val="22"/>
        </w:rPr>
        <w:t>：推动火灾爆炸防控从“经验驱动”转向“数据驱动”，缩短救援响应时间，降低人员伤亡与财产损失，提升企业与园区安全管理水平。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模板2：自然灾害领域（洪涝、地震、滑坡、台风等）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总述</w:t>
      </w:r>
      <w:r>
        <w:rPr>
          <w:rFonts w:eastAsia="等线" w:ascii="Arial" w:cs="Arial" w:hAnsi="Arial"/>
          <w:sz w:val="22"/>
        </w:rPr>
        <w:t>：GIS在自然灾害防控中，核心是利用空间分析与可视化技术，实现灾害风险精准评估、实时监测预警、应急处置调度与灾后恢复重建，提升自然灾害综合防控能力。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分场景作答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事前：① 构建灾害风险“一张图”，整合地形、地质、气象、水文、人口、建筑等数据，划分灾害风险区（高风险/隐患点）；② 开展风险评估，预判灾害发生概率与影响范围，制定应急预案；③ 标注隐患点位置，建立隐患台账，实现动态跟踪整改。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事中：① 实时整合监测数据（雨量、水位、地震波、滑坡位移），在地图上动态展示灾害发展态势；② 精准预警，向受影响区域推送预警信息，明确预警范围与等级；③ 规划人员转移路线与安置点，调度应急救援力量与物资；④ 模拟灾害蔓延趋势，为指挥决策提供支撑。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事后：① 绘制灾害影响范围图，量化灾害损失（人员伤亡、财产损失、基础设施损毁）；② 分析灾害成因，为后续风险防控提供依据；③ 辅助灾后重建规划，优化居民安置、基础设施修复的空间布局。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技术支撑</w:t>
      </w:r>
      <w:r>
        <w:rPr>
          <w:rFonts w:eastAsia="等线" w:ascii="Arial" w:cs="Arial" w:hAnsi="Arial"/>
          <w:sz w:val="22"/>
        </w:rPr>
        <w:t>：空间叠加分析、缓冲区分析、网络分析、遥感影像解译、三维地形建模、实时数据集成。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应用价值</w:t>
      </w:r>
      <w:r>
        <w:rPr>
          <w:rFonts w:eastAsia="等线" w:ascii="Arial" w:cs="Arial" w:hAnsi="Arial"/>
          <w:sz w:val="22"/>
        </w:rPr>
        <w:t>：提升自然灾害预警精准度与应急处置效率，减少灾害损失，保障人民生命财产安全，推动灾害防控体系数字化、智能化升级。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模板3：城市管理领域（智慧城管、市政管理、城市规划等）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总述</w:t>
      </w:r>
      <w:r>
        <w:rPr>
          <w:rFonts w:eastAsia="等线" w:ascii="Arial" w:cs="Arial" w:hAnsi="Arial"/>
          <w:sz w:val="22"/>
        </w:rPr>
        <w:t>：GIS在城市管理中，核心是构建城市“一张图”管理体系，整合城市各类空间资源与管理数据，实现城市设施、环境、秩序的精细化、可视化管理，提升城市治理效能。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分场景作答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事前（规划阶段）：① 整合城市地形、土地利用、交通、市政设施等数据，辅助城市总体规划、分区规划；② 分析城市人口、交通流量、资源分布，优化城市功能布局（如商业、住宅、市政设施）。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事中（管理阶段）：① 市政设施管理，将路灯、井盖、管网、公交站点等设施精准标注在地图上，实现定位、巡检、维修的全流程管理；② 城市环境管理，叠加空气质量、垃圾分类、污水排放等数据，实时监控城市环境状况，及时处置污染问题；③ 城市秩序管理，整合城管执法数据，实现占道经营、违章建筑等问题的精准定位与处置。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事后（优化阶段）：① 分析城市管理数据（如设施故障频次、执法案件分布），识别管理薄弱环节；② 优化城市管理流程与资源布局，提升城市精细化管理水平；③ 为城市更新、设施升级提供数据支撑。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技术支撑</w:t>
      </w:r>
      <w:r>
        <w:rPr>
          <w:rFonts w:eastAsia="等线" w:ascii="Arial" w:cs="Arial" w:hAnsi="Arial"/>
          <w:sz w:val="22"/>
        </w:rPr>
        <w:t>：城市空间数据整合、WebGIS、移动GIS、空间查询与分析、可视化展示。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应用价值</w:t>
      </w:r>
      <w:r>
        <w:rPr>
          <w:rFonts w:eastAsia="等线" w:ascii="Arial" w:cs="Arial" w:hAnsi="Arial"/>
          <w:sz w:val="22"/>
        </w:rPr>
        <w:t>：打破城市管理“信息孤岛”，提升城市管理效率与精准度，改善城市人居环境，推动智慧城市建设。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模板4：资源环境领域（土地资源、水资源、生态保护等）</w:t>
      </w:r>
      <w:bookmarkEnd w:id="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总述</w:t>
      </w:r>
      <w:r>
        <w:rPr>
          <w:rFonts w:eastAsia="等线" w:ascii="Arial" w:cs="Arial" w:hAnsi="Arial"/>
          <w:sz w:val="22"/>
        </w:rPr>
        <w:t>：GIS在资源环境领域，核心是通过空间数据整合与分析，实现资源的精准调查、动态监测、合理利用，以及生态环境的保护与修复，推动资源环境可持续发展。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分场景作答</w:t>
      </w:r>
      <w:r>
        <w:rPr>
          <w:rFonts w:eastAsia="等线" w:ascii="Arial" w:cs="Arial" w:hAnsi="Arial"/>
          <w:sz w:val="22"/>
        </w:rPr>
        <w:t>：</w:t>
        <w:br/>
        <w:t xml:space="preserve">     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事前（调查与规划）：① 开展资源普查，整合土地、水资源、植被、矿产等空间数据，建立资源数据库，明确资源分布与储量；② 进行生态环境评估，划分生态保护区、生态敏感区，制定资源利用与生态保护规划。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事中（监测与管控）：① 动态监测资源利用状况（如土地占用、水资源开采），及时发现违规利用行为；② 监测生态环境变化（如植被覆盖、水土流失、水体污染），实时推送异常信息；③ 辅助资源调度，如水资源优化配置、土地利用动态调整。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事后（修复与优化）：① 分析资源环境变化趋势，评估资源利用与生态保护效果；② 辅助生态修复规划，如水土流失治理、植被恢复、水体净化；③ 优化资源利用方案，推动资源节约与生态环境保护协同发展。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技术支撑</w:t>
      </w:r>
      <w:r>
        <w:rPr>
          <w:rFonts w:eastAsia="等线" w:ascii="Arial" w:cs="Arial" w:hAnsi="Arial"/>
          <w:sz w:val="22"/>
        </w:rPr>
        <w:t>：遥感影像解译、空间叠加分析、缓冲区分析、地理数据库管理、生态模型集成。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应用价值</w:t>
      </w:r>
      <w:r>
        <w:rPr>
          <w:rFonts w:eastAsia="等线" w:ascii="Arial" w:cs="Arial" w:hAnsi="Arial"/>
          <w:sz w:val="22"/>
        </w:rPr>
        <w:t>：实现资源环境的精准管控与科学利用，提升生态环境保护水平，推动绿色发展、可持续发展。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模板5：交通物流领域（道路管理、物流调度、交通规划等）</w:t>
      </w:r>
      <w:bookmarkEnd w:id="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总述</w:t>
      </w:r>
      <w:r>
        <w:rPr>
          <w:rFonts w:eastAsia="等线" w:ascii="Arial" w:cs="Arial" w:hAnsi="Arial"/>
          <w:sz w:val="22"/>
        </w:rPr>
        <w:t>：GIS在交通物流领域，核心是利用空间网络分析与实时数据整合，实现交通路况监测、路线优化、物流调度智能化，提升交通运行效率与物流配送效率。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分场景作答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事前（规划与布局）：① 整合交通路网、枢纽站点、物流园区等数据，辅助交通路网规划、物流园区布局；② 分析交通流量、物流需求分布，优化交通线路与物流节点布局。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事中（调度与监测）：① 实时监测交通路况（拥堵、事故、施工），动态推送路况信息，规划最优出行路线；② 物流调度，整合货物、车辆、仓储等数据，优化配送路线，实现车辆与货物的精准匹配；③ 交通枢纽管理，可视化展示枢纽运行状况，优化人员、车辆调度。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事后（优化与提升）：① 分析交通运行数据、物流配送数据，识别拥堵节点、配送瓶颈；② 优化交通路网与物流调度方案，提升交通运行与物流配送效率；③ 为交通设施升级、物流体系完善提供数据支撑。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技术支撑</w:t>
      </w:r>
      <w:r>
        <w:rPr>
          <w:rFonts w:eastAsia="等线" w:ascii="Arial" w:cs="Arial" w:hAnsi="Arial"/>
          <w:sz w:val="22"/>
        </w:rPr>
        <w:t>：网络分析（路线优化）、实时数据集成、空间查询、WebGIS/移动GIS、GPS定位。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应用价值</w:t>
      </w:r>
      <w:r>
        <w:rPr>
          <w:rFonts w:eastAsia="等线" w:ascii="Arial" w:cs="Arial" w:hAnsi="Arial"/>
          <w:sz w:val="22"/>
        </w:rPr>
        <w:t>：缓解交通拥堵，缩短出行与配送时间，降低物流成本，提升交通物流行业智能化水平，支撑智慧交通与现代物流发展。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三、答题技巧（加分关键）</w:t>
      </w:r>
      <w:bookmarkEnd w:id="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踩点得分：每个场景优先写“GIS操作+效果”，避免空泛表述（如不说“GIS用于风险防控”，而说“GIS整合危险源数据，划分风险区，实现精准防控”）。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结合场景：答题时结合题干具体场景（如“辽宁公司火灾爆炸”，可补充“适配石化企业储罐、管线等场景”），避免模板化过重。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技术拔高：若题干允许，补充1-2个具体技术（如“缓冲区分析”“三维可视化”），体现专业性。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逻辑清晰：严格按“总-分-总”或“事前-事中-事后”逻辑作答，分点标号，便于阅卷老师找踩分点。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四、适配题型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板适配简答题、论述题、案例分析题（如“结合辽宁公司火灾爆炸案例，说明GIS的应用”“简述GIS在自然灾害防控中的作用”），可根据题型长短，调整每个部分的细节详略（简答题简洁踩点，论述题/案例题补充具体场景与分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25904">
    <w:lvl>
      <w:start w:val="1"/>
      <w:numFmt w:val="decimal"/>
      <w:suff w:val="tab"/>
      <w:lvlText w:val="%1."/>
      <w:rPr>
        <w:color w:val="3370ff"/>
      </w:rPr>
    </w:lvl>
  </w:abstractNum>
  <w:abstractNum w:abstractNumId="12425905">
    <w:lvl>
      <w:start w:val="2"/>
      <w:numFmt w:val="decimal"/>
      <w:suff w:val="tab"/>
      <w:lvlText w:val="%1."/>
      <w:rPr>
        <w:color w:val="3370ff"/>
      </w:rPr>
    </w:lvl>
  </w:abstractNum>
  <w:abstractNum w:abstractNumId="12425906">
    <w:lvl>
      <w:start w:val="3"/>
      <w:numFmt w:val="decimal"/>
      <w:suff w:val="tab"/>
      <w:lvlText w:val="%1."/>
      <w:rPr>
        <w:color w:val="3370ff"/>
      </w:rPr>
    </w:lvl>
  </w:abstractNum>
  <w:abstractNum w:abstractNumId="12425907">
    <w:lvl>
      <w:start w:val="4"/>
      <w:numFmt w:val="decimal"/>
      <w:suff w:val="tab"/>
      <w:lvlText w:val="%1."/>
      <w:rPr>
        <w:color w:val="3370ff"/>
      </w:rPr>
    </w:lvl>
  </w:abstractNum>
  <w:abstractNum w:abstractNumId="12425908">
    <w:lvl>
      <w:start w:val="1"/>
      <w:numFmt w:val="decimal"/>
      <w:suff w:val="tab"/>
      <w:lvlText w:val="%1."/>
      <w:rPr>
        <w:color w:val="3370ff"/>
      </w:rPr>
    </w:lvl>
  </w:abstractNum>
  <w:abstractNum w:abstractNumId="12425909">
    <w:lvl>
      <w:start w:val="2"/>
      <w:numFmt w:val="decimal"/>
      <w:suff w:val="tab"/>
      <w:lvlText w:val="%1."/>
      <w:rPr>
        <w:color w:val="3370ff"/>
      </w:rPr>
    </w:lvl>
  </w:abstractNum>
  <w:abstractNum w:abstractNumId="12425910">
    <w:lvl>
      <w:numFmt w:val="bullet"/>
      <w:suff w:val="tab"/>
      <w:lvlText w:val="￮"/>
      <w:rPr>
        <w:color w:val="3370ff"/>
      </w:rPr>
    </w:lvl>
  </w:abstractNum>
  <w:abstractNum w:abstractNumId="12425911">
    <w:lvl>
      <w:numFmt w:val="bullet"/>
      <w:suff w:val="tab"/>
      <w:lvlText w:val="￮"/>
      <w:rPr>
        <w:color w:val="3370ff"/>
      </w:rPr>
    </w:lvl>
  </w:abstractNum>
  <w:abstractNum w:abstractNumId="12425912">
    <w:lvl>
      <w:numFmt w:val="bullet"/>
      <w:suff w:val="tab"/>
      <w:lvlText w:val="￮"/>
      <w:rPr>
        <w:color w:val="3370ff"/>
      </w:rPr>
    </w:lvl>
  </w:abstractNum>
  <w:abstractNum w:abstractNumId="12425913">
    <w:lvl>
      <w:start w:val="3"/>
      <w:numFmt w:val="decimal"/>
      <w:suff w:val="tab"/>
      <w:lvlText w:val="%1."/>
      <w:rPr>
        <w:color w:val="3370ff"/>
      </w:rPr>
    </w:lvl>
  </w:abstractNum>
  <w:abstractNum w:abstractNumId="12425914">
    <w:lvl>
      <w:start w:val="4"/>
      <w:numFmt w:val="decimal"/>
      <w:suff w:val="tab"/>
      <w:lvlText w:val="%1."/>
      <w:rPr>
        <w:color w:val="3370ff"/>
      </w:rPr>
    </w:lvl>
  </w:abstractNum>
  <w:abstractNum w:abstractNumId="12425915">
    <w:lvl>
      <w:start w:val="1"/>
      <w:numFmt w:val="decimal"/>
      <w:suff w:val="tab"/>
      <w:lvlText w:val="%1."/>
      <w:rPr>
        <w:color w:val="3370ff"/>
      </w:rPr>
    </w:lvl>
  </w:abstractNum>
  <w:abstractNum w:abstractNumId="12425916">
    <w:lvl>
      <w:start w:val="2"/>
      <w:numFmt w:val="decimal"/>
      <w:suff w:val="tab"/>
      <w:lvlText w:val="%1."/>
      <w:rPr>
        <w:color w:val="3370ff"/>
      </w:rPr>
    </w:lvl>
  </w:abstractNum>
  <w:abstractNum w:abstractNumId="12425917">
    <w:lvl>
      <w:numFmt w:val="bullet"/>
      <w:suff w:val="tab"/>
      <w:lvlText w:val="￮"/>
      <w:rPr>
        <w:color w:val="3370ff"/>
      </w:rPr>
    </w:lvl>
  </w:abstractNum>
  <w:abstractNum w:abstractNumId="12425918">
    <w:lvl>
      <w:numFmt w:val="bullet"/>
      <w:suff w:val="tab"/>
      <w:lvlText w:val="￮"/>
      <w:rPr>
        <w:color w:val="3370ff"/>
      </w:rPr>
    </w:lvl>
  </w:abstractNum>
  <w:abstractNum w:abstractNumId="12425919">
    <w:lvl>
      <w:numFmt w:val="bullet"/>
      <w:suff w:val="tab"/>
      <w:lvlText w:val="￮"/>
      <w:rPr>
        <w:color w:val="3370ff"/>
      </w:rPr>
    </w:lvl>
  </w:abstractNum>
  <w:abstractNum w:abstractNumId="12425920">
    <w:lvl>
      <w:start w:val="3"/>
      <w:numFmt w:val="decimal"/>
      <w:suff w:val="tab"/>
      <w:lvlText w:val="%1."/>
      <w:rPr>
        <w:color w:val="3370ff"/>
      </w:rPr>
    </w:lvl>
  </w:abstractNum>
  <w:abstractNum w:abstractNumId="12425921">
    <w:lvl>
      <w:start w:val="4"/>
      <w:numFmt w:val="decimal"/>
      <w:suff w:val="tab"/>
      <w:lvlText w:val="%1."/>
      <w:rPr>
        <w:color w:val="3370ff"/>
      </w:rPr>
    </w:lvl>
  </w:abstractNum>
  <w:abstractNum w:abstractNumId="12425922">
    <w:lvl>
      <w:start w:val="1"/>
      <w:numFmt w:val="decimal"/>
      <w:suff w:val="tab"/>
      <w:lvlText w:val="%1."/>
      <w:rPr>
        <w:color w:val="3370ff"/>
      </w:rPr>
    </w:lvl>
  </w:abstractNum>
  <w:abstractNum w:abstractNumId="12425923">
    <w:lvl>
      <w:start w:val="2"/>
      <w:numFmt w:val="decimal"/>
      <w:suff w:val="tab"/>
      <w:lvlText w:val="%1."/>
      <w:rPr>
        <w:color w:val="3370ff"/>
      </w:rPr>
    </w:lvl>
  </w:abstractNum>
  <w:abstractNum w:abstractNumId="12425924">
    <w:lvl>
      <w:numFmt w:val="bullet"/>
      <w:suff w:val="tab"/>
      <w:lvlText w:val="￮"/>
      <w:rPr>
        <w:color w:val="3370ff"/>
      </w:rPr>
    </w:lvl>
  </w:abstractNum>
  <w:abstractNum w:abstractNumId="12425925">
    <w:lvl>
      <w:numFmt w:val="bullet"/>
      <w:suff w:val="tab"/>
      <w:lvlText w:val="￮"/>
      <w:rPr>
        <w:color w:val="3370ff"/>
      </w:rPr>
    </w:lvl>
  </w:abstractNum>
  <w:abstractNum w:abstractNumId="12425926">
    <w:lvl>
      <w:numFmt w:val="bullet"/>
      <w:suff w:val="tab"/>
      <w:lvlText w:val="￮"/>
      <w:rPr>
        <w:color w:val="3370ff"/>
      </w:rPr>
    </w:lvl>
  </w:abstractNum>
  <w:abstractNum w:abstractNumId="12425927">
    <w:lvl>
      <w:start w:val="3"/>
      <w:numFmt w:val="decimal"/>
      <w:suff w:val="tab"/>
      <w:lvlText w:val="%1."/>
      <w:rPr>
        <w:color w:val="3370ff"/>
      </w:rPr>
    </w:lvl>
  </w:abstractNum>
  <w:abstractNum w:abstractNumId="12425928">
    <w:lvl>
      <w:start w:val="4"/>
      <w:numFmt w:val="decimal"/>
      <w:suff w:val="tab"/>
      <w:lvlText w:val="%1."/>
      <w:rPr>
        <w:color w:val="3370ff"/>
      </w:rPr>
    </w:lvl>
  </w:abstractNum>
  <w:abstractNum w:abstractNumId="12425929">
    <w:lvl>
      <w:start w:val="1"/>
      <w:numFmt w:val="decimal"/>
      <w:suff w:val="tab"/>
      <w:lvlText w:val="%1."/>
      <w:rPr>
        <w:color w:val="3370ff"/>
      </w:rPr>
    </w:lvl>
  </w:abstractNum>
  <w:abstractNum w:abstractNumId="12425930">
    <w:lvl>
      <w:start w:val="2"/>
      <w:numFmt w:val="decimal"/>
      <w:suff w:val="tab"/>
      <w:lvlText w:val="%1."/>
      <w:rPr>
        <w:color w:val="3370ff"/>
      </w:rPr>
    </w:lvl>
  </w:abstractNum>
  <w:abstractNum w:abstractNumId="12425931">
    <w:lvl>
      <w:numFmt w:val="bullet"/>
      <w:suff w:val="tab"/>
      <w:lvlText w:val="￮"/>
      <w:rPr>
        <w:color w:val="3370ff"/>
      </w:rPr>
    </w:lvl>
  </w:abstractNum>
  <w:abstractNum w:abstractNumId="12425932">
    <w:lvl>
      <w:numFmt w:val="bullet"/>
      <w:suff w:val="tab"/>
      <w:lvlText w:val="￮"/>
      <w:rPr>
        <w:color w:val="3370ff"/>
      </w:rPr>
    </w:lvl>
  </w:abstractNum>
  <w:abstractNum w:abstractNumId="12425933">
    <w:lvl>
      <w:numFmt w:val="bullet"/>
      <w:suff w:val="tab"/>
      <w:lvlText w:val="￮"/>
      <w:rPr>
        <w:color w:val="3370ff"/>
      </w:rPr>
    </w:lvl>
  </w:abstractNum>
  <w:abstractNum w:abstractNumId="12425934">
    <w:lvl>
      <w:start w:val="3"/>
      <w:numFmt w:val="decimal"/>
      <w:suff w:val="tab"/>
      <w:lvlText w:val="%1."/>
      <w:rPr>
        <w:color w:val="3370ff"/>
      </w:rPr>
    </w:lvl>
  </w:abstractNum>
  <w:abstractNum w:abstractNumId="12425935">
    <w:lvl>
      <w:start w:val="4"/>
      <w:numFmt w:val="decimal"/>
      <w:suff w:val="tab"/>
      <w:lvlText w:val="%1."/>
      <w:rPr>
        <w:color w:val="3370ff"/>
      </w:rPr>
    </w:lvl>
  </w:abstractNum>
  <w:abstractNum w:abstractNumId="12425936">
    <w:lvl>
      <w:start w:val="1"/>
      <w:numFmt w:val="decimal"/>
      <w:suff w:val="tab"/>
      <w:lvlText w:val="%1."/>
      <w:rPr>
        <w:color w:val="3370ff"/>
      </w:rPr>
    </w:lvl>
  </w:abstractNum>
  <w:abstractNum w:abstractNumId="12425937">
    <w:lvl>
      <w:start w:val="2"/>
      <w:numFmt w:val="decimal"/>
      <w:suff w:val="tab"/>
      <w:lvlText w:val="%1."/>
      <w:rPr>
        <w:color w:val="3370ff"/>
      </w:rPr>
    </w:lvl>
  </w:abstractNum>
  <w:abstractNum w:abstractNumId="12425938">
    <w:lvl>
      <w:numFmt w:val="bullet"/>
      <w:suff w:val="tab"/>
      <w:lvlText w:val="￮"/>
      <w:rPr>
        <w:color w:val="3370ff"/>
      </w:rPr>
    </w:lvl>
  </w:abstractNum>
  <w:abstractNum w:abstractNumId="12425939">
    <w:lvl>
      <w:numFmt w:val="bullet"/>
      <w:suff w:val="tab"/>
      <w:lvlText w:val="￮"/>
      <w:rPr>
        <w:color w:val="3370ff"/>
      </w:rPr>
    </w:lvl>
  </w:abstractNum>
  <w:abstractNum w:abstractNumId="12425940">
    <w:lvl>
      <w:numFmt w:val="bullet"/>
      <w:suff w:val="tab"/>
      <w:lvlText w:val="￮"/>
      <w:rPr>
        <w:color w:val="3370ff"/>
      </w:rPr>
    </w:lvl>
  </w:abstractNum>
  <w:abstractNum w:abstractNumId="12425941">
    <w:lvl>
      <w:start w:val="3"/>
      <w:numFmt w:val="decimal"/>
      <w:suff w:val="tab"/>
      <w:lvlText w:val="%1."/>
      <w:rPr>
        <w:color w:val="3370ff"/>
      </w:rPr>
    </w:lvl>
  </w:abstractNum>
  <w:abstractNum w:abstractNumId="12425942">
    <w:lvl>
      <w:start w:val="4"/>
      <w:numFmt w:val="decimal"/>
      <w:suff w:val="tab"/>
      <w:lvlText w:val="%1."/>
      <w:rPr>
        <w:color w:val="3370ff"/>
      </w:rPr>
    </w:lvl>
  </w:abstractNum>
  <w:abstractNum w:abstractNumId="12425943">
    <w:lvl>
      <w:start w:val="1"/>
      <w:numFmt w:val="decimal"/>
      <w:suff w:val="tab"/>
      <w:lvlText w:val="%1."/>
      <w:rPr>
        <w:color w:val="3370ff"/>
      </w:rPr>
    </w:lvl>
  </w:abstractNum>
  <w:abstractNum w:abstractNumId="12425944">
    <w:lvl>
      <w:start w:val="2"/>
      <w:numFmt w:val="decimal"/>
      <w:suff w:val="tab"/>
      <w:lvlText w:val="%1."/>
      <w:rPr>
        <w:color w:val="3370ff"/>
      </w:rPr>
    </w:lvl>
  </w:abstractNum>
  <w:abstractNum w:abstractNumId="12425945">
    <w:lvl>
      <w:start w:val="3"/>
      <w:numFmt w:val="decimal"/>
      <w:suff w:val="tab"/>
      <w:lvlText w:val="%1."/>
      <w:rPr>
        <w:color w:val="3370ff"/>
      </w:rPr>
    </w:lvl>
  </w:abstractNum>
  <w:abstractNum w:abstractNumId="1242594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2425904"/>
  </w:num>
  <w:num w:numId="2">
    <w:abstractNumId w:val="12425905"/>
  </w:num>
  <w:num w:numId="3">
    <w:abstractNumId w:val="12425906"/>
  </w:num>
  <w:num w:numId="4">
    <w:abstractNumId w:val="12425907"/>
  </w:num>
  <w:num w:numId="5">
    <w:abstractNumId w:val="12425908"/>
  </w:num>
  <w:num w:numId="6">
    <w:abstractNumId w:val="12425909"/>
  </w:num>
  <w:num w:numId="7">
    <w:abstractNumId w:val="12425910"/>
  </w:num>
  <w:num w:numId="8">
    <w:abstractNumId w:val="12425911"/>
  </w:num>
  <w:num w:numId="9">
    <w:abstractNumId w:val="12425912"/>
  </w:num>
  <w:num w:numId="10">
    <w:abstractNumId w:val="12425913"/>
  </w:num>
  <w:num w:numId="11">
    <w:abstractNumId w:val="12425914"/>
  </w:num>
  <w:num w:numId="12">
    <w:abstractNumId w:val="12425915"/>
  </w:num>
  <w:num w:numId="13">
    <w:abstractNumId w:val="12425916"/>
  </w:num>
  <w:num w:numId="14">
    <w:abstractNumId w:val="12425917"/>
  </w:num>
  <w:num w:numId="15">
    <w:abstractNumId w:val="12425918"/>
  </w:num>
  <w:num w:numId="16">
    <w:abstractNumId w:val="12425919"/>
  </w:num>
  <w:num w:numId="17">
    <w:abstractNumId w:val="12425920"/>
  </w:num>
  <w:num w:numId="18">
    <w:abstractNumId w:val="12425921"/>
  </w:num>
  <w:num w:numId="19">
    <w:abstractNumId w:val="12425922"/>
  </w:num>
  <w:num w:numId="20">
    <w:abstractNumId w:val="12425923"/>
  </w:num>
  <w:num w:numId="21">
    <w:abstractNumId w:val="12425924"/>
  </w:num>
  <w:num w:numId="22">
    <w:abstractNumId w:val="12425925"/>
  </w:num>
  <w:num w:numId="23">
    <w:abstractNumId w:val="12425926"/>
  </w:num>
  <w:num w:numId="24">
    <w:abstractNumId w:val="12425927"/>
  </w:num>
  <w:num w:numId="25">
    <w:abstractNumId w:val="12425928"/>
  </w:num>
  <w:num w:numId="26">
    <w:abstractNumId w:val="12425929"/>
  </w:num>
  <w:num w:numId="27">
    <w:abstractNumId w:val="12425930"/>
  </w:num>
  <w:num w:numId="28">
    <w:abstractNumId w:val="12425931"/>
  </w:num>
  <w:num w:numId="29">
    <w:abstractNumId w:val="12425932"/>
  </w:num>
  <w:num w:numId="30">
    <w:abstractNumId w:val="12425933"/>
  </w:num>
  <w:num w:numId="31">
    <w:abstractNumId w:val="12425934"/>
  </w:num>
  <w:num w:numId="32">
    <w:abstractNumId w:val="12425935"/>
  </w:num>
  <w:num w:numId="33">
    <w:abstractNumId w:val="12425936"/>
  </w:num>
  <w:num w:numId="34">
    <w:abstractNumId w:val="12425937"/>
  </w:num>
  <w:num w:numId="35">
    <w:abstractNumId w:val="12425938"/>
  </w:num>
  <w:num w:numId="36">
    <w:abstractNumId w:val="12425939"/>
  </w:num>
  <w:num w:numId="37">
    <w:abstractNumId w:val="12425940"/>
  </w:num>
  <w:num w:numId="38">
    <w:abstractNumId w:val="12425941"/>
  </w:num>
  <w:num w:numId="39">
    <w:abstractNumId w:val="12425942"/>
  </w:num>
  <w:num w:numId="40">
    <w:abstractNumId w:val="12425943"/>
  </w:num>
  <w:num w:numId="41">
    <w:abstractNumId w:val="12425944"/>
  </w:num>
  <w:num w:numId="42">
    <w:abstractNumId w:val="12425945"/>
  </w:num>
  <w:num w:numId="43">
    <w:abstractNumId w:val="124259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2026-03-22T10:59:14Z</dcterms:created>
  <dc:creator>Apache POI</dc:creator>
</cp:coreProperties>
</file>