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微软雅黑" w:hAnsi="微软雅黑" w:eastAsia="微软雅黑"/>
          <w:b/>
          <w:color w:val="1F4E79"/>
          <w:sz w:val="48"/>
        </w:rPr>
        <w:t>软件体系结构实验报告</w:t>
      </w:r>
    </w:p>
    <w:p>
      <w:pPr>
        <w:jc w:val="center"/>
      </w:pPr>
      <w:r>
        <w:rPr>
          <w:rFonts w:ascii="微软雅黑" w:hAnsi="微软雅黑" w:eastAsia="微软雅黑"/>
          <w:b/>
          <w:color w:val="1F4E79"/>
          <w:sz w:val="36"/>
        </w:rPr>
        <w:t>实验五 Java 代码覆盖率测试工具的使用与分析</w:t>
      </w:r>
    </w:p>
    <w:p/>
    <w:p/>
    <w:tbl>
      <w:tblPr>
        <w:tblStyle w:val="TableGrid"/>
        <w:tblW w:type="auto" w:w="0"/>
        <w:jc w:val="center"/>
        <w:tblLook w:firstColumn="1" w:firstRow="1" w:lastColumn="0" w:lastRow="0" w:noHBand="0" w:noVBand="1" w:val="04A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4703"/>
        <w:gridCol w:w="4703"/>
      </w:tblGrid>
      <w:tr>
        <w:tc>
          <w:tcPr>
            <w:tcW w:type="dxa" w:w="2268"/>
            <w:vAlign w:val="center"/>
            <w:shd w:fill="D9EAF7"/>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sz w:val="20"/>
              </w:rPr>
              <w:t>课程名称</w:t>
            </w:r>
          </w:p>
        </w:tc>
        <w:tc>
          <w:tcPr>
            <w:tcW w:type="dxa" w:w="5102"/>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[请填写课程名称]</w:t>
            </w:r>
          </w:p>
        </w:tc>
      </w:tr>
      <w:tr>
        <w:tc>
          <w:tcPr>
            <w:tcW w:type="dxa" w:w="2268"/>
            <w:vAlign w:val="center"/>
            <w:shd w:fill="D9EAF7"/>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sz w:val="20"/>
              </w:rPr>
              <w:t>实验名称</w:t>
            </w:r>
          </w:p>
        </w:tc>
        <w:tc>
          <w:tcPr>
            <w:tcW w:type="dxa" w:w="5102"/>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Java 代码覆盖率测试工具的使用与分析</w:t>
            </w:r>
          </w:p>
        </w:tc>
      </w:tr>
      <w:tr>
        <w:tc>
          <w:tcPr>
            <w:tcW w:type="dxa" w:w="2268"/>
            <w:vAlign w:val="center"/>
            <w:shd w:fill="D9EAF7"/>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sz w:val="20"/>
              </w:rPr>
              <w:t>被测项目</w:t>
            </w:r>
          </w:p>
        </w:tc>
        <w:tc>
          <w:tcPr>
            <w:tcW w:type="dxa" w:w="5102"/>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newbee-mall 电商系统</w:t>
            </w:r>
          </w:p>
        </w:tc>
      </w:tr>
      <w:tr>
        <w:tc>
          <w:tcPr>
            <w:tcW w:type="dxa" w:w="2268"/>
            <w:vAlign w:val="center"/>
            <w:shd w:fill="D9EAF7"/>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sz w:val="20"/>
              </w:rPr>
              <w:t>学生姓名</w:t>
            </w:r>
          </w:p>
        </w:tc>
        <w:tc>
          <w:tcPr>
            <w:tcW w:type="dxa" w:w="5102"/>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[请填写姓名]</w:t>
            </w:r>
          </w:p>
        </w:tc>
      </w:tr>
      <w:tr>
        <w:tc>
          <w:tcPr>
            <w:tcW w:type="dxa" w:w="2268"/>
            <w:vAlign w:val="center"/>
            <w:shd w:fill="D9EAF7"/>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sz w:val="20"/>
              </w:rPr>
              <w:t>学号</w:t>
            </w:r>
          </w:p>
        </w:tc>
        <w:tc>
          <w:tcPr>
            <w:tcW w:type="dxa" w:w="5102"/>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[请填写学号]</w:t>
            </w:r>
          </w:p>
        </w:tc>
      </w:tr>
      <w:tr>
        <w:tc>
          <w:tcPr>
            <w:tcW w:type="dxa" w:w="2268"/>
            <w:vAlign w:val="center"/>
            <w:shd w:fill="D9EAF7"/>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sz w:val="20"/>
              </w:rPr>
              <w:t>班级</w:t>
            </w:r>
          </w:p>
        </w:tc>
        <w:tc>
          <w:tcPr>
            <w:tcW w:type="dxa" w:w="5102"/>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[请填写班级]</w:t>
            </w:r>
          </w:p>
        </w:tc>
      </w:tr>
      <w:tr>
        <w:tc>
          <w:tcPr>
            <w:tcW w:type="dxa" w:w="2268"/>
            <w:vAlign w:val="center"/>
            <w:shd w:fill="D9EAF7"/>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sz w:val="20"/>
              </w:rPr>
              <w:t>指导教师</w:t>
            </w:r>
          </w:p>
        </w:tc>
        <w:tc>
          <w:tcPr>
            <w:tcW w:type="dxa" w:w="5102"/>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[请填写指导教师]</w:t>
            </w:r>
          </w:p>
        </w:tc>
      </w:tr>
      <w:tr>
        <w:tc>
          <w:tcPr>
            <w:tcW w:type="dxa" w:w="2268"/>
            <w:vAlign w:val="center"/>
            <w:shd w:fill="D9EAF7"/>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sz w:val="20"/>
              </w:rPr>
              <w:t>实验日期</w:t>
            </w:r>
          </w:p>
        </w:tc>
        <w:tc>
          <w:tcPr>
            <w:tcW w:type="dxa" w:w="5102"/>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[请填写实验日期]</w:t>
            </w:r>
          </w:p>
        </w:tc>
      </w:tr>
    </w:tbl>
    <w:p>
      <w:r>
        <w:rPr>
          <w:rFonts w:ascii="Times New Roman" w:hAnsi="Times New Roman" w:eastAsia="宋体"/>
          <w:sz w:val="22"/>
        </w:rPr>
        <w:br w:type="page"/>
      </w:r>
    </w:p>
    <w:p>
      <w:pPr>
        <w:pStyle w:val="Heading1"/>
        <w:spacing w:before="240" w:after="120"/>
      </w:pPr>
      <w:r>
        <w:rPr>
          <w:rFonts w:ascii="微软雅黑" w:hAnsi="微软雅黑" w:eastAsia="微软雅黑"/>
          <w:b/>
          <w:color w:val="1F4E79"/>
          <w:sz w:val="30"/>
        </w:rPr>
        <w:t>一、实验目的</w:t>
      </w:r>
    </w:p>
    <w:p>
      <w:pPr>
        <w:pStyle w:val="ListBullet"/>
        <w:spacing w:line="300" w:lineRule="auto" w:after="40"/>
      </w:pPr>
      <w:r>
        <w:rPr>
          <w:rFonts w:ascii="Times New Roman" w:hAnsi="Times New Roman" w:eastAsia="宋体"/>
          <w:sz w:val="21"/>
        </w:rPr>
        <w:t>掌握 Java 代码覆盖率测试工具的基本使用方法，理解类覆盖率、方法覆盖率、行覆盖率和分支覆盖率的含义。</w:t>
      </w:r>
    </w:p>
    <w:p>
      <w:pPr>
        <w:pStyle w:val="ListBullet"/>
        <w:spacing w:line="300" w:lineRule="auto" w:after="40"/>
      </w:pPr>
      <w:r>
        <w:rPr>
          <w:rFonts w:ascii="Times New Roman" w:hAnsi="Times New Roman" w:eastAsia="宋体"/>
          <w:sz w:val="21"/>
        </w:rPr>
        <w:t>掌握使用 IDEA 自带 Coverage 功能对 Java 项目进行覆盖率测试与结果分析的方法。</w:t>
      </w:r>
    </w:p>
    <w:p>
      <w:pPr>
        <w:pStyle w:val="ListBullet"/>
        <w:spacing w:line="300" w:lineRule="auto" w:after="40"/>
      </w:pPr>
      <w:r>
        <w:rPr>
          <w:rFonts w:ascii="Times New Roman" w:hAnsi="Times New Roman" w:eastAsia="宋体"/>
          <w:sz w:val="21"/>
        </w:rPr>
        <w:t>结合 newbee-mall 项目已有单元测试，验证核心业务逻辑的测试执行情况，并根据覆盖率统计识别薄弱模块。</w:t>
      </w:r>
    </w:p>
    <w:p>
      <w:pPr>
        <w:pStyle w:val="ListBullet"/>
        <w:spacing w:line="300" w:lineRule="auto" w:after="40"/>
      </w:pPr>
      <w:r>
        <w:rPr>
          <w:rFonts w:ascii="Times New Roman" w:hAnsi="Times New Roman" w:eastAsia="宋体"/>
          <w:sz w:val="21"/>
        </w:rPr>
        <w:t>将测试过程、测试用例、测试结果和覆盖率统计整理为实验报告。</w:t>
      </w:r>
    </w:p>
    <w:p>
      <w:pPr>
        <w:pStyle w:val="Heading1"/>
        <w:spacing w:before="240" w:after="120"/>
      </w:pPr>
      <w:r>
        <w:rPr>
          <w:rFonts w:ascii="微软雅黑" w:hAnsi="微软雅黑" w:eastAsia="微软雅黑"/>
          <w:b/>
          <w:color w:val="1F4E79"/>
          <w:sz w:val="30"/>
        </w:rPr>
        <w:t>二、实验环境</w:t>
      </w:r>
    </w:p>
    <w:tbl>
      <w:tblPr>
        <w:tblStyle w:val="TableGrid"/>
        <w:tblW w:type="auto" w:w="0"/>
        <w:jc w:val="center"/>
        <w:tblLook w:firstColumn="1" w:firstRow="1" w:lastColumn="0" w:lastRow="0" w:noHBand="0" w:noVBand="1" w:val="04A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4703"/>
        <w:gridCol w:w="4703"/>
      </w:tblGrid>
      <w:tr>
        <w:tc>
          <w:tcPr>
            <w:tcW w:type="dxa" w:w="4703"/>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项目</w:t>
            </w:r>
          </w:p>
        </w:tc>
        <w:tc>
          <w:tcPr>
            <w:tcW w:type="dxa" w:w="4703"/>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内容</w:t>
            </w:r>
          </w:p>
        </w:tc>
      </w:tr>
      <w:tr>
        <w:tc>
          <w:tcPr>
            <w:tcW w:type="dxa" w:w="4703"/>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操作系统</w:t>
            </w:r>
          </w:p>
        </w:tc>
        <w:tc>
          <w:tcPr>
            <w:tcW w:type="dxa" w:w="4703"/>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Windows，项目路径：E:\系统\文档\GitHub\newbee-mall</w:t>
            </w:r>
          </w:p>
        </w:tc>
      </w:tr>
      <w:tr>
        <w:tc>
          <w:tcPr>
            <w:tcW w:type="dxa" w:w="4703"/>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开发工具</w:t>
            </w:r>
          </w:p>
        </w:tc>
        <w:tc>
          <w:tcPr>
            <w:tcW w:type="dxa" w:w="4703"/>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IntelliJ IDEA，使用 IDEA 自带 Run with Coverage 功能</w:t>
            </w:r>
          </w:p>
        </w:tc>
      </w:tr>
      <w:tr>
        <w:tc>
          <w:tcPr>
            <w:tcW w:type="dxa" w:w="4703"/>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开发语言</w:t>
            </w:r>
          </w:p>
        </w:tc>
        <w:tc>
          <w:tcPr>
            <w:tcW w:type="dxa" w:w="4703"/>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Java 8</w:t>
            </w:r>
          </w:p>
        </w:tc>
      </w:tr>
      <w:tr>
        <w:tc>
          <w:tcPr>
            <w:tcW w:type="dxa" w:w="4703"/>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项目框架</w:t>
            </w:r>
          </w:p>
        </w:tc>
        <w:tc>
          <w:tcPr>
            <w:tcW w:type="dxa" w:w="4703"/>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Spring Boot 2.7.5、MyBatis、Thymeleaf</w:t>
            </w:r>
          </w:p>
        </w:tc>
      </w:tr>
      <w:tr>
        <w:tc>
          <w:tcPr>
            <w:tcW w:type="dxa" w:w="4703"/>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构建方式</w:t>
            </w:r>
          </w:p>
        </w:tc>
        <w:tc>
          <w:tcPr>
            <w:tcW w:type="dxa" w:w="4703"/>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Maven 项目，实验报告不新增 JaCoCo Maven 插件配置</w:t>
            </w:r>
          </w:p>
        </w:tc>
      </w:tr>
      <w:tr>
        <w:tc>
          <w:tcPr>
            <w:tcW w:type="dxa" w:w="4703"/>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测试框架</w:t>
            </w:r>
          </w:p>
        </w:tc>
        <w:tc>
          <w:tcPr>
            <w:tcW w:type="dxa" w:w="4703"/>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JUnit 5 + Mockito，依赖来自 spring-boot-starter-test</w:t>
            </w:r>
          </w:p>
        </w:tc>
      </w:tr>
      <w:tr>
        <w:tc>
          <w:tcPr>
            <w:tcW w:type="dxa" w:w="4703"/>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测试方式</w:t>
            </w:r>
          </w:p>
        </w:tc>
        <w:tc>
          <w:tcPr>
            <w:tcW w:type="dxa" w:w="4703"/>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服务层单元测试，Mapper 层使用 Mockito 模拟，不连接真实 MySQL，不启动完整 Spring Boot 上下文</w:t>
            </w:r>
          </w:p>
        </w:tc>
      </w:tr>
    </w:tbl>
    <w:p/>
    <w:tbl>
      <w:tblPr>
        <w:tblStyle w:val="TableGrid"/>
        <w:tblW w:type="auto" w:w="0"/>
        <w:jc w:val="center"/>
        <w:tblLook w:firstColumn="1" w:firstRow="1" w:lastColumn="0" w:lastRow="0" w:noHBand="0" w:noVBand="1" w:val="04A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9406"/>
      </w:tblGrid>
      <w:tr>
        <w:tc>
          <w:tcPr>
            <w:tcW w:type="dxa" w:w="9406"/>
            <w:vAlign w:val="center"/>
            <w:shd w:fill="EEF5FB"/>
            <w:tcMar>
              <w:top w:w="100" w:type="dxa"/>
              <w:start w:w="120" w:type="dxa"/>
              <w:bottom w:w="100" w:type="dxa"/>
              <w:end w:w="120" w:type="dxa"/>
            </w:tcMar>
          </w:tcPr>
          <w:p>
            <w:pPr>
              <w:spacing w:after="0"/>
              <w:jc w:val="center"/>
            </w:pPr>
            <w:r>
              <w:rPr>
                <w:rFonts w:ascii="Times New Roman" w:hAnsi="Times New Roman" w:eastAsia="宋体"/>
                <w:color w:val="1F4E79"/>
                <w:sz w:val="20"/>
              </w:rPr>
            </w:r>
            <w:r>
              <w:rPr>
                <w:rFonts w:ascii="Times New Roman" w:hAnsi="Times New Roman" w:eastAsia="宋体"/>
                <w:b/>
                <w:color w:val="1F4E79"/>
                <w:sz w:val="20"/>
              </w:rPr>
              <w:t>[占位符：IDEA 打开 newbee-mall 项目及项目结构截图]</w:t>
            </w:r>
          </w:p>
        </w:tc>
      </w:tr>
    </w:tbl>
    <w:p/>
    <w:p>
      <w:pPr>
        <w:pStyle w:val="Heading1"/>
        <w:spacing w:before="240" w:after="120"/>
      </w:pPr>
      <w:r>
        <w:rPr>
          <w:rFonts w:ascii="微软雅黑" w:hAnsi="微软雅黑" w:eastAsia="微软雅黑"/>
          <w:b/>
          <w:color w:val="1F4E79"/>
          <w:sz w:val="30"/>
        </w:rPr>
        <w:t>三、被测系统简介</w:t>
      </w:r>
    </w:p>
    <w:p>
      <w:pPr>
        <w:spacing w:line="324" w:lineRule="auto" w:after="80"/>
        <w:ind w:firstLine="420"/>
      </w:pPr>
      <w:r>
        <w:rPr>
          <w:rFonts w:ascii="Times New Roman" w:hAnsi="Times New Roman" w:eastAsia="宋体"/>
          <w:sz w:val="22"/>
        </w:rPr>
        <w:t>本次实验选择 newbee-mall 电商系统作为被测 Java 应用。该系统包含商城前台和后台管理两类功能，前台主要提供首页展示、商品搜索与详情、购物车、订单结算、用户登录注册和个人中心等功能；后台主要提供轮播图管理、分类管理、商品管理、首页配置、订单管理和用户管理等功能。</w:t>
      </w:r>
    </w:p>
    <w:p>
      <w:pPr>
        <w:spacing w:line="324" w:lineRule="auto" w:after="80"/>
        <w:ind w:firstLine="420"/>
      </w:pPr>
      <w:r>
        <w:rPr>
          <w:rFonts w:ascii="Times New Roman" w:hAnsi="Times New Roman" w:eastAsia="宋体"/>
          <w:sz w:val="22"/>
        </w:rPr>
        <w:t>为了使覆盖率统计聚焦于业务逻辑，本次实验选择 service.impl 包下的核心服务实现类作为主要覆盖率分析范围。该范围可以较好反映用户、商品、分类、购物车、订单、首页配置和轮播图等业务功能的测试覆盖情况。</w:t>
      </w:r>
    </w:p>
    <w:p>
      <w:pPr>
        <w:pStyle w:val="Heading1"/>
        <w:spacing w:before="240" w:after="120"/>
      </w:pPr>
      <w:r>
        <w:rPr>
          <w:rFonts w:ascii="微软雅黑" w:hAnsi="微软雅黑" w:eastAsia="微软雅黑"/>
          <w:b/>
          <w:color w:val="1F4E79"/>
          <w:sz w:val="30"/>
        </w:rPr>
        <w:t>四、测试模块选择</w:t>
      </w:r>
    </w:p>
    <w:tbl>
      <w:tblPr>
        <w:tblStyle w:val="TableGrid"/>
        <w:tblW w:type="auto" w:w="0"/>
        <w:jc w:val="center"/>
        <w:tblLook w:firstColumn="1" w:firstRow="1" w:lastColumn="0" w:lastRow="0" w:noHBand="0" w:noVBand="1" w:val="04A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351"/>
        <w:gridCol w:w="2351"/>
        <w:gridCol w:w="2351"/>
        <w:gridCol w:w="2351"/>
      </w:tblGrid>
      <w:tr>
        <w:tc>
          <w:tcPr>
            <w:tcW w:type="dxa" w:w="2351"/>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业务模块</w:t>
            </w:r>
          </w:p>
        </w:tc>
        <w:tc>
          <w:tcPr>
            <w:tcW w:type="dxa" w:w="2351"/>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生产类</w:t>
            </w:r>
          </w:p>
        </w:tc>
        <w:tc>
          <w:tcPr>
            <w:tcW w:type="dxa" w:w="2351"/>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对应测试类</w:t>
            </w:r>
          </w:p>
        </w:tc>
        <w:tc>
          <w:tcPr>
            <w:tcW w:type="dxa" w:w="2351"/>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主要验证内容</w:t>
            </w:r>
          </w:p>
        </w:tc>
      </w:tr>
      <w:tr>
        <w:tc>
          <w:tcPr>
            <w:tcW w:type="dxa" w:w="2351"/>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用户模块</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NewBeeMallUserServiceImpl</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NewBeeMallUserServiceImplTest、BoundaryNewBeeMallUserTest</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注册、登录、锁定、资料更新、昵称截断边界</w:t>
            </w:r>
          </w:p>
        </w:tc>
      </w:tr>
      <w:tr>
        <w:tc>
          <w:tcPr>
            <w:tcW w:type="dxa" w:w="2351"/>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管理员模块</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AdminUserServiceImpl</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AdminUserServiceImplTest</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后台登录、密码修改、名称修改及异常分支</w:t>
            </w:r>
          </w:p>
        </w:tc>
      </w:tr>
      <w:tr>
        <w:tc>
          <w:tcPr>
            <w:tcW w:type="dxa" w:w="2351"/>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商品模块</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NewBeeMallGoodsServiceImpl</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NewBeeMallGoodsServiceImplTest、BoundaryNewBeeMallGoodsTest</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商品新增、更新、查询、上下架、分类校验</w:t>
            </w:r>
          </w:p>
        </w:tc>
      </w:tr>
      <w:tr>
        <w:tc>
          <w:tcPr>
            <w:tcW w:type="dxa" w:w="2351"/>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分类模块</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NewBeeMallCategoryServiceImpl</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NewBeeMallCategoryServiceImplTest</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分类新增、更新、删除、首页分类组装、搜索页分类</w:t>
            </w:r>
          </w:p>
        </w:tc>
      </w:tr>
      <w:tr>
        <w:tc>
          <w:tcPr>
            <w:tcW w:type="dxa" w:w="2351"/>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购物车模块</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NewBeeMallShoppingCartServiceImpl</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NewBeeMallShoppingCartServiceImplTest、BoundaryNewBeeMallShoppingCartTest</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添加、修改、删除、展示名称截断、数量边界</w:t>
            </w:r>
          </w:p>
        </w:tc>
      </w:tr>
      <w:tr>
        <w:tc>
          <w:tcPr>
            <w:tcW w:type="dxa" w:w="2351"/>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订单模块</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NewBeeMallOrderServiceImpl</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NewBeeMallOrderServiceImplTest、BoundaryNewBeeMallOrderTest</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创建订单、支付、发货、关闭、取消、收货、详情查询</w:t>
            </w:r>
          </w:p>
        </w:tc>
      </w:tr>
      <w:tr>
        <w:tc>
          <w:tcPr>
            <w:tcW w:type="dxa" w:w="2351"/>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首页配置模块</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NewBeeMallIndexConfigServiceImpl</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NewBeeMallIndexConfigServiceImplTest、BoundaryNewBeeMallIndexConfigTest</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首页商品配置 CRUD、展示字段截断</w:t>
            </w:r>
          </w:p>
        </w:tc>
      </w:tr>
      <w:tr>
        <w:tc>
          <w:tcPr>
            <w:tcW w:type="dxa" w:w="2351"/>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轮播图模块</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NewBeeMallCarouselServiceImpl</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NewBeeMallCarouselServiceImplTest</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轮播图新增、更新、删除、列表查询</w:t>
            </w:r>
          </w:p>
        </w:tc>
      </w:tr>
      <w:tr>
        <w:tc>
          <w:tcPr>
            <w:tcW w:type="dxa" w:w="2351"/>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批量操作边界</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多个服务实现类</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BatchOperationBoundaryTest</w:t>
            </w:r>
          </w:p>
        </w:tc>
        <w:tc>
          <w:tcPr>
            <w:tcW w:type="dxa" w:w="235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空 ID 数组、批量删除、批量上下架、批量锁定等边界</w:t>
            </w:r>
          </w:p>
        </w:tc>
      </w:tr>
    </w:tbl>
    <w:p/>
    <w:p>
      <w:pPr>
        <w:pStyle w:val="Heading1"/>
        <w:spacing w:before="240" w:after="120"/>
      </w:pPr>
      <w:r>
        <w:rPr>
          <w:rFonts w:ascii="微软雅黑" w:hAnsi="微软雅黑" w:eastAsia="微软雅黑"/>
          <w:b/>
          <w:color w:val="1F4E79"/>
          <w:sz w:val="30"/>
        </w:rPr>
        <w:t>五、IDEA Coverage 使用过程</w:t>
      </w:r>
    </w:p>
    <w:p>
      <w:pPr>
        <w:spacing w:line="324" w:lineRule="auto" w:after="80"/>
        <w:ind w:firstLine="420"/>
      </w:pPr>
      <w:r>
        <w:rPr>
          <w:rFonts w:ascii="Times New Roman" w:hAnsi="Times New Roman" w:eastAsia="宋体"/>
          <w:sz w:val="22"/>
        </w:rPr>
        <w:t>本次实验使用 IDEA 自带 Coverage 工具完成覆盖率测试，不在 pom.xml 中额外配置 JaCoCo Maven 插件。IDEA Coverage 可以直接对测试类、测试包或整个测试目录执行 Run with Coverage，并在运行结束后展示类、方法、行和分支覆盖率。</w:t>
      </w:r>
    </w:p>
    <w:p>
      <w:pPr>
        <w:pStyle w:val="ListBullet"/>
        <w:spacing w:line="300" w:lineRule="auto" w:after="40"/>
      </w:pPr>
      <w:r>
        <w:rPr>
          <w:rFonts w:ascii="Times New Roman" w:hAnsi="Times New Roman" w:eastAsia="宋体"/>
          <w:sz w:val="21"/>
        </w:rPr>
        <w:t>在 IDEA 中打开 newbee-mall 项目，等待 Maven 依赖索引完成。</w:t>
      </w:r>
    </w:p>
    <w:p>
      <w:pPr>
        <w:pStyle w:val="ListBullet"/>
        <w:spacing w:line="300" w:lineRule="auto" w:after="40"/>
      </w:pPr>
      <w:r>
        <w:rPr>
          <w:rFonts w:ascii="Times New Roman" w:hAnsi="Times New Roman" w:eastAsia="宋体"/>
          <w:sz w:val="21"/>
        </w:rPr>
        <w:t>确认 src/test/java 下已有 JUnit 5 + Mockito 单元测试类，且测试目标集中在 ltd.newbee.mall.service.impl 包。</w:t>
      </w:r>
    </w:p>
    <w:p>
      <w:pPr>
        <w:pStyle w:val="ListBullet"/>
        <w:spacing w:line="300" w:lineRule="auto" w:after="40"/>
      </w:pPr>
      <w:r>
        <w:rPr>
          <w:rFonts w:ascii="Times New Roman" w:hAnsi="Times New Roman" w:eastAsia="宋体"/>
          <w:sz w:val="21"/>
        </w:rPr>
        <w:t>右键选择测试包或全部测试类，执行 Run 'All Tests' with Coverage。</w:t>
      </w:r>
    </w:p>
    <w:p>
      <w:pPr>
        <w:pStyle w:val="ListBullet"/>
        <w:spacing w:line="300" w:lineRule="auto" w:after="40"/>
      </w:pPr>
      <w:r>
        <w:rPr>
          <w:rFonts w:ascii="Times New Roman" w:hAnsi="Times New Roman" w:eastAsia="宋体"/>
          <w:sz w:val="21"/>
        </w:rPr>
        <w:t>在 Coverage 工具窗口查看 ltd.newbee.mall.service.impl 包下各服务实现类的覆盖情况。</w:t>
      </w:r>
    </w:p>
    <w:p>
      <w:pPr>
        <w:pStyle w:val="ListBullet"/>
        <w:spacing w:line="300" w:lineRule="auto" w:after="40"/>
      </w:pPr>
      <w:r>
        <w:rPr>
          <w:rFonts w:ascii="Times New Roman" w:hAnsi="Times New Roman" w:eastAsia="宋体"/>
          <w:sz w:val="21"/>
        </w:rPr>
        <w:t>展开具体类查看未覆盖行和未覆盖分支，结合业务逻辑分析覆盖薄弱点。</w:t>
      </w:r>
    </w:p>
    <w:p>
      <w:pPr>
        <w:pStyle w:val="ListBullet"/>
        <w:spacing w:line="300" w:lineRule="auto" w:after="40"/>
      </w:pPr>
      <w:r>
        <w:rPr>
          <w:rFonts w:ascii="Times New Roman" w:hAnsi="Times New Roman" w:eastAsia="宋体"/>
          <w:sz w:val="21"/>
        </w:rPr>
        <w:t>对测试通过界面、覆盖率统计界面和类明细界面截图，并整理进实验报告。</w:t>
      </w:r>
    </w:p>
    <w:tbl>
      <w:tblPr>
        <w:tblStyle w:val="TableGrid"/>
        <w:tblW w:type="auto" w:w="0"/>
        <w:jc w:val="center"/>
        <w:tblLook w:firstColumn="1" w:firstRow="1" w:lastColumn="0" w:lastRow="0" w:noHBand="0" w:noVBand="1" w:val="04A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9406"/>
      </w:tblGrid>
      <w:tr>
        <w:tc>
          <w:tcPr>
            <w:tcW w:type="dxa" w:w="9406"/>
            <w:vAlign w:val="center"/>
            <w:shd w:fill="EEF5FB"/>
            <w:tcMar>
              <w:top w:w="100" w:type="dxa"/>
              <w:start w:w="120" w:type="dxa"/>
              <w:bottom w:w="100" w:type="dxa"/>
              <w:end w:w="120" w:type="dxa"/>
            </w:tcMar>
          </w:tcPr>
          <w:p>
            <w:pPr>
              <w:spacing w:after="0"/>
              <w:jc w:val="center"/>
            </w:pPr>
            <w:r>
              <w:rPr>
                <w:rFonts w:ascii="Times New Roman" w:hAnsi="Times New Roman" w:eastAsia="宋体"/>
                <w:color w:val="1F4E79"/>
                <w:sz w:val="20"/>
              </w:rPr>
            </w:r>
            <w:r>
              <w:rPr>
                <w:rFonts w:ascii="Times New Roman" w:hAnsi="Times New Roman" w:eastAsia="宋体"/>
                <w:b/>
                <w:color w:val="1F4E79"/>
                <w:sz w:val="20"/>
              </w:rPr>
              <w:t>[占位符：IDEA 中选择测试包并点击 Run with Coverage 的截图]</w:t>
            </w:r>
          </w:p>
        </w:tc>
      </w:tr>
    </w:tbl>
    <w:p/>
    <w:tbl>
      <w:tblPr>
        <w:tblStyle w:val="TableGrid"/>
        <w:tblW w:type="auto" w:w="0"/>
        <w:jc w:val="center"/>
        <w:tblLook w:firstColumn="1" w:firstRow="1" w:lastColumn="0" w:lastRow="0" w:noHBand="0" w:noVBand="1" w:val="04A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9406"/>
      </w:tblGrid>
      <w:tr>
        <w:tc>
          <w:tcPr>
            <w:tcW w:type="dxa" w:w="9406"/>
            <w:vAlign w:val="center"/>
            <w:shd w:fill="EEF5FB"/>
            <w:tcMar>
              <w:top w:w="100" w:type="dxa"/>
              <w:start w:w="120" w:type="dxa"/>
              <w:bottom w:w="100" w:type="dxa"/>
              <w:end w:w="120" w:type="dxa"/>
            </w:tcMar>
          </w:tcPr>
          <w:p>
            <w:pPr>
              <w:spacing w:after="0"/>
              <w:jc w:val="center"/>
            </w:pPr>
            <w:r>
              <w:rPr>
                <w:rFonts w:ascii="Times New Roman" w:hAnsi="Times New Roman" w:eastAsia="宋体"/>
                <w:color w:val="1F4E79"/>
                <w:sz w:val="20"/>
              </w:rPr>
            </w:r>
            <w:r>
              <w:rPr>
                <w:rFonts w:ascii="Times New Roman" w:hAnsi="Times New Roman" w:eastAsia="宋体"/>
                <w:b/>
                <w:color w:val="1F4E79"/>
                <w:sz w:val="20"/>
              </w:rPr>
              <w:t>[占位符：IDEA Coverage 工具窗口显示 service.impl 包覆盖率的截图]</w:t>
            </w:r>
          </w:p>
        </w:tc>
      </w:tr>
    </w:tbl>
    <w:p/>
    <w:tbl>
      <w:tblPr>
        <w:tblStyle w:val="TableGrid"/>
        <w:tblW w:type="auto" w:w="0"/>
        <w:jc w:val="center"/>
        <w:tblLook w:firstColumn="1" w:firstRow="1" w:lastColumn="0" w:lastRow="0" w:noHBand="0" w:noVBand="1" w:val="04A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9406"/>
      </w:tblGrid>
      <w:tr>
        <w:tc>
          <w:tcPr>
            <w:tcW w:type="dxa" w:w="9406"/>
            <w:vAlign w:val="center"/>
            <w:shd w:fill="EEF5FB"/>
            <w:tcMar>
              <w:top w:w="100" w:type="dxa"/>
              <w:start w:w="120" w:type="dxa"/>
              <w:bottom w:w="100" w:type="dxa"/>
              <w:end w:w="120" w:type="dxa"/>
            </w:tcMar>
          </w:tcPr>
          <w:p>
            <w:pPr>
              <w:spacing w:after="0"/>
              <w:jc w:val="center"/>
            </w:pPr>
            <w:r>
              <w:rPr>
                <w:rFonts w:ascii="Times New Roman" w:hAnsi="Times New Roman" w:eastAsia="宋体"/>
                <w:color w:val="1F4E79"/>
                <w:sz w:val="20"/>
              </w:rPr>
            </w:r>
            <w:r>
              <w:rPr>
                <w:rFonts w:ascii="Times New Roman" w:hAnsi="Times New Roman" w:eastAsia="宋体"/>
                <w:b/>
                <w:color w:val="1F4E79"/>
                <w:sz w:val="20"/>
              </w:rPr>
              <w:t>[占位符：展开某个服务实现类查看未覆盖行或分支的截图]</w:t>
            </w:r>
          </w:p>
        </w:tc>
      </w:tr>
    </w:tbl>
    <w:p/>
    <w:p>
      <w:pPr>
        <w:pStyle w:val="Heading1"/>
        <w:spacing w:before="240" w:after="120"/>
      </w:pPr>
      <w:r>
        <w:rPr>
          <w:rFonts w:ascii="微软雅黑" w:hAnsi="微软雅黑" w:eastAsia="微软雅黑"/>
          <w:b/>
          <w:color w:val="1F4E79"/>
          <w:sz w:val="30"/>
        </w:rPr>
        <w:t>六、单元测试设计</w:t>
      </w:r>
    </w:p>
    <w:p>
      <w:pPr>
        <w:spacing w:line="324" w:lineRule="auto" w:after="80"/>
        <w:ind w:firstLine="420"/>
      </w:pPr>
      <w:r>
        <w:rPr>
          <w:rFonts w:ascii="Times New Roman" w:hAnsi="Times New Roman" w:eastAsia="宋体"/>
          <w:sz w:val="22"/>
        </w:rPr>
        <w:t>单元测试采用 JUnit 5 编写，使用 Mockito 对 Mapper 层依赖进行模拟。测试类不启动完整 Spring Boot 容器，也不访问真实数据库，因此测试重点集中在服务层方法的返回值、异常信息、状态变更和关键 Mapper 调用是否符合预期。</w:t>
      </w:r>
    </w:p>
    <w:tbl>
      <w:tblPr>
        <w:tblStyle w:val="TableGrid"/>
        <w:tblW w:type="auto" w:w="0"/>
        <w:jc w:val="center"/>
        <w:tblLook w:firstColumn="1" w:firstRow="1" w:lastColumn="0" w:lastRow="0" w:noHBand="0" w:noVBand="1" w:val="04A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3135"/>
        <w:gridCol w:w="3135"/>
        <w:gridCol w:w="3135"/>
      </w:tblGrid>
      <w:tr>
        <w:tc>
          <w:tcPr>
            <w:tcW w:type="dxa" w:w="3135"/>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测试类型</w:t>
            </w:r>
          </w:p>
        </w:tc>
        <w:tc>
          <w:tcPr>
            <w:tcW w:type="dxa" w:w="3135"/>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设计重点</w:t>
            </w:r>
          </w:p>
        </w:tc>
        <w:tc>
          <w:tcPr>
            <w:tcW w:type="dxa" w:w="3135"/>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示例场景</w:t>
            </w:r>
          </w:p>
        </w:tc>
      </w:tr>
      <w:tr>
        <w:tc>
          <w:tcPr>
            <w:tcW w:type="dxa" w:w="3135"/>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正确性测试</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验证正常输入下业务流程是否返回 success 或正确对象</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用户登录成功、购物车添加成功、订单创建成功、支付成功</w:t>
            </w:r>
          </w:p>
        </w:tc>
      </w:tr>
      <w:tr>
        <w:tc>
          <w:tcPr>
            <w:tcW w:type="dxa" w:w="3135"/>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健壮性测试</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验证异常输入、数据库更新失败、权限错误等分支</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用户名重复、商品不存在、库存不足、订单状态异常</w:t>
            </w:r>
          </w:p>
        </w:tc>
      </w:tr>
      <w:tr>
        <w:tc>
          <w:tcPr>
            <w:tcW w:type="dxa" w:w="3135"/>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边界测试</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验证临界值两侧行为是否符合业务规则</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购物车数量上限、昵称长度截断、订单金额为 0 或 1</w:t>
            </w:r>
          </w:p>
        </w:tc>
      </w:tr>
      <w:tr>
        <w:tc>
          <w:tcPr>
            <w:tcW w:type="dxa" w:w="3135"/>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批量操作测试</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验证空数组和合法数组下的批量处理逻辑</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批量锁定用户、批量删除分类、批量更新商品上下架状态</w:t>
            </w:r>
          </w:p>
        </w:tc>
      </w:tr>
    </w:tbl>
    <w:p/>
    <w:tbl>
      <w:tblPr>
        <w:tblStyle w:val="TableGrid"/>
        <w:tblW w:type="auto" w:w="0"/>
        <w:jc w:val="center"/>
        <w:tblLook w:firstColumn="1" w:firstRow="1" w:lastColumn="0" w:lastRow="0" w:noHBand="0" w:noVBand="1" w:val="04A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3135"/>
        <w:gridCol w:w="3135"/>
        <w:gridCol w:w="3135"/>
      </w:tblGrid>
      <w:tr>
        <w:tc>
          <w:tcPr>
            <w:tcW w:type="dxa" w:w="3135"/>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模块</w:t>
            </w:r>
          </w:p>
        </w:tc>
        <w:tc>
          <w:tcPr>
            <w:tcW w:type="dxa" w:w="3135"/>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代表性测试用例</w:t>
            </w:r>
          </w:p>
        </w:tc>
        <w:tc>
          <w:tcPr>
            <w:tcW w:type="dxa" w:w="3135"/>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预期结果</w:t>
            </w:r>
          </w:p>
        </w:tc>
      </w:tr>
      <w:tr>
        <w:tc>
          <w:tcPr>
            <w:tcW w:type="dxa" w:w="3135"/>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用户</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register_withAvailableLoginName_returnsSuccessAndStoresMd5Password</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注册成功，密码按 MD5 形式保存</w:t>
            </w:r>
          </w:p>
        </w:tc>
      </w:tr>
      <w:tr>
        <w:tc>
          <w:tcPr>
            <w:tcW w:type="dxa" w:w="3135"/>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用户</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login_withLockedUser_returnsLockedMessageAndDoesNotSetSession</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返回用户已被禁止登录，不写入 session</w:t>
            </w:r>
          </w:p>
        </w:tc>
      </w:tr>
      <w:tr>
        <w:tc>
          <w:tcPr>
            <w:tcW w:type="dxa" w:w="3135"/>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管理员</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updatePassword_withWrongOriginalPassword_returnsFalse</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原密码错误时修改失败</w:t>
            </w:r>
          </w:p>
        </w:tc>
      </w:tr>
      <w:tr>
        <w:tc>
          <w:tcPr>
            <w:tcW w:type="dxa" w:w="3135"/>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商品</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saveNewBeeMallGoods_withDuplicateName_returnsSameGoodsMessage</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同分类商品名重复时返回重复提示</w:t>
            </w:r>
          </w:p>
        </w:tc>
      </w:tr>
      <w:tr>
        <w:tc>
          <w:tcPr>
            <w:tcW w:type="dxa" w:w="3135"/>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分类</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getCategoriesForIndex_whenFirstLevelEmpty_returnsNull</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首页一级分类为空时返回 null</w:t>
            </w:r>
          </w:p>
        </w:tc>
      </w:tr>
      <w:tr>
        <w:tc>
          <w:tcPr>
            <w:tcW w:type="dxa" w:w="3135"/>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购物车</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saveNewBeeMallCartItem_withGoodsCountOneAboveLimit_returnsLimitMessage</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超过单商品购买数量上限时返回限制提示</w:t>
            </w:r>
          </w:p>
        </w:tc>
      </w:tr>
      <w:tr>
        <w:tc>
          <w:tcPr>
            <w:tcW w:type="dxa" w:w="3135"/>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订单</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saveOrder_whenStockIsLessThanPurchaseCount_throwsStockError</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库存不足时抛出库存异常</w:t>
            </w:r>
          </w:p>
        </w:tc>
      </w:tr>
      <w:tr>
        <w:tc>
          <w:tcPr>
            <w:tcW w:type="dxa" w:w="3135"/>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订单</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finishOrder_whenOrderIsExpress_updatesStatusToSuccess</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出库成功订单确认收货后变为交易成功</w:t>
            </w:r>
          </w:p>
        </w:tc>
      </w:tr>
      <w:tr>
        <w:tc>
          <w:tcPr>
            <w:tcW w:type="dxa" w:w="3135"/>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首页配置</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getConfigGoodsesForIndex_withNameLengthThirtyOne_truncatesName</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商品名超过 30 位时按规则截断</w:t>
            </w:r>
          </w:p>
        </w:tc>
      </w:tr>
      <w:tr>
        <w:tc>
          <w:tcPr>
            <w:tcW w:type="dxa" w:w="3135"/>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批量操作</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deleteCarousels_withEmptyIds_returnsFalse</w:t>
            </w:r>
          </w:p>
        </w:tc>
        <w:tc>
          <w:tcPr>
            <w:tcW w:type="dxa" w:w="3135"/>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空 ID 数组时批量删除返回 false</w:t>
            </w:r>
          </w:p>
        </w:tc>
      </w:tr>
    </w:tbl>
    <w:p/>
    <w:p>
      <w:pPr>
        <w:pStyle w:val="Heading1"/>
        <w:spacing w:before="240" w:after="120"/>
      </w:pPr>
      <w:r>
        <w:rPr>
          <w:rFonts w:ascii="微软雅黑" w:hAnsi="微软雅黑" w:eastAsia="微软雅黑"/>
          <w:b/>
          <w:color w:val="1F4E79"/>
          <w:sz w:val="30"/>
        </w:rPr>
        <w:t>七、测试执行结果</w:t>
      </w:r>
    </w:p>
    <w:p>
      <w:pPr>
        <w:spacing w:line="324" w:lineRule="auto" w:after="80"/>
        <w:ind w:firstLine="420"/>
      </w:pPr>
      <w:r>
        <w:rPr>
          <w:rFonts w:ascii="Times New Roman" w:hAnsi="Times New Roman" w:eastAsia="宋体"/>
          <w:sz w:val="22"/>
        </w:rPr>
        <w:t>在 IDEA 中执行已有单元测试后，当前版本测试结果为全部通过。旧版 Surefire 报告中曾出现的失败与错误已经完成修复，本实验报告不再将旧版失败结果作为当前测试结论。</w:t>
      </w:r>
    </w:p>
    <w:tbl>
      <w:tblPr>
        <w:tblStyle w:val="TableGrid"/>
        <w:tblW w:type="auto" w:w="0"/>
        <w:jc w:val="center"/>
        <w:tblLook w:firstColumn="1" w:firstRow="1" w:lastColumn="0" w:lastRow="0" w:noHBand="0" w:noVBand="1" w:val="04A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4703"/>
        <w:gridCol w:w="4703"/>
      </w:tblGrid>
      <w:tr>
        <w:tc>
          <w:tcPr>
            <w:tcW w:type="dxa" w:w="4703"/>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统计项</w:t>
            </w:r>
          </w:p>
        </w:tc>
        <w:tc>
          <w:tcPr>
            <w:tcW w:type="dxa" w:w="4703"/>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结果</w:t>
            </w:r>
          </w:p>
        </w:tc>
      </w:tr>
      <w:tr>
        <w:tc>
          <w:tcPr>
            <w:tcW w:type="dxa" w:w="4703"/>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测试执行工具</w:t>
            </w:r>
          </w:p>
        </w:tc>
        <w:tc>
          <w:tcPr>
            <w:tcW w:type="dxa" w:w="4703"/>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IntelliJ IDEA Test Runner</w:t>
            </w:r>
          </w:p>
        </w:tc>
      </w:tr>
      <w:tr>
        <w:tc>
          <w:tcPr>
            <w:tcW w:type="dxa" w:w="4703"/>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测试范围</w:t>
            </w:r>
          </w:p>
        </w:tc>
        <w:tc>
          <w:tcPr>
            <w:tcW w:type="dxa" w:w="4703"/>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src/test/java 下服务层相关单元测试与边界测试</w:t>
            </w:r>
          </w:p>
        </w:tc>
      </w:tr>
      <w:tr>
        <w:tc>
          <w:tcPr>
            <w:tcW w:type="dxa" w:w="4703"/>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测试类数量</w:t>
            </w:r>
          </w:p>
        </w:tc>
        <w:tc>
          <w:tcPr>
            <w:tcW w:type="dxa" w:w="4703"/>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14 个测试类，包括 8 个 service.impl 测试类和 6 个边界测试类</w:t>
            </w:r>
          </w:p>
        </w:tc>
      </w:tr>
      <w:tr>
        <w:tc>
          <w:tcPr>
            <w:tcW w:type="dxa" w:w="4703"/>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测试方法统计</w:t>
            </w:r>
          </w:p>
        </w:tc>
        <w:tc>
          <w:tcPr>
            <w:tcW w:type="dxa" w:w="4703"/>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按 @Test/@ParameterizedTest 声明统计，已有 153 项测试方法或参数化测试声明</w:t>
            </w:r>
          </w:p>
        </w:tc>
      </w:tr>
      <w:tr>
        <w:tc>
          <w:tcPr>
            <w:tcW w:type="dxa" w:w="4703"/>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执行结论</w:t>
            </w:r>
          </w:p>
        </w:tc>
        <w:tc>
          <w:tcPr>
            <w:tcW w:type="dxa" w:w="4703"/>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全部测试通过，Failures = 0，Errors = 0</w:t>
            </w:r>
          </w:p>
        </w:tc>
      </w:tr>
    </w:tbl>
    <w:p/>
    <w:tbl>
      <w:tblPr>
        <w:tblStyle w:val="TableGrid"/>
        <w:tblW w:type="auto" w:w="0"/>
        <w:jc w:val="center"/>
        <w:tblLook w:firstColumn="1" w:firstRow="1" w:lastColumn="0" w:lastRow="0" w:noHBand="0" w:noVBand="1" w:val="04A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9406"/>
      </w:tblGrid>
      <w:tr>
        <w:tc>
          <w:tcPr>
            <w:tcW w:type="dxa" w:w="9406"/>
            <w:vAlign w:val="center"/>
            <w:shd w:fill="EEF5FB"/>
            <w:tcMar>
              <w:top w:w="100" w:type="dxa"/>
              <w:start w:w="120" w:type="dxa"/>
              <w:bottom w:w="100" w:type="dxa"/>
              <w:end w:w="120" w:type="dxa"/>
            </w:tcMar>
          </w:tcPr>
          <w:p>
            <w:pPr>
              <w:spacing w:after="0"/>
              <w:jc w:val="center"/>
            </w:pPr>
            <w:r>
              <w:rPr>
                <w:rFonts w:ascii="Times New Roman" w:hAnsi="Times New Roman" w:eastAsia="宋体"/>
                <w:color w:val="1F4E79"/>
                <w:sz w:val="20"/>
              </w:rPr>
            </w:r>
            <w:r>
              <w:rPr>
                <w:rFonts w:ascii="Times New Roman" w:hAnsi="Times New Roman" w:eastAsia="宋体"/>
                <w:b/>
                <w:color w:val="1F4E79"/>
                <w:sz w:val="20"/>
              </w:rPr>
              <w:t>[占位符：IDEA 中全部单元测试通过的运行结果截图]</w:t>
            </w:r>
          </w:p>
        </w:tc>
      </w:tr>
    </w:tbl>
    <w:p/>
    <w:tbl>
      <w:tblPr>
        <w:tblStyle w:val="TableGrid"/>
        <w:tblW w:type="auto" w:w="0"/>
        <w:jc w:val="center"/>
        <w:tblLook w:firstColumn="1" w:firstRow="1" w:lastColumn="0" w:lastRow="0" w:noHBand="0" w:noVBand="1" w:val="04A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9406"/>
      </w:tblGrid>
      <w:tr>
        <w:tc>
          <w:tcPr>
            <w:tcW w:type="dxa" w:w="9406"/>
            <w:vAlign w:val="center"/>
            <w:shd w:fill="EEF5FB"/>
            <w:tcMar>
              <w:top w:w="100" w:type="dxa"/>
              <w:start w:w="120" w:type="dxa"/>
              <w:bottom w:w="100" w:type="dxa"/>
              <w:end w:w="120" w:type="dxa"/>
            </w:tcMar>
          </w:tcPr>
          <w:p>
            <w:pPr>
              <w:spacing w:after="0"/>
              <w:jc w:val="center"/>
            </w:pPr>
            <w:r>
              <w:rPr>
                <w:rFonts w:ascii="Times New Roman" w:hAnsi="Times New Roman" w:eastAsia="宋体"/>
                <w:color w:val="1F4E79"/>
                <w:sz w:val="20"/>
              </w:rPr>
            </w:r>
            <w:r>
              <w:rPr>
                <w:rFonts w:ascii="Times New Roman" w:hAnsi="Times New Roman" w:eastAsia="宋体"/>
                <w:b/>
                <w:color w:val="1F4E79"/>
                <w:sz w:val="20"/>
              </w:rPr>
              <w:t>[占位符：IDEA 中某个核心测试类，例如 NewBeeMallOrderServiceImplTest，测试通过截图]</w:t>
            </w:r>
          </w:p>
        </w:tc>
      </w:tr>
    </w:tbl>
    <w:p/>
    <w:p>
      <w:pPr>
        <w:pStyle w:val="Heading1"/>
        <w:spacing w:before="240" w:after="120"/>
      </w:pPr>
      <w:r>
        <w:rPr>
          <w:rFonts w:ascii="微软雅黑" w:hAnsi="微软雅黑" w:eastAsia="微软雅黑"/>
          <w:b/>
          <w:color w:val="1F4E79"/>
          <w:sz w:val="30"/>
        </w:rPr>
        <w:t>八、覆盖率统计</w:t>
      </w:r>
    </w:p>
    <w:p>
      <w:pPr>
        <w:spacing w:line="324" w:lineRule="auto" w:after="80"/>
        <w:ind w:firstLine="420"/>
      </w:pPr>
      <w:r>
        <w:rPr>
          <w:rFonts w:ascii="Times New Roman" w:hAnsi="Times New Roman" w:eastAsia="宋体"/>
          <w:sz w:val="22"/>
        </w:rPr>
        <w:t>Coverage 统计范围选取 ltd.newbee.mall.service.impl 包。该包下 8 个生产实现类均已纳入统计，类覆盖率达到 100%。整体行覆盖率为 84%，说明主要业务路径已被较充分执行；分支覆盖率为 74%，说明仍有部分异常路径和条件组合未完全覆盖。</w:t>
      </w:r>
    </w:p>
    <w:tbl>
      <w:tblPr>
        <w:tblStyle w:val="TableGrid"/>
        <w:tblW w:type="auto" w:w="0"/>
        <w:jc w:val="center"/>
        <w:tblLook w:firstColumn="1" w:firstRow="1" w:lastColumn="0" w:lastRow="0" w:noHBand="0" w:noVBand="1" w:val="04A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1881"/>
        <w:gridCol w:w="1881"/>
        <w:gridCol w:w="1881"/>
        <w:gridCol w:w="1881"/>
        <w:gridCol w:w="1881"/>
      </w:tblGrid>
      <w:tr>
        <w:tc>
          <w:tcPr>
            <w:tcW w:type="dxa" w:w="1881"/>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范围</w:t>
            </w:r>
          </w:p>
        </w:tc>
        <w:tc>
          <w:tcPr>
            <w:tcW w:type="dxa" w:w="1881"/>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类覆盖率</w:t>
            </w:r>
          </w:p>
        </w:tc>
        <w:tc>
          <w:tcPr>
            <w:tcW w:type="dxa" w:w="1881"/>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方法覆盖率</w:t>
            </w:r>
          </w:p>
        </w:tc>
        <w:tc>
          <w:tcPr>
            <w:tcW w:type="dxa" w:w="1881"/>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行覆盖率</w:t>
            </w:r>
          </w:p>
        </w:tc>
        <w:tc>
          <w:tcPr>
            <w:tcW w:type="dxa" w:w="1881"/>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分支覆盖率</w:t>
            </w:r>
          </w:p>
        </w:tc>
      </w:tr>
      <w:tr>
        <w:tc>
          <w:tcPr>
            <w:tcW w:type="dxa" w:w="1881"/>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ltd.newbee.mall.service.impl</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100% (8/8)</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81% (45/55)</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84% (430/506)</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74% (248/334)</w:t>
            </w:r>
          </w:p>
        </w:tc>
      </w:tr>
    </w:tbl>
    <w:p/>
    <w:tbl>
      <w:tblPr>
        <w:tblStyle w:val="TableGrid"/>
        <w:tblW w:type="auto" w:w="0"/>
        <w:jc w:val="center"/>
        <w:tblLook w:firstColumn="1" w:firstRow="1" w:lastColumn="0" w:lastRow="0" w:noHBand="0" w:noVBand="1" w:val="04A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9406"/>
      </w:tblGrid>
      <w:tr>
        <w:tc>
          <w:tcPr>
            <w:tcW w:type="dxa" w:w="9406"/>
            <w:vAlign w:val="center"/>
            <w:shd w:fill="EEF5FB"/>
            <w:tcMar>
              <w:top w:w="100" w:type="dxa"/>
              <w:start w:w="120" w:type="dxa"/>
              <w:bottom w:w="100" w:type="dxa"/>
              <w:end w:w="120" w:type="dxa"/>
            </w:tcMar>
          </w:tcPr>
          <w:p>
            <w:pPr>
              <w:spacing w:after="0"/>
              <w:jc w:val="center"/>
            </w:pPr>
            <w:r>
              <w:rPr>
                <w:rFonts w:ascii="Times New Roman" w:hAnsi="Times New Roman" w:eastAsia="宋体"/>
                <w:color w:val="1F4E79"/>
                <w:sz w:val="20"/>
              </w:rPr>
            </w:r>
            <w:r>
              <w:rPr>
                <w:rFonts w:ascii="Times New Roman" w:hAnsi="Times New Roman" w:eastAsia="宋体"/>
                <w:b/>
                <w:color w:val="1F4E79"/>
                <w:sz w:val="20"/>
              </w:rPr>
              <w:t>[占位符：IDEA Coverage 总体覆盖率统计截图]</w:t>
            </w:r>
          </w:p>
        </w:tc>
      </w:tr>
    </w:tbl>
    <w:p/>
    <w:tbl>
      <w:tblPr>
        <w:tblStyle w:val="TableGrid"/>
        <w:tblW w:type="auto" w:w="0"/>
        <w:jc w:val="center"/>
        <w:tblLook w:firstColumn="1" w:firstRow="1" w:lastColumn="0" w:lastRow="0" w:noHBand="0" w:noVBand="1" w:val="04A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1881"/>
        <w:gridCol w:w="1881"/>
        <w:gridCol w:w="1881"/>
        <w:gridCol w:w="1881"/>
        <w:gridCol w:w="1881"/>
      </w:tblGrid>
      <w:tr>
        <w:tc>
          <w:tcPr>
            <w:tcW w:type="dxa" w:w="1881"/>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实现类</w:t>
            </w:r>
          </w:p>
        </w:tc>
        <w:tc>
          <w:tcPr>
            <w:tcW w:type="dxa" w:w="1881"/>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方法覆盖率</w:t>
            </w:r>
          </w:p>
        </w:tc>
        <w:tc>
          <w:tcPr>
            <w:tcW w:type="dxa" w:w="1881"/>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行覆盖率</w:t>
            </w:r>
          </w:p>
        </w:tc>
        <w:tc>
          <w:tcPr>
            <w:tcW w:type="dxa" w:w="1881"/>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分支覆盖率</w:t>
            </w:r>
          </w:p>
        </w:tc>
        <w:tc>
          <w:tcPr>
            <w:tcW w:type="dxa" w:w="1881"/>
            <w:vAlign w:val="center"/>
            <w:shd w:fill="1F4E79"/>
            <w:tcMar>
              <w:top w:w="100" w:type="dxa"/>
              <w:start w:w="120" w:type="dxa"/>
              <w:bottom w:w="100" w:type="dxa"/>
              <w:end w:w="120" w:type="dxa"/>
            </w:tcMar>
          </w:tcPr>
          <w:p>
            <w:pPr>
              <w:spacing w:after="0"/>
              <w:jc w:val="center"/>
            </w:pPr>
            <w:r>
              <w:rPr>
                <w:rFonts w:ascii="Times New Roman" w:hAnsi="Times New Roman" w:eastAsia="宋体"/>
                <w:b/>
                <w:color w:val="FFFFFF"/>
                <w:sz w:val="20"/>
              </w:rPr>
            </w:r>
            <w:r>
              <w:rPr>
                <w:rFonts w:ascii="Times New Roman" w:hAnsi="Times New Roman" w:eastAsia="宋体"/>
                <w:b/>
                <w:color w:val="FFFFFF"/>
                <w:sz w:val="20"/>
              </w:rPr>
              <w:t>评价</w:t>
            </w:r>
          </w:p>
        </w:tc>
      </w:tr>
      <w:tr>
        <w:tc>
          <w:tcPr>
            <w:tcW w:type="dxa" w:w="1881"/>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AdminUserServiceImpl</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75% (3/4)</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94% (18/19)</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100% (10/10)</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覆盖质量较好，仅有少量方法未触达</w:t>
            </w:r>
          </w:p>
        </w:tc>
      </w:tr>
      <w:tr>
        <w:tc>
          <w:tcPr>
            <w:tcW w:type="dxa" w:w="1881"/>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NewBeeMallCarouselServiceImpl</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100% (6/6)</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100% (26/26)</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91% (11/12)</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主路径和异常路径基本完整</w:t>
            </w:r>
          </w:p>
        </w:tc>
      </w:tr>
      <w:tr>
        <w:tc>
          <w:tcPr>
            <w:tcW w:type="dxa" w:w="1881"/>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NewBeeMallCategoryServiceImpl</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87% (7/8)</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90% (59/65)</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72% (29/40)</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行覆盖较高，分类层级组合分支仍可补充</w:t>
            </w:r>
          </w:p>
        </w:tc>
      </w:tr>
      <w:tr>
        <w:tc>
          <w:tcPr>
            <w:tcW w:type="dxa" w:w="1881"/>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NewBeeMallGoodsServiceImpl</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85% (6/7)</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90% (49/54)</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70% (24/34)</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商品保存、更新、查询路径已覆盖，分支仍偏低</w:t>
            </w:r>
          </w:p>
        </w:tc>
      </w:tr>
      <w:tr>
        <w:tc>
          <w:tcPr>
            <w:tcW w:type="dxa" w:w="1881"/>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NewBeeMallIndexConfigServiceImpl</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66% (4/6)</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88% (38/43)</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92% (26/28)</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分支覆盖较好，但方法覆盖偏低</w:t>
            </w:r>
          </w:p>
        </w:tc>
      </w:tr>
      <w:tr>
        <w:tc>
          <w:tcPr>
            <w:tcW w:type="dxa" w:w="1881"/>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NewBeeMallOrderServiceImpl</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71% (10/14)</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74% (144/194)</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67% (96/142)</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订单流程复杂，是当前覆盖薄弱点</w:t>
            </w:r>
          </w:p>
        </w:tc>
      </w:tr>
      <w:tr>
        <w:tc>
          <w:tcPr>
            <w:tcW w:type="dxa" w:w="1881"/>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NewBeeMallShoppingCartServiceImpl</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100% (5/5)</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94% (54/57)</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80% (29/36)</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方法覆盖完整，剩余问题主要是分支组合</w:t>
            </w:r>
          </w:p>
        </w:tc>
      </w:tr>
      <w:tr>
        <w:tc>
          <w:tcPr>
            <w:tcW w:type="dxa" w:w="1881"/>
            <w:vAlign w:val="center"/>
            <w:tcMar>
              <w:top w:w="100" w:type="dxa"/>
              <w:start w:w="120" w:type="dxa"/>
              <w:bottom w:w="100" w:type="dxa"/>
              <w:end w:w="120" w:type="dxa"/>
            </w:tcMar>
          </w:tcPr>
          <w:p>
            <w:pPr>
              <w:spacing w:after="0"/>
              <w:jc w:val="center"/>
            </w:pPr>
            <w:r>
              <w:rPr>
                <w:rFonts w:ascii="Times New Roman" w:hAnsi="Times New Roman" w:eastAsia="宋体"/>
                <w:sz w:val="20"/>
              </w:rPr>
            </w:r>
            <w:r>
              <w:rPr>
                <w:rFonts w:ascii="Times New Roman" w:hAnsi="Times New Roman" w:eastAsia="宋体"/>
                <w:b w:val="0"/>
                <w:sz w:val="20"/>
              </w:rPr>
              <w:t>NewBeeMallUserServiceImpl</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80% (4/5)</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87% (42/48)</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71% (23/32)</w:t>
            </w:r>
          </w:p>
        </w:tc>
        <w:tc>
          <w:tcPr>
            <w:tcW w:type="dxa" w:w="1881"/>
            <w:vAlign w:val="center"/>
            <w:tcMar>
              <w:top w:w="100" w:type="dxa"/>
              <w:start w:w="120" w:type="dxa"/>
              <w:bottom w:w="100" w:type="dxa"/>
              <w:end w:w="120" w:type="dxa"/>
            </w:tcMar>
          </w:tcPr>
          <w:p>
            <w:pPr>
              <w:spacing w:after="0"/>
              <w:jc w:val="left"/>
            </w:pPr>
            <w:r>
              <w:rPr>
                <w:rFonts w:ascii="Times New Roman" w:hAnsi="Times New Roman" w:eastAsia="宋体"/>
                <w:sz w:val="20"/>
              </w:rPr>
            </w:r>
            <w:r>
              <w:rPr>
                <w:rFonts w:ascii="Times New Roman" w:hAnsi="Times New Roman" w:eastAsia="宋体"/>
                <w:b w:val="0"/>
                <w:sz w:val="20"/>
              </w:rPr>
              <w:t>登录、注册、资料更新已覆盖，列表查询等仍可补充</w:t>
            </w:r>
          </w:p>
        </w:tc>
      </w:tr>
    </w:tbl>
    <w:p/>
    <w:tbl>
      <w:tblPr>
        <w:tblStyle w:val="TableGrid"/>
        <w:tblW w:type="auto" w:w="0"/>
        <w:jc w:val="center"/>
        <w:tblLook w:firstColumn="1" w:firstRow="1" w:lastColumn="0" w:lastRow="0" w:noHBand="0" w:noVBand="1" w:val="04A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9406"/>
      </w:tblGrid>
      <w:tr>
        <w:tc>
          <w:tcPr>
            <w:tcW w:type="dxa" w:w="9406"/>
            <w:vAlign w:val="center"/>
            <w:shd w:fill="EEF5FB"/>
            <w:tcMar>
              <w:top w:w="100" w:type="dxa"/>
              <w:start w:w="120" w:type="dxa"/>
              <w:bottom w:w="100" w:type="dxa"/>
              <w:end w:w="120" w:type="dxa"/>
            </w:tcMar>
          </w:tcPr>
          <w:p>
            <w:pPr>
              <w:spacing w:after="0"/>
              <w:jc w:val="center"/>
            </w:pPr>
            <w:r>
              <w:rPr>
                <w:rFonts w:ascii="Times New Roman" w:hAnsi="Times New Roman" w:eastAsia="宋体"/>
                <w:color w:val="1F4E79"/>
                <w:sz w:val="20"/>
              </w:rPr>
            </w:r>
            <w:r>
              <w:rPr>
                <w:rFonts w:ascii="Times New Roman" w:hAnsi="Times New Roman" w:eastAsia="宋体"/>
                <w:b/>
                <w:color w:val="1F4E79"/>
                <w:sz w:val="20"/>
              </w:rPr>
              <w:t>[占位符：IDEA Coverage 中各服务实现类覆盖率明细截图]</w:t>
            </w:r>
          </w:p>
        </w:tc>
      </w:tr>
    </w:tbl>
    <w:p/>
    <w:p>
      <w:pPr>
        <w:pStyle w:val="Heading1"/>
        <w:spacing w:before="240" w:after="120"/>
      </w:pPr>
      <w:r>
        <w:rPr>
          <w:rFonts w:ascii="微软雅黑" w:hAnsi="微软雅黑" w:eastAsia="微软雅黑"/>
          <w:b/>
          <w:color w:val="1F4E79"/>
          <w:sz w:val="30"/>
        </w:rPr>
        <w:t>九、覆盖率结果分析</w:t>
      </w:r>
    </w:p>
    <w:p>
      <w:pPr>
        <w:spacing w:line="324" w:lineRule="auto" w:after="80"/>
        <w:ind w:firstLine="420"/>
      </w:pPr>
      <w:r>
        <w:rPr>
          <w:rFonts w:ascii="Times New Roman" w:hAnsi="Times New Roman" w:eastAsia="宋体"/>
          <w:sz w:val="22"/>
        </w:rPr>
        <w:t>从整体覆盖率看，service.impl 包下 8 个服务实现类均被测试触达，类覆盖率为 100%，说明测试范围没有遗漏主要服务类。行覆盖率达到 84%，表明已有测试覆盖了大部分核心业务路径，包括用户登录注册、商品管理、购物车操作、订单状态流转和首页配置等。</w:t>
      </w:r>
    </w:p>
    <w:p>
      <w:pPr>
        <w:spacing w:line="324" w:lineRule="auto" w:after="80"/>
        <w:ind w:firstLine="420"/>
      </w:pPr>
      <w:r>
        <w:rPr>
          <w:rFonts w:ascii="Times New Roman" w:hAnsi="Times New Roman" w:eastAsia="宋体"/>
          <w:sz w:val="22"/>
        </w:rPr>
        <w:t>分支覆盖率为 74%，低于行覆盖率。原因是服务层代码中存在较多条件判断，例如数据为空、重复数据、数据库更新失败、订单状态不合法、用户权限不匹配、库存不足和边界长度处理等。某些代码行虽然被执行过，但 if/else 的另一侧没有全部覆盖。</w:t>
      </w:r>
    </w:p>
    <w:p>
      <w:pPr>
        <w:spacing w:line="324" w:lineRule="auto" w:after="80"/>
        <w:ind w:firstLine="420"/>
      </w:pPr>
      <w:r>
        <w:rPr>
          <w:rFonts w:ascii="Times New Roman" w:hAnsi="Times New Roman" w:eastAsia="宋体"/>
          <w:sz w:val="22"/>
        </w:rPr>
        <w:t>订单服务 NewBeeMallOrderServiceImpl 的覆盖率相对最低，方法覆盖率为 71%，行覆盖率为 74%，分支覆盖率为 67%。该类承担订单创建、支付、取消、关闭、出库、收货、详情查询和库存恢复等流程，业务路径长且状态组合多，因此后续提升覆盖率时应优先补充订单相关的异常分支和状态边界测试。</w:t>
      </w:r>
    </w:p>
    <w:p>
      <w:pPr>
        <w:spacing w:line="324" w:lineRule="auto" w:after="80"/>
        <w:ind w:firstLine="420"/>
      </w:pPr>
      <w:r>
        <w:rPr>
          <w:rFonts w:ascii="Times New Roman" w:hAnsi="Times New Roman" w:eastAsia="宋体"/>
          <w:sz w:val="22"/>
        </w:rPr>
        <w:t>覆盖率统计可以帮助判断测试是否执行到代码，但不能单独证明断言充分或业务完全正确。因此，分析覆盖率时还需要结合测试用例设计、断言内容和测试结果共同判断。</w:t>
      </w:r>
    </w:p>
    <w:p>
      <w:pPr>
        <w:pStyle w:val="Heading1"/>
        <w:spacing w:before="240" w:after="120"/>
      </w:pPr>
      <w:r>
        <w:rPr>
          <w:rFonts w:ascii="微软雅黑" w:hAnsi="微软雅黑" w:eastAsia="微软雅黑"/>
          <w:b/>
          <w:color w:val="1F4E79"/>
          <w:sz w:val="30"/>
        </w:rPr>
        <w:t>十、实验总结</w:t>
      </w:r>
    </w:p>
    <w:p>
      <w:pPr>
        <w:pStyle w:val="ListBullet"/>
        <w:spacing w:line="300" w:lineRule="auto" w:after="40"/>
      </w:pPr>
      <w:r>
        <w:rPr>
          <w:rFonts w:ascii="Times New Roman" w:hAnsi="Times New Roman" w:eastAsia="宋体"/>
          <w:sz w:val="21"/>
        </w:rPr>
        <w:t>本次实验掌握了 IDEA 自带 Coverage 工具的基本使用流程，能够通过 Run with Coverage 执行测试并查看覆盖率结果。</w:t>
      </w:r>
    </w:p>
    <w:p>
      <w:pPr>
        <w:pStyle w:val="ListBullet"/>
        <w:spacing w:line="300" w:lineRule="auto" w:after="40"/>
      </w:pPr>
      <w:r>
        <w:rPr>
          <w:rFonts w:ascii="Times New Roman" w:hAnsi="Times New Roman" w:eastAsia="宋体"/>
          <w:sz w:val="21"/>
        </w:rPr>
        <w:t>通过 JUnit 5 与 Mockito 编写服务层单元测试，可以在不连接数据库、不启动完整 Spring Boot 容器的情况下验证核心业务逻辑。</w:t>
      </w:r>
    </w:p>
    <w:p>
      <w:pPr>
        <w:pStyle w:val="ListBullet"/>
        <w:spacing w:line="300" w:lineRule="auto" w:after="40"/>
      </w:pPr>
      <w:r>
        <w:rPr>
          <w:rFonts w:ascii="Times New Roman" w:hAnsi="Times New Roman" w:eastAsia="宋体"/>
          <w:sz w:val="21"/>
        </w:rPr>
        <w:t>覆盖率结果显示当前 service.impl 包类覆盖率达到 100%，行覆盖率达到 84%，测试已经覆盖主要业务路径。</w:t>
      </w:r>
    </w:p>
    <w:p>
      <w:pPr>
        <w:pStyle w:val="ListBullet"/>
        <w:spacing w:line="300" w:lineRule="auto" w:after="40"/>
      </w:pPr>
      <w:r>
        <w:rPr>
          <w:rFonts w:ascii="Times New Roman" w:hAnsi="Times New Roman" w:eastAsia="宋体"/>
          <w:sz w:val="21"/>
        </w:rPr>
        <w:t>分支覆盖率仍有提升空间，特别是订单服务的状态流转、异常路径和复杂条件组合需要继续补充测试。</w:t>
      </w:r>
    </w:p>
    <w:p>
      <w:pPr>
        <w:pStyle w:val="ListBullet"/>
        <w:spacing w:line="300" w:lineRule="auto" w:after="40"/>
      </w:pPr>
      <w:r>
        <w:rPr>
          <w:rFonts w:ascii="Times New Roman" w:hAnsi="Times New Roman" w:eastAsia="宋体"/>
          <w:sz w:val="21"/>
        </w:rPr>
        <w:t>实验说明覆盖率是测试充分性的参考指标，而不是唯一指标；后续仍需结合断言质量、边界用例和业务风险持续完善测试。</w:t>
      </w:r>
    </w:p>
    <w:p>
      <w:pPr>
        <w:pStyle w:val="Heading1"/>
        <w:spacing w:before="240" w:after="120"/>
      </w:pPr>
      <w:r>
        <w:rPr>
          <w:rFonts w:ascii="微软雅黑" w:hAnsi="微软雅黑" w:eastAsia="微软雅黑"/>
          <w:b/>
          <w:color w:val="1F4E79"/>
          <w:sz w:val="30"/>
        </w:rPr>
        <w:t>附录：关键测试代码片段</w:t>
      </w:r>
    </w:p>
    <w:p>
      <w:pPr>
        <w:spacing w:line="324" w:lineRule="auto" w:after="80"/>
        <w:ind w:firstLine="420"/>
      </w:pPr>
      <w:r>
        <w:rPr>
          <w:rFonts w:ascii="Times New Roman" w:hAnsi="Times New Roman" w:eastAsia="宋体"/>
          <w:sz w:val="22"/>
        </w:rPr>
        <w:t>以下为本项目单元测试的典型写法，展示了 JUnit 5 与 Mockito 的使用方式。实际报告提交时可根据需要替换为 IDEA 中打开测试类的截图。</w:t>
      </w:r>
    </w:p>
    <w:tbl>
      <w:tblPr>
        <w:tblStyle w:val="TableGrid"/>
        <w:tblW w:type="auto" w:w="0"/>
        <w:jc w:val="center"/>
        <w:tblLook w:firstColumn="1" w:firstRow="1" w:lastColumn="0" w:lastRow="0" w:noHBand="0" w:noVBand="1" w:val="04A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9406"/>
      </w:tblGrid>
      <w:tr>
        <w:tc>
          <w:tcPr>
            <w:tcW w:type="dxa" w:w="9406"/>
            <w:shd w:fill="F2F2F2"/>
            <w:tcMar>
              <w:top w:w="100" w:type="dxa"/>
              <w:start w:w="120" w:type="dxa"/>
              <w:bottom w:w="100" w:type="dxa"/>
              <w:end w:w="120" w:type="dxa"/>
            </w:tcMar>
            <w:vAlign w:val="center"/>
          </w:tcPr>
          <w:p>
            <w:pPr>
              <w:spacing w:after="0"/>
            </w:pPr>
            <w:r>
              <w:rPr>
                <w:rFonts w:ascii="Times New Roman" w:hAnsi="Times New Roman" w:eastAsia="宋体"/>
                <w:sz w:val="20"/>
              </w:rPr>
            </w:r>
            <w:r>
              <w:rPr>
                <w:rFonts w:ascii="Times New Roman" w:hAnsi="Times New Roman" w:eastAsia="宋体"/>
                <w:sz w:val="20"/>
              </w:rPr>
              <w:t>@ExtendWith(MockitoExtension.class)</w:t>
            </w:r>
            <w:r>
              <w:rPr>
                <w:rFonts w:ascii="Times New Roman" w:hAnsi="Times New Roman" w:eastAsia="宋体"/>
                <w:sz w:val="20"/>
              </w:rPr>
              <w:br/>
            </w:r>
            <w:r>
              <w:rPr>
                <w:rFonts w:ascii="Times New Roman" w:hAnsi="Times New Roman" w:eastAsia="宋体"/>
                <w:sz w:val="20"/>
              </w:rPr>
              <w:t>class NewBeeMallShoppingCartServiceImplTest {</w:t>
            </w:r>
            <w:r>
              <w:rPr>
                <w:rFonts w:ascii="Times New Roman" w:hAnsi="Times New Roman" w:eastAsia="宋体"/>
                <w:sz w:val="20"/>
              </w:rPr>
              <w:br/>
            </w:r>
            <w:r>
              <w:rPr>
                <w:rFonts w:ascii="Times New Roman" w:hAnsi="Times New Roman" w:eastAsia="宋体"/>
                <w:sz w:val="20"/>
              </w:rPr>
              <w:t xml:space="preserve">    @Mock</w:t>
            </w:r>
            <w:r>
              <w:rPr>
                <w:rFonts w:ascii="Times New Roman" w:hAnsi="Times New Roman" w:eastAsia="宋体"/>
                <w:sz w:val="20"/>
              </w:rPr>
              <w:br/>
            </w:r>
            <w:r>
              <w:rPr>
                <w:rFonts w:ascii="Times New Roman" w:hAnsi="Times New Roman" w:eastAsia="宋体"/>
                <w:sz w:val="20"/>
              </w:rPr>
              <w:t xml:space="preserve">    private NewBeeMallGoodsMapper goodsMapper;</w:t>
            </w:r>
            <w:r>
              <w:rPr>
                <w:rFonts w:ascii="Times New Roman" w:hAnsi="Times New Roman" w:eastAsia="宋体"/>
                <w:sz w:val="20"/>
              </w:rPr>
              <w:br/>
            </w:r>
            <w:r>
              <w:rPr>
                <w:rFonts w:ascii="Times New Roman" w:hAnsi="Times New Roman" w:eastAsia="宋体"/>
                <w:sz w:val="20"/>
              </w:rPr>
            </w:r>
            <w:r>
              <w:rPr>
                <w:rFonts w:ascii="Times New Roman" w:hAnsi="Times New Roman" w:eastAsia="宋体"/>
                <w:sz w:val="20"/>
              </w:rPr>
              <w:br/>
            </w:r>
            <w:r>
              <w:rPr>
                <w:rFonts w:ascii="Times New Roman" w:hAnsi="Times New Roman" w:eastAsia="宋体"/>
                <w:sz w:val="20"/>
              </w:rPr>
              <w:t xml:space="preserve">    @InjectMocks</w:t>
            </w:r>
            <w:r>
              <w:rPr>
                <w:rFonts w:ascii="Times New Roman" w:hAnsi="Times New Roman" w:eastAsia="宋体"/>
                <w:sz w:val="20"/>
              </w:rPr>
              <w:br/>
            </w:r>
            <w:r>
              <w:rPr>
                <w:rFonts w:ascii="Times New Roman" w:hAnsi="Times New Roman" w:eastAsia="宋体"/>
                <w:sz w:val="20"/>
              </w:rPr>
              <w:t xml:space="preserve">    private NewBeeMallShoppingCartServiceImpl shoppingCartService;</w:t>
            </w:r>
            <w:r>
              <w:rPr>
                <w:rFonts w:ascii="Times New Roman" w:hAnsi="Times New Roman" w:eastAsia="宋体"/>
                <w:sz w:val="20"/>
              </w:rPr>
              <w:br/>
            </w:r>
            <w:r>
              <w:rPr>
                <w:rFonts w:ascii="Times New Roman" w:hAnsi="Times New Roman" w:eastAsia="宋体"/>
                <w:sz w:val="20"/>
              </w:rPr>
            </w:r>
            <w:r>
              <w:rPr>
                <w:rFonts w:ascii="Times New Roman" w:hAnsi="Times New Roman" w:eastAsia="宋体"/>
                <w:sz w:val="20"/>
              </w:rPr>
              <w:br/>
            </w:r>
            <w:r>
              <w:rPr>
                <w:rFonts w:ascii="Times New Roman" w:hAnsi="Times New Roman" w:eastAsia="宋体"/>
                <w:sz w:val="20"/>
              </w:rPr>
              <w:t xml:space="preserve">    @Test</w:t>
            </w:r>
            <w:r>
              <w:rPr>
                <w:rFonts w:ascii="Times New Roman" w:hAnsi="Times New Roman" w:eastAsia="宋体"/>
                <w:sz w:val="20"/>
              </w:rPr>
              <w:br/>
            </w:r>
            <w:r>
              <w:rPr>
                <w:rFonts w:ascii="Times New Roman" w:hAnsi="Times New Roman" w:eastAsia="宋体"/>
                <w:sz w:val="20"/>
              </w:rPr>
              <w:t xml:space="preserve">    void saveNewBeeMallCartItem_withGoodsCountOneAboveLimit_returnsLimitMessage() {</w:t>
            </w:r>
            <w:r>
              <w:rPr>
                <w:rFonts w:ascii="Times New Roman" w:hAnsi="Times New Roman" w:eastAsia="宋体"/>
                <w:sz w:val="20"/>
              </w:rPr>
              <w:br/>
            </w:r>
            <w:r>
              <w:rPr>
                <w:rFonts w:ascii="Times New Roman" w:hAnsi="Times New Roman" w:eastAsia="宋体"/>
                <w:sz w:val="20"/>
              </w:rPr>
              <w:t xml:space="preserve">        // 使用 Mockito 构造边界输入，断言服务层返回数量超限提示。</w:t>
            </w:r>
            <w:r>
              <w:rPr>
                <w:rFonts w:ascii="Times New Roman" w:hAnsi="Times New Roman" w:eastAsia="宋体"/>
                <w:sz w:val="20"/>
              </w:rPr>
              <w:br/>
            </w:r>
            <w:r>
              <w:rPr>
                <w:rFonts w:ascii="Times New Roman" w:hAnsi="Times New Roman" w:eastAsia="宋体"/>
                <w:sz w:val="20"/>
              </w:rPr>
              <w:t xml:space="preserve">    }</w:t>
            </w:r>
            <w:r>
              <w:rPr>
                <w:rFonts w:ascii="Times New Roman" w:hAnsi="Times New Roman" w:eastAsia="宋体"/>
                <w:sz w:val="20"/>
              </w:rPr>
              <w:br/>
            </w:r>
            <w:r>
              <w:rPr>
                <w:rFonts w:ascii="Times New Roman" w:hAnsi="Times New Roman" w:eastAsia="宋体"/>
                <w:sz w:val="20"/>
              </w:rPr>
              <w:t>}</w:t>
            </w:r>
          </w:p>
        </w:tc>
      </w:tr>
    </w:tbl>
    <w:p/>
    <w:tbl>
      <w:tblPr>
        <w:tblStyle w:val="TableGrid"/>
        <w:tblW w:type="auto" w:w="0"/>
        <w:jc w:val="center"/>
        <w:tblLook w:firstColumn="1" w:firstRow="1" w:lastColumn="0" w:lastRow="0" w:noHBand="0" w:noVBand="1" w:val="04A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9406"/>
      </w:tblGrid>
      <w:tr>
        <w:tc>
          <w:tcPr>
            <w:tcW w:type="dxa" w:w="9406"/>
            <w:vAlign w:val="center"/>
            <w:shd w:fill="EEF5FB"/>
            <w:tcMar>
              <w:top w:w="100" w:type="dxa"/>
              <w:start w:w="120" w:type="dxa"/>
              <w:bottom w:w="100" w:type="dxa"/>
              <w:end w:w="120" w:type="dxa"/>
            </w:tcMar>
          </w:tcPr>
          <w:p>
            <w:pPr>
              <w:spacing w:after="0"/>
              <w:jc w:val="center"/>
            </w:pPr>
            <w:r>
              <w:rPr>
                <w:rFonts w:ascii="Times New Roman" w:hAnsi="Times New Roman" w:eastAsia="宋体"/>
                <w:color w:val="1F4E79"/>
                <w:sz w:val="20"/>
              </w:rPr>
            </w:r>
            <w:r>
              <w:rPr>
                <w:rFonts w:ascii="Times New Roman" w:hAnsi="Times New Roman" w:eastAsia="宋体"/>
                <w:b/>
                <w:color w:val="1F4E79"/>
                <w:sz w:val="20"/>
              </w:rPr>
              <w:t>[占位符：IDEA 中打开单元测试代码的截图]</w:t>
            </w:r>
          </w:p>
        </w:tc>
      </w:tr>
    </w:tbl>
    <w:p/>
    <w:sectPr w:rsidR="00FC693F" w:rsidRPr="0006063C" w:rsidSect="00034616">
      <w:footerReference w:type="default" r:id="rId9"/>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46464"/>
        <w:sz w:val="18"/>
      </w:rPr>
      <w:t>newbee-mall Java 代码覆盖率测试实验报告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