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>
      <w:pPr>
        <w:spacing w:line="360" w:lineRule="auto" w:after="120"/>
        <w:jc w:val="center"/>
      </w:pPr>
      <w:r>
        <w:rPr>
          <w:rFonts w:ascii="黑体" w:hAnsi="黑体" w:eastAsia="黑体"/>
          <w:b/>
          <w:sz w:val="44"/>
        </w:rPr>
        <w:t>中泰旭鼎 CRM+OKR 经营管理系统</w:t>
      </w:r>
    </w:p>
    <w:p>
      <w:pPr>
        <w:spacing w:line="360" w:lineRule="auto" w:after="120"/>
        <w:jc w:val="center"/>
      </w:pPr>
      <w:r>
        <w:rPr>
          <w:rFonts w:ascii="宋体" w:hAnsi="宋体" w:eastAsia="黑体"/>
          <w:b/>
          <w:sz w:val="36"/>
        </w:rPr>
        <w:t>基于 LangGraph 的智能体嵌入方案</w:t>
      </w:r>
    </w:p>
    <w:p>
      <w:pPr>
        <w:spacing w:line="360" w:lineRule="auto" w:after="120"/>
        <w:jc w:val="center"/>
      </w:pPr>
      <w:r>
        <w:rPr>
          <w:rFonts w:ascii="宋体" w:hAnsi="宋体" w:eastAsia="宋体"/>
          <w:b w:val="0"/>
          <w:sz w:val="28"/>
        </w:rPr>
        <w:t>（领导汇报稿）</w:t>
      </w:r>
    </w:p>
    <w:p/>
    <w:p>
      <w:pPr>
        <w:spacing w:line="432" w:lineRule="auto"/>
        <w:jc w:val="center"/>
      </w:pPr>
      <w:r>
        <w:rPr>
          <w:rFonts w:ascii="宋体" w:hAnsi="宋体" w:eastAsia="宋体"/>
          <w:b w:val="0"/>
          <w:sz w:val="24"/>
        </w:rPr>
        <w:t>项目名称：中泰旭鼎 CRM+OKR 经营管理系统</w:t>
      </w:r>
    </w:p>
    <w:p>
      <w:pPr>
        <w:spacing w:line="432" w:lineRule="auto"/>
        <w:jc w:val="center"/>
      </w:pPr>
      <w:r>
        <w:rPr>
          <w:rFonts w:ascii="宋体" w:hAnsi="宋体" w:eastAsia="宋体"/>
          <w:b w:val="0"/>
          <w:sz w:val="24"/>
        </w:rPr>
        <w:t>汇报主题：二期/三期智能体（Agent）技术选型与实施计划</w:t>
      </w:r>
    </w:p>
    <w:p>
      <w:pPr>
        <w:spacing w:line="432" w:lineRule="auto"/>
        <w:jc w:val="center"/>
      </w:pPr>
      <w:r>
        <w:rPr>
          <w:rFonts w:ascii="宋体" w:hAnsi="宋体" w:eastAsia="宋体"/>
          <w:b w:val="0"/>
          <w:sz w:val="24"/>
        </w:rPr>
        <w:t>技术路线：LangGraph + 现有 FastAPI / 知识库 / 飞书能力</w:t>
      </w:r>
    </w:p>
    <w:p>
      <w:pPr>
        <w:spacing w:line="432" w:lineRule="auto"/>
        <w:jc w:val="center"/>
      </w:pPr>
      <w:r>
        <w:rPr>
          <w:rFonts w:ascii="宋体" w:hAnsi="宋体" w:eastAsia="宋体"/>
          <w:b w:val="0"/>
          <w:sz w:val="24"/>
        </w:rPr>
        <w:t>文档版本：v1.0</w:t>
      </w:r>
    </w:p>
    <w:p>
      <w:pPr>
        <w:spacing w:line="432" w:lineRule="auto"/>
        <w:jc w:val="center"/>
      </w:pPr>
      <w:r>
        <w:rPr>
          <w:rFonts w:ascii="宋体" w:hAnsi="宋体" w:eastAsia="宋体"/>
          <w:b w:val="0"/>
          <w:sz w:val="24"/>
        </w:rPr>
        <w:t>日期：2026年9月</w:t>
      </w:r>
    </w:p>
    <w:p>
      <w:r>
        <w:br w:type="page"/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一、汇报背景与目标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公司内部经营管理系统（CRM+OKR）一期测试版已覆盖售前、合同回款、项目交付、排期、协作工单、固定资产及飞书对接等核心能力。按既定分期规划，二期侧重协同增强（工时/OKR/知识库/消息提醒），三期引入 AI 辅助办公。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本报告就「是否在系统中嵌入智能体、采用 LangGraph 技术路线、工期与投入」向领导作专项说明，便于决策二期穿插建设或三期集中落地。</w:t>
      </w:r>
    </w:p>
    <w:p>
      <w:pPr>
        <w:spacing w:line="360" w:lineRule="auto" w:after="120"/>
      </w:pPr>
      <w:r>
        <w:rPr>
          <w:rFonts w:ascii="宋体" w:hAnsi="宋体" w:eastAsia="宋体"/>
          <w:b w:val="0"/>
          <w:sz w:val="24"/>
        </w:rPr>
        <w:t>汇报目标：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明确智能体可嵌入，且与现有技术栈兼容；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说明为何推荐 LangGraph，以及相对自研编排的利弊；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给出可执行的分期范围、工期与验收标准；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识别风险与资源需求，避免范围失控。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二、可行性结论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/>
          <w:sz w:val="24"/>
        </w:rPr>
        <w:t>结论：可以嵌入，且具备较好基础，不必从零建设。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系统当前已具备以下底座能力：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知识库与检索增强问答（RAG）模块已落地，可配置 DeepSeek 等大模型接口；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后端统一为 FastAPI REST，业务能力（待办、项目、审批、工时等）可封装为智能体工具（Tool）；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已打通飞书登录与消息通知，可扩展为飞书侧对话入口；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鉴权为 JWT + RBAC，智能体可按当前登录用户权限访问数据，满足「谁问谁看」的合规要求。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因此，智能体建设的本质不是另起一套系统，而是在现有经营系统之上增加「可编排的对话与工具调用层」，服务一线查询、流程辅导与后续辅助审批。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三、为什么选用 LangGraph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3.1 技术定位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LangGraph 是面向「多智能步 Agent / 工作流图」的编排框架，适合把「理解问题 → 检索知识 → 调用业务接口 → 汇总回答」做成可控的状态机，而不是单次大模型调用。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3.2 相对自研 if/else 的优势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对比项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自研编排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LangGraph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多步推理/分支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后期难维护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图结构清晰，易扩展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失败重试/人工确认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需大量自写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状态与中断点支持较好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与二三期演进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易推倒重来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从问答平滑升级到流程助手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学习与生态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完全自控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业界常用，AI 辅助开发友好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说明：若二期仅做「知识库问答」，沿用现有 LLM 模块即可更快上线；若确定要向三期「催办、汇总、辅助审批」演进，建议现在采用 LangGraph，多投入约 2～3 天换取后续更低改造成本。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3.3 推荐架构（简明）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前端（Vue 站内悬浮助手 / 可选飞书机器人）→ FastAPI 对话接口（流式）→ LangGraph 编排图 → 工具节点（知识检索、我的待办、项目进度、审批状态等）→ 大模型（DeepSeek 等，外呼 API）→ 返回带权限约束的回答。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关键原则：智能体必须以当前用户身份调用业务接口，禁止使用超级账号绕过数据权限；写操作（催办、改单）必须二次确认并留审计日志。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四、建设分期与范围建议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4.1 一期（已完成，不重复建设）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售前、合同回款、项目交付、排期、工单、资产、审批中心、飞书对接等主流程已跑通。知识库与 LLM 配置能力已具备，为智能体提供数据与模型入口。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4.2 二期穿插：实用助手（建议优先）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目标一句话：员工能在系统内「问流程、查自己的单」，降低培训与找人成本。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站内智能助手入口（悬浮窗或独立页）；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LangGraph 最小图：意图识别 + 知识库检索 + 3～5 个只读业务工具；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典型能力：制度/立项/核销问答；查询我的待办、项目状态、审批进度；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明确不做：自动审批、自动改数据、绩效自动打分（留给三期）。</w:t>
      </w:r>
    </w:p>
    <w:p>
      <w:pPr>
        <w:pStyle w:val="Heading2"/>
      </w:pPr>
      <w:r>
        <w:rPr>
          <w:rFonts w:ascii="黑体" w:hAnsi="黑体" w:eastAsia="黑体"/>
          <w:b/>
          <w:sz w:val="28"/>
        </w:rPr>
        <w:t>4.3 三期：流程型 Agent（在二期数据稳后再上）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审批智能提醒、低风险节点辅助建议（人审兜底）；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日报自动汇总与异常提示；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结合 OKR/工时的任务建议与分析；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岗位绩效分析依赖二期工时与 OKR 数据质量，不宜提前强上。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五、工期与资源估算（AI 辅助开发）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估算前提：1 名熟悉本系统的开发为主，使用 Cursor 等 AI 辅助编码；大模型采用云端 API（如 DeepSeek），不在 4 核 8G 服务器本机部署大模型。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6"/>
        <w:gridCol w:w="2266"/>
        <w:gridCol w:w="2266"/>
        <w:gridCol w:w="2266"/>
      </w:tblGrid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档位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建设范围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工期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说明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MVP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对话接口 + 知识库问答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3～5 天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最快可见成果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实用助手（建议）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MVP + 只读工具 3～5 个 + 悬浮窗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1～1.5 周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二期推荐交付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可写助手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催办/草稿等需确认的写操作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3～4 周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需审计与回滚设计</w:t>
            </w:r>
          </w:p>
        </w:tc>
      </w:tr>
      <w:tr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完整三期 Agent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辅助审批、日报分析、任务建议等</w:t>
            </w:r>
          </w:p>
        </w:tc>
        <w:tc>
          <w:tcPr>
            <w:tcW w:type="dxa" w:w="2266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6～8 周</w:t>
            </w:r>
          </w:p>
        </w:tc>
        <w:tc>
          <w:tcPr>
            <w:tcW w:type="dxa" w:w="2266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依赖二期工时/OKR</w:t>
            </w:r>
          </w:p>
        </w:tc>
      </w:tr>
    </w:tbl>
    <w:p/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与不用 LangGraph、完全手写编排相比，LangGraph 在多步流程上大约可节省 30%～40% 开发与维护时间；权限对接、联调验收时间无法被框架替代。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/>
          <w:sz w:val="24"/>
        </w:rPr>
        <w:t>建议向领导承诺的对外口径：二期交付「实用助手」约 1.5 周可试用；完整流程智能体纳入三期，约 6～8 周量级，并与工时/OKR 建设联动。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六、1.5 周实施计划（实用助手）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533"/>
        <w:gridCol w:w="4533"/>
      </w:tblGrid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时间</w:t>
            </w:r>
          </w:p>
        </w:tc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工作内容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1 天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LangGraph 骨架、/api/v1/agent/chat 接口、对接现有 LLM 配置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2 天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知识库检索 Tool，复用现有 knowledge 能力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3 天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只读 Tool：我的待办、项目进度、审批状态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4 天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前端悬浮助手、流式回复体验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5 天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权限透传、拒答策略、基础用例测试</w:t>
            </w:r>
          </w:p>
        </w:tc>
      </w:tr>
      <w:tr>
        <w:tc>
          <w:tcPr>
            <w:tcW w:type="dxa" w:w="4533"/>
          </w:tcPr>
          <w:p>
            <w:pPr>
              <w:jc w:val="center"/>
            </w:pPr>
            <w:r/>
            <w:r>
              <w:rPr>
                <w:rFonts w:ascii="宋体" w:hAnsi="宋体" w:eastAsia="宋体"/>
                <w:b w:val="0"/>
                <w:sz w:val="21"/>
              </w:rPr>
              <w:t>第 6～7 天</w:t>
            </w:r>
          </w:p>
        </w:tc>
        <w:tc>
          <w:tcPr>
            <w:tcW w:type="dxa" w:w="4533"/>
          </w:tcPr>
          <w:p>
            <w:r/>
            <w:r>
              <w:rPr>
                <w:rFonts w:ascii="宋体" w:hAnsi="宋体" w:eastAsia="宋体"/>
                <w:b w:val="0"/>
                <w:sz w:val="21"/>
              </w:rPr>
              <w:t>可选飞书入口、问题收敛、业务试用与修订</w:t>
            </w:r>
          </w:p>
        </w:tc>
      </w:tr>
    </w:tbl>
    <w:p/>
    <w:p>
      <w:pPr>
        <w:pStyle w:val="Heading2"/>
      </w:pPr>
      <w:r>
        <w:rPr>
          <w:rFonts w:ascii="黑体" w:hAnsi="黑体" w:eastAsia="黑体"/>
          <w:b/>
          <w:sz w:val="28"/>
        </w:rPr>
        <w:t>验收标准（实用助手）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在权限范围内，能正确回答常见制度/流程问题（抽检知识库覆盖场景）；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能查询当前用户待办、指定可见项目的状态、相关审批进度；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越权提问被拒绝或返回空结果，不出现他人敏感数据；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回答注明依据类型（知识库 / 系统数据），减少幻觉；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关键对话与工具调用可留痕，便于审计。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七、投入与基础设施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人力：开发 1 人主责；需求对接 1 人（业务口径、试用场景）；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算力：继续使用云端大模型 API，不额外采购 GPU；火山云 4 核 8G 主要用于应用与数据库；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费用：主要为大模型 Token 费用（与调用量相关，初期可控）；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数据库：正式环境建议尽快切换 PostgreSQL，以支撑二三期并发与检索扩展；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安全：密钥入库环境变量管理；生产关闭调试日志中的敏感内容。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八、风险与应对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022"/>
        <w:gridCol w:w="3022"/>
        <w:gridCol w:w="3022"/>
      </w:tblGrid>
      <w:tr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风险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影响</w:t>
            </w:r>
          </w:p>
        </w:tc>
        <w:tc>
          <w:tcPr>
            <w:tcW w:type="dxa" w:w="3022"/>
          </w:tcPr>
          <w:p>
            <w:pPr>
              <w:jc w:val="center"/>
            </w:pPr>
            <w:r/>
            <w:r>
              <w:rPr>
                <w:rFonts w:ascii="宋体" w:hAnsi="宋体" w:eastAsia="宋体"/>
                <w:b/>
                <w:sz w:val="21"/>
              </w:rPr>
              <w:t>应对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模型幻觉导致错误业务指引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误操作或误解流程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只读优先；强制引用知识/系统数据；关键操作人工确认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权限设计不严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数据泄露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Tool 层强制 RBAC；禁止超级账号代查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范围膨胀到自动审批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工期失控、责任不清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二期书面锁定「只问只查」；自动审批单独立项</w:t>
            </w:r>
          </w:p>
        </w:tc>
      </w:tr>
      <w:tr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业务数据质量不足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汇总/分析不可信</w:t>
            </w:r>
          </w:p>
        </w:tc>
        <w:tc>
          <w:tcPr>
            <w:tcW w:type="dxa" w:w="3022"/>
          </w:tcPr>
          <w:p>
            <w:r/>
            <w:r>
              <w:rPr>
                <w:rFonts w:ascii="宋体" w:hAnsi="宋体" w:eastAsia="宋体"/>
                <w:b w:val="0"/>
                <w:sz w:val="20"/>
              </w:rPr>
              <w:t>先完成二期工时/OKR，再上三期分析类能力</w:t>
            </w:r>
          </w:p>
        </w:tc>
      </w:tr>
    </w:tbl>
    <w:p>
      <w:pPr>
        <w:pStyle w:val="Heading1"/>
      </w:pPr>
      <w:r>
        <w:rPr>
          <w:rFonts w:ascii="黑体" w:hAnsi="黑体" w:eastAsia="黑体"/>
          <w:b/>
          <w:sz w:val="32"/>
        </w:rPr>
        <w:t>九、需领导决策事项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请领导对以下事项予以明确：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是否同意二期穿插建设「LangGraph 实用助手」（约 1.5 周可试用）？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智能体是否允许访问业务只读数据（待办/项目/审批）？知识库问答是否默认可开放？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大模型费用是否纳入信息化常规预算（按 Token 结算）？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三期「辅助审批 / 自动提醒 / 日报汇总」是否单列里程碑，不与二期混报？</w:t>
      </w:r>
    </w:p>
    <w:p>
      <w:pPr>
        <w:pStyle w:val="ListBullet"/>
        <w:spacing w:line="360" w:lineRule="auto"/>
      </w:pPr>
      <w:r>
        <w:rPr>
          <w:rFonts w:ascii="宋体" w:hAnsi="宋体" w:eastAsia="宋体"/>
          <w:b w:val="0"/>
          <w:sz w:val="24"/>
        </w:rPr>
        <w:t>正式环境是否批准推进 PostgreSQL 迁移，作为二三期前置条件？</w:t>
      </w:r>
    </w:p>
    <w:p>
      <w:pPr>
        <w:pStyle w:val="Heading1"/>
      </w:pPr>
      <w:r>
        <w:rPr>
          <w:rFonts w:ascii="黑体" w:hAnsi="黑体" w:eastAsia="黑体"/>
          <w:b/>
          <w:sz w:val="32"/>
        </w:rPr>
        <w:t>十、总结建议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中泰旭鼎经营管理系统具备嵌入智能体的技术条件。推荐采用 LangGraph 作为编排层，与现有 FastAPI、知识库、飞书能力组合，分阶段落地。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/>
          <w:sz w:val="24"/>
        </w:rPr>
        <w:t>近期建议：批准二期「实用助手」建设，工期约 1～1.5 周，先解决问流程、查本人单据的痛点；完整 AI 辅助办公能力按三期推进，约 6～8 周，并与工时、OKR、审批规则建设同步。</w:t>
      </w:r>
    </w:p>
    <w:p>
      <w:pPr>
        <w:spacing w:line="360" w:lineRule="auto" w:after="120"/>
        <w:ind w:firstLine="420"/>
      </w:pPr>
      <w:r>
        <w:rPr>
          <w:rFonts w:ascii="宋体" w:hAnsi="宋体" w:eastAsia="宋体"/>
          <w:b w:val="0"/>
          <w:sz w:val="24"/>
        </w:rPr>
        <w:t>该路径投入可控、风险可管、与公司原定一二三期规划一致，适合作为下一阶段信息化重点之一。</w:t>
      </w:r>
    </w:p>
    <w:p/>
    <w:p>
      <w:pPr>
        <w:jc w:val="right"/>
      </w:pPr>
      <w:r>
        <w:rPr>
          <w:rFonts w:ascii="宋体" w:hAnsi="宋体" w:eastAsia="宋体"/>
          <w:b w:val="0"/>
          <w:sz w:val="24"/>
        </w:rPr>
        <w:t>—— 汇报完毕 ——</w:t>
      </w:r>
    </w:p>
    <w:p>
      <w:pPr>
        <w:jc w:val="right"/>
      </w:pPr>
      <w:r>
        <w:rPr>
          <w:rFonts w:ascii="宋体" w:hAnsi="宋体" w:eastAsia="宋体"/>
          <w:b w:val="0"/>
          <w:sz w:val="21"/>
        </w:rPr>
        <w:t>文档用途：领导汇报 / 立项附件</w:t>
      </w:r>
    </w:p>
    <w:sectPr w:rsidR="00FC693F" w:rsidRPr="0006063C" w:rsidSect="00034616">
      <w:pgSz w:w="12240" w:h="15840"/>
      <w:pgMar w:top="1417" w:right="1587" w:bottom="1417" w:left="158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