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轴承故障诊断算法开发技术报告</w:t>
      </w:r>
    </w:p>
    <w:p/>
    <w:p>
      <w:pPr>
        <w:pStyle w:val="Heading2"/>
      </w:pPr>
      <w:r>
        <w:t>1. 概述</w:t>
      </w:r>
    </w:p>
    <w:p/>
    <w:p>
      <w:pPr>
        <w:pStyle w:val="Heading3"/>
      </w:pPr>
      <w:r>
        <w:t>1.1 诊断对象与工况范围</w:t>
      </w:r>
    </w:p>
    <w:p>
      <w:r>
        <w:t>本报告面向**列车滚动轴承故障诊断**。算法适用前提为：</w:t>
      </w:r>
    </w:p>
    <w:p>
      <w:pPr>
        <w:pStyle w:val="ListBullet"/>
      </w:pPr>
      <w:r>
        <w:t>工况：转速稳定工况；</w:t>
      </w:r>
    </w:p>
    <w:p>
      <w:pPr>
        <w:pStyle w:val="ListBullet"/>
      </w:pPr>
      <w:r>
        <w:t>传感器：加速度振动传感器；</w:t>
      </w:r>
    </w:p>
    <w:p>
      <w:pPr>
        <w:pStyle w:val="ListBullet"/>
      </w:pPr>
      <w:r>
        <w:t>采集周期：每 10 分钟采集一组稳定转速数据；</w:t>
      </w:r>
    </w:p>
    <w:p>
      <w:pPr>
        <w:pStyle w:val="ListBullet"/>
      </w:pPr>
      <w:r>
        <w:t>诊断目标：内圈故障、外圈故障、滚动体故障、保持架故障。</w:t>
      </w:r>
    </w:p>
    <w:p/>
    <w:p>
      <w:pPr>
        <w:pStyle w:val="Heading3"/>
      </w:pPr>
      <w:r>
        <w:t>1.2 输入与输出定义</w:t>
      </w:r>
    </w:p>
    <w:p>
      <w:pPr>
        <w:pStyle w:val="ListBullet"/>
      </w:pPr>
      <w:r>
        <w:t>输入：</w:t>
      </w:r>
    </w:p>
    <w:p>
      <w:pPr>
        <w:pStyle w:val="ListBullet"/>
      </w:pPr>
      <w:r>
        <w:t>转速（rpm）；</w:t>
      </w:r>
    </w:p>
    <w:p>
      <w:pPr>
        <w:pStyle w:val="ListBullet"/>
      </w:pPr>
      <w:r>
        <w:t>加速度振动时域信号（单位建议：g 或 m/s²）。</w:t>
      </w:r>
    </w:p>
    <w:p>
      <w:pPr>
        <w:pStyle w:val="ListBullet"/>
      </w:pPr>
      <w:r>
        <w:t>输出：</w:t>
      </w:r>
    </w:p>
    <w:p>
      <w:pPr>
        <w:pStyle w:val="ListBullet"/>
      </w:pPr>
      <w:r>
        <w:t>CI 指标：</w:t>
      </w:r>
    </w:p>
    <w:p>
      <w:pPr>
        <w:pStyle w:val="ListBullet"/>
      </w:pPr>
      <w:r>
        <w:t>`RMS`</w:t>
      </w:r>
    </w:p>
    <w:p>
      <w:pPr>
        <w:pStyle w:val="ListBullet"/>
      </w:pPr>
      <w:r>
        <w:t>`ENV_BPFI_AMP`（包络谱内圈故障特征幅值）</w:t>
      </w:r>
    </w:p>
    <w:p>
      <w:pPr>
        <w:pStyle w:val="ListBullet"/>
      </w:pPr>
      <w:r>
        <w:t>`ENV_BPFO_AMP`（包络谱外圈故障特征幅值）</w:t>
      </w:r>
    </w:p>
    <w:p>
      <w:pPr>
        <w:pStyle w:val="ListBullet"/>
      </w:pPr>
      <w:r>
        <w:t>`ENV_BSF_AMP`（包络谱滚动体故障特征幅值）</w:t>
      </w:r>
    </w:p>
    <w:p>
      <w:pPr>
        <w:pStyle w:val="ListBullet"/>
      </w:pPr>
      <w:r>
        <w:t>`ENV_FTF_AMP`（包络谱保持架故障特征幅值）</w:t>
      </w:r>
    </w:p>
    <w:p>
      <w:pPr>
        <w:pStyle w:val="ListBullet"/>
      </w:pPr>
      <w:r>
        <w:t>是否告警（Alarm Flag，布尔值）。</w:t>
      </w:r>
    </w:p>
    <w:p/>
    <w:p>
      <w:pPr>
        <w:pStyle w:val="Heading3"/>
      </w:pPr>
      <w:r>
        <w:t>1.3 阈值与告警规则</w:t>
      </w:r>
    </w:p>
    <w:p>
      <w:pPr>
        <w:pStyle w:val="ListBullet"/>
      </w:pPr>
      <w:r>
        <w:t>阈值策略：基于正常样本统计，采用高斯分布假设下的</w:t>
      </w:r>
    </w:p>
    <w:p>
      <w:r>
        <w:t xml:space="preserve">  \[</w:t>
      </w:r>
    </w:p>
    <w:p>
      <w:r>
        <w:t xml:space="preserve">  T = \mu + 3\sigma</w:t>
      </w:r>
    </w:p>
    <w:p>
      <w:r>
        <w:t xml:space="preserve">  \]</w:t>
      </w:r>
    </w:p>
    <w:p>
      <w:pPr>
        <w:pStyle w:val="ListBullet"/>
      </w:pPr>
      <w:r>
        <w:t>告警判据：任一目标 CI 指标连续 3 个采样点超限，触发告警。</w:t>
      </w:r>
    </w:p>
    <w:p/>
    <w:p>
      <w:r>
        <w:t>---</w:t>
      </w:r>
    </w:p>
    <w:p/>
    <w:p>
      <w:pPr>
        <w:pStyle w:val="Heading2"/>
      </w:pPr>
      <w:r>
        <w:t>2. 原理</w:t>
      </w:r>
    </w:p>
    <w:p/>
    <w:p>
      <w:pPr>
        <w:pStyle w:val="Heading3"/>
      </w:pPr>
      <w:r>
        <w:t>2.1 经典轴承故障冲击机理</w:t>
      </w:r>
    </w:p>
    <w:p>
      <w:r>
        <w:t>滚动轴承局部缺陷（内圈/外圈/滚动体/保持架）会在滚动接触过程中产生周期性冲击。冲击会激发结构共振并在振动信号中形成调幅成分。对这类调幅信号进行包络解调后，可在包络谱中观察到与故障特征频率对应的谱线。</w:t>
      </w:r>
    </w:p>
    <w:p/>
    <w:p>
      <w:pPr>
        <w:pStyle w:val="Heading3"/>
      </w:pPr>
      <w:r>
        <w:t>2.2 包络解调原理</w:t>
      </w:r>
    </w:p>
    <w:p>
      <w:r>
        <w:t>包络解调用于从高频共振载波中恢复低频冲击调制信息，典型流程：</w:t>
      </w:r>
    </w:p>
    <w:p>
      <w:r>
        <w:t>1. 对原始振动信号进行带通滤波，保留冲击激发共振带；</w:t>
      </w:r>
    </w:p>
    <w:p>
      <w:r>
        <w:t>2. 使用 Hilbert 变换构造解析信号并计算包络；</w:t>
      </w:r>
    </w:p>
    <w:p>
      <w:r>
        <w:t>3. 对包络信号做 FFT，得到包络谱；</w:t>
      </w:r>
    </w:p>
    <w:p>
      <w:r>
        <w:t>4. 在 BPFI/BPFO/BSF/FTF 及其倍频附近提取故障特征幅值或能量。</w:t>
      </w:r>
    </w:p>
    <w:p/>
    <w:p>
      <w:pPr>
        <w:pStyle w:val="Heading3"/>
      </w:pPr>
      <w:r>
        <w:t>2.3 轴承故障特征频率公式</w:t>
      </w:r>
    </w:p>
    <w:p>
      <w:r>
        <w:t>设：</w:t>
      </w:r>
    </w:p>
    <w:p>
      <w:pPr>
        <w:pStyle w:val="ListBullet"/>
      </w:pPr>
      <w:r>
        <w:t>$f_r$：轴转频（Hz，$f_r = \text{rpm}/60$）</w:t>
      </w:r>
    </w:p>
    <w:p>
      <w:pPr>
        <w:pStyle w:val="ListBullet"/>
      </w:pPr>
      <w:r>
        <w:t>$n$：滚动体个数</w:t>
      </w:r>
    </w:p>
    <w:p>
      <w:pPr>
        <w:pStyle w:val="ListBullet"/>
      </w:pPr>
      <w:r>
        <w:t>$d$：滚动体直径</w:t>
      </w:r>
    </w:p>
    <w:p>
      <w:pPr>
        <w:pStyle w:val="ListBullet"/>
      </w:pPr>
      <w:r>
        <w:t>$D$：节圆直径</w:t>
      </w:r>
    </w:p>
    <w:p>
      <w:pPr>
        <w:pStyle w:val="ListBullet"/>
      </w:pPr>
      <w:r>
        <w:t>$\theta$：接触角</w:t>
      </w:r>
    </w:p>
    <w:p/>
    <w:p>
      <w:r>
        <w:t>常用特征频率公式如下：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频率类型</w:t>
            </w:r>
          </w:p>
        </w:tc>
        <w:tc>
          <w:tcPr>
            <w:tcW w:type="dxa" w:w="4320"/>
          </w:tcPr>
          <w:p>
            <w:r>
              <w:t>公式</w:t>
            </w:r>
          </w:p>
        </w:tc>
      </w:tr>
      <w:tr>
        <w:tc>
          <w:tcPr>
            <w:tcW w:type="dxa" w:w="4320"/>
          </w:tcPr>
          <w:p>
            <w:r>
              <w:t>内圈故障频率 BPFI</w:t>
            </w:r>
          </w:p>
        </w:tc>
        <w:tc>
          <w:tcPr>
            <w:tcW w:type="dxa" w:w="4320"/>
          </w:tcPr>
          <w:p>
            <w:r>
              <w:t>$\text{BPFI} = \frac{n}{2}f_r\left(1+\frac{d}{D}\cos\theta\right)$</w:t>
            </w:r>
          </w:p>
        </w:tc>
      </w:tr>
      <w:tr>
        <w:tc>
          <w:tcPr>
            <w:tcW w:type="dxa" w:w="4320"/>
          </w:tcPr>
          <w:p>
            <w:r>
              <w:t>外圈故障频率 BPFO</w:t>
            </w:r>
          </w:p>
        </w:tc>
        <w:tc>
          <w:tcPr>
            <w:tcW w:type="dxa" w:w="4320"/>
          </w:tcPr>
          <w:p>
            <w:r>
              <w:t>$\text{BPFO} = \frac{n}{2}f_r\left(1-\frac{d}{D}\cos\theta\right)$</w:t>
            </w:r>
          </w:p>
        </w:tc>
      </w:tr>
      <w:tr>
        <w:tc>
          <w:tcPr>
            <w:tcW w:type="dxa" w:w="4320"/>
          </w:tcPr>
          <w:p>
            <w:r>
              <w:t>滚动体故障频率 BSF</w:t>
            </w:r>
          </w:p>
        </w:tc>
        <w:tc>
          <w:tcPr>
            <w:tcW w:type="dxa" w:w="4320"/>
          </w:tcPr>
          <w:p>
            <w:r>
              <w:t>$\text{BSF} = \frac{D}{2d}f_r\left(1-\left(\frac{d}{D}\cos\theta\right)^2\right)$</w:t>
            </w:r>
          </w:p>
        </w:tc>
      </w:tr>
      <w:tr>
        <w:tc>
          <w:tcPr>
            <w:tcW w:type="dxa" w:w="4320"/>
          </w:tcPr>
          <w:p>
            <w:r>
              <w:t>保持架频率 FTF</w:t>
            </w:r>
          </w:p>
        </w:tc>
        <w:tc>
          <w:tcPr>
            <w:tcW w:type="dxa" w:w="4320"/>
          </w:tcPr>
          <w:p>
            <w:r>
              <w:t>$\text{FTF} = \frac{1}{2}f_r\left(1-\frac{d}{D}\cos\theta\right)$</w:t>
            </w:r>
          </w:p>
        </w:tc>
      </w:tr>
    </w:tbl>
    <w:p/>
    <w:p>
      <w:r>
        <w:rPr>
          <w:i/>
        </w:rPr>
        <w:t>注：工程实现需使用对应轴承型号参数（$n,d,D,\theta$）进行配置。</w:t>
      </w:r>
    </w:p>
    <w:p/>
    <w:p>
      <w:r>
        <w:t>---</w:t>
      </w:r>
    </w:p>
    <w:p/>
    <w:p>
      <w:pPr>
        <w:pStyle w:val="Heading2"/>
      </w:pPr>
      <w:r>
        <w:t>3. 信号预处理</w:t>
      </w:r>
    </w:p>
    <w:p/>
    <w:p>
      <w:pPr>
        <w:pStyle w:val="Heading3"/>
      </w:pPr>
      <w:r>
        <w:t>3.1 包络解调处理流程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处理内容</w:t>
            </w:r>
          </w:p>
        </w:tc>
        <w:tc>
          <w:tcPr>
            <w:tcW w:type="dxa" w:w="2880"/>
          </w:tcPr>
          <w:p>
            <w:r>
              <w:t>目的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质量检查与去异常（缺采、饱和、突变）</w:t>
            </w:r>
          </w:p>
        </w:tc>
        <w:tc>
          <w:tcPr>
            <w:tcW w:type="dxa" w:w="2880"/>
          </w:tcPr>
          <w:p>
            <w:r>
              <w:t>保证输入可用性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去均值/去趋势</w:t>
            </w:r>
          </w:p>
        </w:tc>
        <w:tc>
          <w:tcPr>
            <w:tcW w:type="dxa" w:w="2880"/>
          </w:tcPr>
          <w:p>
            <w:r>
              <w:t>去除低频漂移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带通滤波</w:t>
            </w:r>
          </w:p>
        </w:tc>
        <w:tc>
          <w:tcPr>
            <w:tcW w:type="dxa" w:w="2880"/>
          </w:tcPr>
          <w:p>
            <w:r>
              <w:t>保留冲击激发共振频段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Hilbert 变换取包络</w:t>
            </w:r>
          </w:p>
        </w:tc>
        <w:tc>
          <w:tcPr>
            <w:tcW w:type="dxa" w:w="2880"/>
          </w:tcPr>
          <w:p>
            <w:r>
              <w:t>提取调幅信息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包络谱 FFT</w:t>
            </w:r>
          </w:p>
        </w:tc>
        <w:tc>
          <w:tcPr>
            <w:tcW w:type="dxa" w:w="2880"/>
          </w:tcPr>
          <w:p>
            <w:r>
              <w:t>显化故障特征频率</w:t>
            </w:r>
          </w:p>
        </w:tc>
      </w:tr>
    </w:tbl>
    <w:p/>
    <w:p>
      <w:pPr>
        <w:pStyle w:val="Heading3"/>
      </w:pPr>
      <w:r>
        <w:t>3.2 关键参数建议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建议值/建议范围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采样频率 $f_s$</w:t>
            </w:r>
          </w:p>
        </w:tc>
        <w:tc>
          <w:tcPr>
            <w:tcW w:type="dxa" w:w="2880"/>
          </w:tcPr>
          <w:p>
            <w:r>
              <w:t>根据传感器与目标频段配置（占位：`[待按项目填写]`）</w:t>
            </w:r>
          </w:p>
        </w:tc>
        <w:tc>
          <w:tcPr>
            <w:tcW w:type="dxa" w:w="2880"/>
          </w:tcPr>
          <w:p>
            <w:r>
              <w:t>需覆盖共振频段</w:t>
            </w:r>
          </w:p>
        </w:tc>
      </w:tr>
      <w:tr>
        <w:tc>
          <w:tcPr>
            <w:tcW w:type="dxa" w:w="2880"/>
          </w:tcPr>
          <w:p>
            <w:r>
              <w:t>单次分析时长</w:t>
            </w:r>
          </w:p>
        </w:tc>
        <w:tc>
          <w:tcPr>
            <w:tcW w:type="dxa" w:w="2880"/>
          </w:tcPr>
          <w:p>
            <w:r>
              <w:t>`10~60 s`（占位：`[待按项目填写]`）</w:t>
            </w:r>
          </w:p>
        </w:tc>
        <w:tc>
          <w:tcPr>
            <w:tcW w:type="dxa" w:w="2880"/>
          </w:tcPr>
          <w:p>
            <w:r>
              <w:t>与稳定工况持续时间匹配</w:t>
            </w:r>
          </w:p>
        </w:tc>
      </w:tr>
      <w:tr>
        <w:tc>
          <w:tcPr>
            <w:tcW w:type="dxa" w:w="2880"/>
          </w:tcPr>
          <w:p>
            <w:r>
              <w:t>带通频段</w:t>
            </w:r>
          </w:p>
        </w:tc>
        <w:tc>
          <w:tcPr>
            <w:tcW w:type="dxa" w:w="2880"/>
          </w:tcPr>
          <w:p>
            <w:r>
              <w:t>共振区间（占位：`[f_low, f_high]`）</w:t>
            </w:r>
          </w:p>
        </w:tc>
        <w:tc>
          <w:tcPr>
            <w:tcW w:type="dxa" w:w="2880"/>
          </w:tcPr>
          <w:p>
            <w:r>
              <w:t>建议由空载/健康数据谱图确定</w:t>
            </w:r>
          </w:p>
        </w:tc>
      </w:tr>
      <w:tr>
        <w:tc>
          <w:tcPr>
            <w:tcW w:type="dxa" w:w="2880"/>
          </w:tcPr>
          <w:p>
            <w:r>
              <w:t>FFT 点数</w:t>
            </w:r>
          </w:p>
        </w:tc>
        <w:tc>
          <w:tcPr>
            <w:tcW w:type="dxa" w:w="2880"/>
          </w:tcPr>
          <w:p>
            <w:r>
              <w:t>$2^k$（如 4096/8192）</w:t>
            </w:r>
          </w:p>
        </w:tc>
        <w:tc>
          <w:tcPr>
            <w:tcW w:type="dxa" w:w="2880"/>
          </w:tcPr>
          <w:p>
            <w:r>
              <w:t>权衡频率分辨率与计算量</w:t>
            </w:r>
          </w:p>
        </w:tc>
      </w:tr>
      <w:tr>
        <w:tc>
          <w:tcPr>
            <w:tcW w:type="dxa" w:w="2880"/>
          </w:tcPr>
          <w:p>
            <w:r>
              <w:t>频带提峰带宽</w:t>
            </w:r>
          </w:p>
        </w:tc>
        <w:tc>
          <w:tcPr>
            <w:tcW w:type="dxa" w:w="2880"/>
          </w:tcPr>
          <w:p>
            <w:r>
              <w:t>特征频率 ±`Δf`（占位：`[待填写]`）</w:t>
            </w:r>
          </w:p>
        </w:tc>
        <w:tc>
          <w:tcPr>
            <w:tcW w:type="dxa" w:w="2880"/>
          </w:tcPr>
          <w:p>
            <w:r>
              <w:t>适应转速微小波动</w:t>
            </w:r>
          </w:p>
        </w:tc>
      </w:tr>
    </w:tbl>
    <w:p/>
    <w:p>
      <w:r>
        <w:t>---</w:t>
      </w:r>
    </w:p>
    <w:p/>
    <w:p>
      <w:pPr>
        <w:pStyle w:val="Heading2"/>
      </w:pPr>
      <w:r>
        <w:t>4. 轴承故障特征提取</w:t>
      </w:r>
    </w:p>
    <w:p/>
    <w:p>
      <w:pPr>
        <w:pStyle w:val="Heading3"/>
      </w:pPr>
      <w:r>
        <w:t>4.1 RMS 特征</w:t>
      </w:r>
    </w:p>
    <w:p>
      <w:r>
        <w:t>时域均方根定义为：</w:t>
      </w:r>
    </w:p>
    <w:p>
      <w:r>
        <w:t>\[</w:t>
      </w:r>
    </w:p>
    <w:p>
      <w:r>
        <w:t>\mathrm{RMS}=\sqrt{\frac{1}{N}\sum_{i=1}^{N}x_i^2}</w:t>
      </w:r>
    </w:p>
    <w:p>
      <w:r>
        <w:t>\]</w:t>
      </w:r>
    </w:p>
    <w:p>
      <w:r>
        <w:t>RMS 用于反映总体振动能量水平。</w:t>
      </w:r>
    </w:p>
    <w:p/>
    <w:p>
      <w:pPr>
        <w:pStyle w:val="Heading3"/>
      </w:pPr>
      <w:r>
        <w:t>4.2 包络谱故障幅值特征</w:t>
      </w:r>
    </w:p>
    <w:p>
      <w:r>
        <w:t>在包络谱中，围绕目标特征频率及其倍频提取峰值或带内能量，形成故障相关 CI：</w:t>
      </w:r>
    </w:p>
    <w:p>
      <w:pPr>
        <w:pStyle w:val="ListBullet"/>
      </w:pPr>
      <w:r>
        <w:t>`ENV_BPFI_AMP`：内圈故障指标；</w:t>
      </w:r>
    </w:p>
    <w:p>
      <w:pPr>
        <w:pStyle w:val="ListBullet"/>
      </w:pPr>
      <w:r>
        <w:t>`ENV_BPFO_AMP`：外圈故障指标；</w:t>
      </w:r>
    </w:p>
    <w:p>
      <w:pPr>
        <w:pStyle w:val="ListBullet"/>
      </w:pPr>
      <w:r>
        <w:t>`ENV_BSF_AMP`：滚动体故障指标；</w:t>
      </w:r>
    </w:p>
    <w:p>
      <w:pPr>
        <w:pStyle w:val="ListBullet"/>
      </w:pPr>
      <w:r>
        <w:t>`ENV_FTF_AMP`：保持架故障指标。</w:t>
      </w:r>
    </w:p>
    <w:p/>
    <w:p>
      <w:pPr>
        <w:pStyle w:val="Heading3"/>
      </w:pPr>
      <w:r>
        <w:t>4.3 CI 字段定义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单位/类型</w:t>
            </w:r>
          </w:p>
        </w:tc>
      </w:tr>
      <w:tr>
        <w:tc>
          <w:tcPr>
            <w:tcW w:type="dxa" w:w="2880"/>
          </w:tcPr>
          <w:p>
            <w:r>
              <w:t>`timestamp`</w:t>
            </w:r>
          </w:p>
        </w:tc>
        <w:tc>
          <w:tcPr>
            <w:tcW w:type="dxa" w:w="2880"/>
          </w:tcPr>
          <w:p>
            <w:r>
              <w:t>数据时间戳</w:t>
            </w:r>
          </w:p>
        </w:tc>
        <w:tc>
          <w:tcPr>
            <w:tcW w:type="dxa" w:w="2880"/>
          </w:tcPr>
          <w:p>
            <w:r>
              <w:t>ISO8601 字符串</w:t>
            </w:r>
          </w:p>
        </w:tc>
      </w:tr>
      <w:tr>
        <w:tc>
          <w:tcPr>
            <w:tcW w:type="dxa" w:w="2880"/>
          </w:tcPr>
          <w:p>
            <w:r>
              <w:t>`rpm`</w:t>
            </w:r>
          </w:p>
        </w:tc>
        <w:tc>
          <w:tcPr>
            <w:tcW w:type="dxa" w:w="2880"/>
          </w:tcPr>
          <w:p>
            <w:r>
              <w:t>转速</w:t>
            </w:r>
          </w:p>
        </w:tc>
        <w:tc>
          <w:tcPr>
            <w:tcW w:type="dxa" w:w="2880"/>
          </w:tcPr>
          <w:p>
            <w:r>
              <w:t>rpm</w:t>
            </w:r>
          </w:p>
        </w:tc>
      </w:tr>
      <w:tr>
        <w:tc>
          <w:tcPr>
            <w:tcW w:type="dxa" w:w="2880"/>
          </w:tcPr>
          <w:p>
            <w:r>
              <w:t>`RMS`</w:t>
            </w:r>
          </w:p>
        </w:tc>
        <w:tc>
          <w:tcPr>
            <w:tcW w:type="dxa" w:w="2880"/>
          </w:tcPr>
          <w:p>
            <w:r>
              <w:t>时域均方根</w:t>
            </w:r>
          </w:p>
        </w:tc>
        <w:tc>
          <w:tcPr>
            <w:tcW w:type="dxa" w:w="2880"/>
          </w:tcPr>
          <w:p>
            <w:r>
              <w:t>g 或 m/s²</w:t>
            </w:r>
          </w:p>
        </w:tc>
      </w:tr>
      <w:tr>
        <w:tc>
          <w:tcPr>
            <w:tcW w:type="dxa" w:w="2880"/>
          </w:tcPr>
          <w:p>
            <w:r>
              <w:t>`ENV_BPFI_AMP`</w:t>
            </w:r>
          </w:p>
        </w:tc>
        <w:tc>
          <w:tcPr>
            <w:tcW w:type="dxa" w:w="2880"/>
          </w:tcPr>
          <w:p>
            <w:r>
              <w:t>包络谱内圈故障幅值</w:t>
            </w:r>
          </w:p>
        </w:tc>
        <w:tc>
          <w:tcPr>
            <w:tcW w:type="dxa" w:w="2880"/>
          </w:tcPr>
          <w:p>
            <w:r>
              <w:t>幅值（与谱归一化策略一致）</w:t>
            </w:r>
          </w:p>
        </w:tc>
      </w:tr>
      <w:tr>
        <w:tc>
          <w:tcPr>
            <w:tcW w:type="dxa" w:w="2880"/>
          </w:tcPr>
          <w:p>
            <w:r>
              <w:t>`ENV_BPFO_AMP`</w:t>
            </w:r>
          </w:p>
        </w:tc>
        <w:tc>
          <w:tcPr>
            <w:tcW w:type="dxa" w:w="2880"/>
          </w:tcPr>
          <w:p>
            <w:r>
              <w:t>包络谱外圈故障幅值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`ENV_BSF_AMP`</w:t>
            </w:r>
          </w:p>
        </w:tc>
        <w:tc>
          <w:tcPr>
            <w:tcW w:type="dxa" w:w="2880"/>
          </w:tcPr>
          <w:p>
            <w:r>
              <w:t>包络谱滚动体故障幅值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`ENV_FTF_AMP`</w:t>
            </w:r>
          </w:p>
        </w:tc>
        <w:tc>
          <w:tcPr>
            <w:tcW w:type="dxa" w:w="2880"/>
          </w:tcPr>
          <w:p>
            <w:r>
              <w:t>包络谱保持架故障幅值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</w:tbl>
    <w:p/>
    <w:p>
      <w:r>
        <w:t>---</w:t>
      </w:r>
    </w:p>
    <w:p/>
    <w:p>
      <w:pPr>
        <w:pStyle w:val="Heading2"/>
      </w:pPr>
      <w:r>
        <w:t>5. 阈值制定及告警逻辑</w:t>
      </w:r>
    </w:p>
    <w:p/>
    <w:p>
      <w:pPr>
        <w:pStyle w:val="Heading3"/>
      </w:pPr>
      <w:r>
        <w:t>5.1 阈值制定</w:t>
      </w:r>
    </w:p>
    <w:p>
      <w:r>
        <w:t>对每个 CI 指标在正常数据集上统计均值与标准差：</w:t>
      </w:r>
    </w:p>
    <w:p>
      <w:r>
        <w:t>\[</w:t>
      </w:r>
    </w:p>
    <w:p>
      <w:r>
        <w:t>T_k = \mu_k + 3\sigma_k</w:t>
      </w:r>
    </w:p>
    <w:p>
      <w:r>
        <w:t>\]</w:t>
      </w:r>
    </w:p>
    <w:p>
      <w:r>
        <w:t>其中 $k\in\{\mathrm{RMS},\mathrm{BPFI},\mathrm{BPFO},\mathrm{BSF},\mathrm{FTF}\}$。</w:t>
      </w:r>
    </w:p>
    <w:p/>
    <w:p>
      <w:pPr>
        <w:pStyle w:val="Heading3"/>
      </w:pPr>
      <w:r>
        <w:t>5.2 告警逻辑</w:t>
      </w:r>
    </w:p>
    <w:p>
      <w:pPr>
        <w:pStyle w:val="ListBullet"/>
      </w:pPr>
      <w:r>
        <w:t>超限判定：当 $CI_k(t) &gt; T_k$ 记为一次超限；</w:t>
      </w:r>
    </w:p>
    <w:p>
      <w:pPr>
        <w:pStyle w:val="ListBullet"/>
      </w:pPr>
      <w:r>
        <w:t>触发规则：同一指标连续 3 个点超限，触发告警；</w:t>
      </w:r>
    </w:p>
    <w:p>
      <w:pPr>
        <w:pStyle w:val="ListBullet"/>
      </w:pPr>
      <w:r>
        <w:t>总告警输出：任一关键指标触发即输出 `alarm=true`。</w:t>
      </w:r>
    </w:p>
    <w:p/>
    <w:p>
      <w:pPr>
        <w:pStyle w:val="Heading3"/>
      </w:pPr>
      <w:r>
        <w:t>5.3 工程建议：恢复滞回</w:t>
      </w:r>
    </w:p>
    <w:p>
      <w:r>
        <w:t>为抑制抖动，建议增加恢复逻辑：</w:t>
      </w:r>
    </w:p>
    <w:p>
      <w:pPr>
        <w:pStyle w:val="ListBullet"/>
      </w:pPr>
      <w:r>
        <w:t>恢复阈值：$T_{k,reset}=\mu_k+2.5\sigma_k$（示例，可按项目调整）；</w:t>
      </w:r>
    </w:p>
    <w:p>
      <w:pPr>
        <w:pStyle w:val="ListBullet"/>
      </w:pPr>
      <w:r>
        <w:t>恢复条件：连续 `M` 个点（占位：`[建议 3~5]`）低于恢复阈值，清除告警。</w:t>
      </w:r>
    </w:p>
    <w:p/>
    <w:p>
      <w:r>
        <w:t>---</w:t>
      </w:r>
    </w:p>
    <w:p/>
    <w:p>
      <w:pPr>
        <w:pStyle w:val="Heading2"/>
      </w:pPr>
      <w:r>
        <w:t>6. 效果与验证</w:t>
      </w:r>
    </w:p>
    <w:p/>
    <w:p>
      <w:pPr>
        <w:pStyle w:val="Heading3"/>
      </w:pPr>
      <w:r>
        <w:t>6.1 验证方案模板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模板内容（占位）</w:t>
            </w:r>
          </w:p>
        </w:tc>
      </w:tr>
      <w:tr>
        <w:tc>
          <w:tcPr>
            <w:tcW w:type="dxa" w:w="4320"/>
          </w:tcPr>
          <w:p>
            <w:r>
              <w:t>验证对象</w:t>
            </w:r>
          </w:p>
        </w:tc>
        <w:tc>
          <w:tcPr>
            <w:tcW w:type="dxa" w:w="4320"/>
          </w:tcPr>
          <w:p>
            <w:r>
              <w:t>`[车组/轴位/轴承型号]`</w:t>
            </w:r>
          </w:p>
        </w:tc>
      </w:tr>
      <w:tr>
        <w:tc>
          <w:tcPr>
            <w:tcW w:type="dxa" w:w="4320"/>
          </w:tcPr>
          <w:p>
            <w:r>
              <w:t>数据时间范围</w:t>
            </w:r>
          </w:p>
        </w:tc>
        <w:tc>
          <w:tcPr>
            <w:tcW w:type="dxa" w:w="4320"/>
          </w:tcPr>
          <w:p>
            <w:r>
              <w:t>`[起止时间]`</w:t>
            </w:r>
          </w:p>
        </w:tc>
      </w:tr>
      <w:tr>
        <w:tc>
          <w:tcPr>
            <w:tcW w:type="dxa" w:w="4320"/>
          </w:tcPr>
          <w:p>
            <w:r>
              <w:t>正常/异常样本来源</w:t>
            </w:r>
          </w:p>
        </w:tc>
        <w:tc>
          <w:tcPr>
            <w:tcW w:type="dxa" w:w="4320"/>
          </w:tcPr>
          <w:p>
            <w:r>
              <w:t>`[检修记录/人工复核/历史台账]`</w:t>
            </w:r>
          </w:p>
        </w:tc>
      </w:tr>
      <w:tr>
        <w:tc>
          <w:tcPr>
            <w:tcW w:type="dxa" w:w="4320"/>
          </w:tcPr>
          <w:p>
            <w:r>
              <w:t>验证工况</w:t>
            </w:r>
          </w:p>
        </w:tc>
        <w:tc>
          <w:tcPr>
            <w:tcW w:type="dxa" w:w="4320"/>
          </w:tcPr>
          <w:p>
            <w:r>
              <w:t>`[稳定转速区间、载荷范围]`</w:t>
            </w:r>
          </w:p>
        </w:tc>
      </w:tr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告警准确率、误报率、漏报率、平均提前量（如适用）</w:t>
            </w:r>
          </w:p>
        </w:tc>
      </w:tr>
      <w:tr>
        <w:tc>
          <w:tcPr>
            <w:tcW w:type="dxa" w:w="4320"/>
          </w:tcPr>
          <w:p>
            <w:r>
              <w:t>验证结论</w:t>
            </w:r>
          </w:p>
        </w:tc>
        <w:tc>
          <w:tcPr>
            <w:tcW w:type="dxa" w:w="4320"/>
          </w:tcPr>
          <w:p>
            <w:r>
              <w:t>`[待填写]`</w:t>
            </w:r>
          </w:p>
        </w:tc>
      </w:tr>
    </w:tbl>
    <w:p/>
    <w:p>
      <w:pPr>
        <w:pStyle w:val="Heading3"/>
      </w:pPr>
      <w:r>
        <w:t>6.2 占位结果表（不填入虚构数值）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告警准确率</w:t>
            </w:r>
          </w:p>
        </w:tc>
        <w:tc>
          <w:tcPr>
            <w:tcW w:type="dxa" w:w="4320"/>
          </w:tcPr>
          <w:p>
            <w:r>
              <w:t>`[待实测填写]`</w:t>
            </w:r>
          </w:p>
        </w:tc>
      </w:tr>
      <w:tr>
        <w:tc>
          <w:tcPr>
            <w:tcW w:type="dxa" w:w="4320"/>
          </w:tcPr>
          <w:p>
            <w:r>
              <w:t>误报率</w:t>
            </w:r>
          </w:p>
        </w:tc>
        <w:tc>
          <w:tcPr>
            <w:tcW w:type="dxa" w:w="4320"/>
          </w:tcPr>
          <w:p>
            <w:r>
              <w:t>`[待实测填写]`</w:t>
            </w:r>
          </w:p>
        </w:tc>
      </w:tr>
      <w:tr>
        <w:tc>
          <w:tcPr>
            <w:tcW w:type="dxa" w:w="4320"/>
          </w:tcPr>
          <w:p>
            <w:r>
              <w:t>漏报率</w:t>
            </w:r>
          </w:p>
        </w:tc>
        <w:tc>
          <w:tcPr>
            <w:tcW w:type="dxa" w:w="4320"/>
          </w:tcPr>
          <w:p>
            <w:r>
              <w:t>`[待实测填写]`</w:t>
            </w:r>
          </w:p>
        </w:tc>
      </w:tr>
      <w:tr>
        <w:tc>
          <w:tcPr>
            <w:tcW w:type="dxa" w:w="4320"/>
          </w:tcPr>
          <w:p>
            <w:r>
              <w:t>平均检测延迟</w:t>
            </w:r>
          </w:p>
        </w:tc>
        <w:tc>
          <w:tcPr>
            <w:tcW w:type="dxa" w:w="4320"/>
          </w:tcPr>
          <w:p>
            <w:r>
              <w:t>`[待实测填写]`</w:t>
            </w:r>
          </w:p>
        </w:tc>
      </w:tr>
    </w:tbl>
    <w:p/>
    <w:p>
      <w:pPr>
        <w:pStyle w:val="Heading3"/>
      </w:pPr>
      <w:r>
        <w:t>6.3 案例展示模板（不虚构数据）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案例ID</w:t>
            </w:r>
          </w:p>
        </w:tc>
        <w:tc>
          <w:tcPr>
            <w:tcW w:type="dxa" w:w="1728"/>
          </w:tcPr>
          <w:p>
            <w:r>
              <w:t>工况与输入</w:t>
            </w:r>
          </w:p>
        </w:tc>
        <w:tc>
          <w:tcPr>
            <w:tcW w:type="dxa" w:w="1728"/>
          </w:tcPr>
          <w:p>
            <w:r>
              <w:t>关键CI变化</w:t>
            </w:r>
          </w:p>
        </w:tc>
        <w:tc>
          <w:tcPr>
            <w:tcW w:type="dxa" w:w="1728"/>
          </w:tcPr>
          <w:p>
            <w:r>
              <w:t>告警结果</w:t>
            </w:r>
          </w:p>
        </w:tc>
        <w:tc>
          <w:tcPr>
            <w:tcW w:type="dxa" w:w="1728"/>
          </w:tcPr>
          <w:p>
            <w:r>
              <w:t>复核结论</w:t>
            </w:r>
          </w:p>
        </w:tc>
      </w:tr>
      <w:tr>
        <w:tc>
          <w:tcPr>
            <w:tcW w:type="dxa" w:w="1728"/>
          </w:tcPr>
          <w:p>
            <w:r>
              <w:t>`Case-01`</w:t>
            </w:r>
          </w:p>
        </w:tc>
        <w:tc>
          <w:tcPr>
            <w:tcW w:type="dxa" w:w="1728"/>
          </w:tcPr>
          <w:p>
            <w:r>
              <w:t>`[rpm区间 + 振动数据段]`</w:t>
            </w:r>
          </w:p>
        </w:tc>
        <w:tc>
          <w:tcPr>
            <w:tcW w:type="dxa" w:w="1728"/>
          </w:tcPr>
          <w:p>
            <w:r>
              <w:t>`[RMS/BPFI等趋势]`</w:t>
            </w:r>
          </w:p>
        </w:tc>
        <w:tc>
          <w:tcPr>
            <w:tcW w:type="dxa" w:w="1728"/>
          </w:tcPr>
          <w:p>
            <w:r>
              <w:t>`[是否触发、触发时刻]`</w:t>
            </w:r>
          </w:p>
        </w:tc>
        <w:tc>
          <w:tcPr>
            <w:tcW w:type="dxa" w:w="1728"/>
          </w:tcPr>
          <w:p>
            <w:r>
              <w:t>`[检修或专家结论]`</w:t>
            </w:r>
          </w:p>
        </w:tc>
      </w:tr>
      <w:tr>
        <w:tc>
          <w:tcPr>
            <w:tcW w:type="dxa" w:w="1728"/>
          </w:tcPr>
          <w:p>
            <w:r>
              <w:t>`Case-02`</w:t>
            </w:r>
          </w:p>
        </w:tc>
        <w:tc>
          <w:tcPr>
            <w:tcW w:type="dxa" w:w="1728"/>
          </w:tcPr>
          <w:p>
            <w:r>
              <w:t>`[rpm区间 + 振动数据段]`</w:t>
            </w:r>
          </w:p>
        </w:tc>
        <w:tc>
          <w:tcPr>
            <w:tcW w:type="dxa" w:w="1728"/>
          </w:tcPr>
          <w:p>
            <w:r>
              <w:t>`[RMS/BPFO等趋势]`</w:t>
            </w:r>
          </w:p>
        </w:tc>
        <w:tc>
          <w:tcPr>
            <w:tcW w:type="dxa" w:w="1728"/>
          </w:tcPr>
          <w:p>
            <w:r>
              <w:t>`[是否触发、触发时刻]`</w:t>
            </w:r>
          </w:p>
        </w:tc>
        <w:tc>
          <w:tcPr>
            <w:tcW w:type="dxa" w:w="1728"/>
          </w:tcPr>
          <w:p>
            <w:r>
              <w:t>`[检修或专家结论]`</w:t>
            </w:r>
          </w:p>
        </w:tc>
      </w:tr>
    </w:tbl>
    <w:p/>
    <w:p>
      <w:r>
        <w:t>---</w:t>
      </w:r>
    </w:p>
    <w:p/>
    <w:p>
      <w:pPr>
        <w:pStyle w:val="Heading2"/>
      </w:pPr>
      <w:r>
        <w:t>7. 接口与部署说明</w:t>
      </w:r>
    </w:p>
    <w:p/>
    <w:p>
      <w:pPr>
        <w:pStyle w:val="Heading3"/>
      </w:pPr>
      <w:r>
        <w:t>7.1 输入输出格式</w:t>
      </w:r>
    </w:p>
    <w:p/>
    <w:p>
      <w:r>
        <w:t>**输入（单次执行）**</w:t>
      </w:r>
    </w:p>
    <w:p>
      <w:pPr/>
      <w:r>
        <w:t>{</w:t>
      </w:r>
    </w:p>
    <w:p>
      <w:pPr/>
      <w:r>
        <w:t xml:space="preserve">  "timestamp": "2026-01-01T00:00:00Z",</w:t>
      </w:r>
    </w:p>
    <w:p>
      <w:pPr/>
      <w:r>
        <w:t xml:space="preserve">  "rpm": "[转速数值]",</w:t>
      </w:r>
    </w:p>
    <w:p>
      <w:pPr/>
      <w:r>
        <w:t xml:space="preserve">  "acceleration": "[加速度时域序列]",</w:t>
      </w:r>
    </w:p>
    <w:p>
      <w:pPr/>
      <w:r>
        <w:t xml:space="preserve">  "fs": "[采样频率]"</w:t>
      </w:r>
    </w:p>
    <w:p>
      <w:pPr/>
      <w:r>
        <w:t>}</w:t>
      </w:r>
    </w:p>
    <w:p/>
    <w:p>
      <w:r>
        <w:t>**输出（单次执行）**</w:t>
      </w:r>
    </w:p>
    <w:p>
      <w:pPr/>
      <w:r>
        <w:t>{</w:t>
      </w:r>
    </w:p>
    <w:p>
      <w:pPr/>
      <w:r>
        <w:t xml:space="preserve">  "timestamp": "2026-01-01T00:00:00Z",</w:t>
      </w:r>
    </w:p>
    <w:p>
      <w:pPr/>
      <w:r>
        <w:t xml:space="preserve">  "ci": {</w:t>
      </w:r>
    </w:p>
    <w:p>
      <w:pPr/>
      <w:r>
        <w:t xml:space="preserve">    "RMS": "[数值]",</w:t>
      </w:r>
    </w:p>
    <w:p>
      <w:pPr/>
      <w:r>
        <w:t xml:space="preserve">    "ENV_BPFI_AMP": "[数值]",</w:t>
      </w:r>
    </w:p>
    <w:p>
      <w:pPr/>
      <w:r>
        <w:t xml:space="preserve">    "ENV_BPFO_AMP": "[数值]",</w:t>
      </w:r>
    </w:p>
    <w:p>
      <w:pPr/>
      <w:r>
        <w:t xml:space="preserve">    "ENV_BSF_AMP": "[数值]",</w:t>
      </w:r>
    </w:p>
    <w:p>
      <w:pPr/>
      <w:r>
        <w:t xml:space="preserve">    "ENV_FTF_AMP": "[数值]"</w:t>
      </w:r>
    </w:p>
    <w:p>
      <w:pPr/>
      <w:r>
        <w:t xml:space="preserve">  },</w:t>
      </w:r>
    </w:p>
    <w:p>
      <w:pPr/>
      <w:r>
        <w:t xml:space="preserve">  "alarm": "[true/false]",</w:t>
      </w:r>
    </w:p>
    <w:p>
      <w:pPr/>
      <w:r>
        <w:t xml:space="preserve">  "alarm_reason": "[超限指标列表或空]"</w:t>
      </w:r>
    </w:p>
    <w:p>
      <w:pPr/>
      <w:r>
        <w:t>}</w:t>
      </w:r>
    </w:p>
    <w:p/>
    <w:p>
      <w:pPr>
        <w:pStyle w:val="Heading3"/>
      </w:pPr>
      <w:r>
        <w:t>7.2 执行周期</w:t>
      </w:r>
    </w:p>
    <w:p>
      <w:pPr>
        <w:pStyle w:val="ListBullet"/>
      </w:pPr>
      <w:r>
        <w:t>固定周期：每 10 分钟执行一次；</w:t>
      </w:r>
    </w:p>
    <w:p>
      <w:pPr>
        <w:pStyle w:val="ListBullet"/>
      </w:pPr>
      <w:r>
        <w:t>每次处理一组稳定转速数据；</w:t>
      </w:r>
    </w:p>
    <w:p>
      <w:pPr>
        <w:pStyle w:val="ListBullet"/>
      </w:pPr>
      <w:r>
        <w:t>结果写入监测数据库并更新告警状态。</w:t>
      </w:r>
    </w:p>
    <w:p/>
    <w:p>
      <w:pPr>
        <w:pStyle w:val="Heading3"/>
      </w:pPr>
      <w:r>
        <w:t>7.3 部署建议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建议</w:t>
            </w:r>
          </w:p>
        </w:tc>
      </w:tr>
      <w:tr>
        <w:tc>
          <w:tcPr>
            <w:tcW w:type="dxa" w:w="4320"/>
          </w:tcPr>
          <w:p>
            <w:r>
              <w:t>部署位置</w:t>
            </w:r>
          </w:p>
        </w:tc>
        <w:tc>
          <w:tcPr>
            <w:tcW w:type="dxa" w:w="4320"/>
          </w:tcPr>
          <w:p>
            <w:r>
              <w:t>车载边缘计算节点或地面服务器</w:t>
            </w:r>
          </w:p>
        </w:tc>
      </w:tr>
      <w:tr>
        <w:tc>
          <w:tcPr>
            <w:tcW w:type="dxa" w:w="4320"/>
          </w:tcPr>
          <w:p>
            <w:r>
              <w:t>运行方式</w:t>
            </w:r>
          </w:p>
        </w:tc>
        <w:tc>
          <w:tcPr>
            <w:tcW w:type="dxa" w:w="4320"/>
          </w:tcPr>
          <w:p>
            <w:r>
              <w:t>定时任务（10 分钟触发）+ 异常重试</w:t>
            </w:r>
          </w:p>
        </w:tc>
      </w:tr>
      <w:tr>
        <w:tc>
          <w:tcPr>
            <w:tcW w:type="dxa" w:w="4320"/>
          </w:tcPr>
          <w:p>
            <w:r>
              <w:t>配置管理</w:t>
            </w:r>
          </w:p>
        </w:tc>
        <w:tc>
          <w:tcPr>
            <w:tcW w:type="dxa" w:w="4320"/>
          </w:tcPr>
          <w:p>
            <w:r>
              <w:t>轴承参数、滤波参数、阈值参数可配置化</w:t>
            </w:r>
          </w:p>
        </w:tc>
      </w:tr>
      <w:tr>
        <w:tc>
          <w:tcPr>
            <w:tcW w:type="dxa" w:w="4320"/>
          </w:tcPr>
          <w:p>
            <w:r>
              <w:t>监控</w:t>
            </w:r>
          </w:p>
        </w:tc>
        <w:tc>
          <w:tcPr>
            <w:tcW w:type="dxa" w:w="4320"/>
          </w:tcPr>
          <w:p>
            <w:r>
              <w:t>记录输入质量、CI结果、告警事件、版本号</w:t>
            </w:r>
          </w:p>
        </w:tc>
      </w:tr>
    </w:tbl>
    <w:p/>
    <w:p>
      <w:pPr>
        <w:pStyle w:val="Heading3"/>
      </w:pPr>
      <w:r>
        <w:t>7.4 复杂度评估</w:t>
      </w:r>
    </w:p>
    <w:p>
      <w:pPr>
        <w:pStyle w:val="ListBullet"/>
      </w:pPr>
      <w:r>
        <w:t>单次计算主要由滤波、Hilbert 和 FFT 构成；</w:t>
      </w:r>
    </w:p>
    <w:p>
      <w:pPr>
        <w:pStyle w:val="ListBullet"/>
      </w:pPr>
      <w:r>
        <w:t>对长度为 $N$ 的数据，FFT 复杂度约 $O(N\log N)$；</w:t>
      </w:r>
    </w:p>
    <w:p>
      <w:pPr>
        <w:pStyle w:val="ListBullet"/>
      </w:pPr>
      <w:r>
        <w:t>在固定 10 分钟周期下，常规工业 CPU 可满足准实时处理要求（具体需按采样率与窗口长度实测）。</w:t>
      </w:r>
    </w:p>
    <w:p/>
    <w:p>
      <w:r>
        <w:t>---</w:t>
      </w:r>
    </w:p>
    <w:p/>
    <w:p>
      <w:pPr>
        <w:pStyle w:val="Heading2"/>
      </w:pPr>
      <w:r>
        <w:t>附：实施注意事项</w:t>
      </w:r>
    </w:p>
    <w:p>
      <w:r>
        <w:t>1. 阈值统计必须基于可追溯的健康样本；</w:t>
      </w:r>
    </w:p>
    <w:p>
      <w:r>
        <w:t>2. 不同轴承型号需独立配置特征频率参数；</w:t>
      </w:r>
    </w:p>
    <w:p>
      <w:r>
        <w:t>3. 若转速波动超出稳定工况假设，应增加转速分层或阶次跟踪策略。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