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cross-sectional</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w:p>
    <w:p>
      <w:pPr>
        <w:pStyle w:val="BodyText"/>
      </w:pPr>
      <m:oMath>
        <m:r>
          <m:rPr>
            <m:sty m:val="p"/>
          </m:rPr>
          <m:t>†</m:t>
        </m:r>
      </m:oMath>
      <w:r>
        <w:t xml:space="preserve"> </w:t>
      </w:r>
      <w:r>
        <w:t xml:space="preserve">Corresponding authors mmart108@jhmi.edu, mgrabow2@jhu.edu, oliver.ratmann@imperial.ac.uk</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no false positive or false negative multiple subgraph windows.</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no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base model fit to simulated data with partial sequencing success and false positive and false negative multiple subgraph windows.</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base model fit to simulated data with partial sequencing success and false positive and false negative multiple subgraph windows trace.</w:t>
      </w:r>
      <w:r>
        <w:t xml:space="preserve"> </w:t>
      </w:r>
      <w:r>
        <w:t xml:space="preserve">Independent chains are shown in shades of grey. Warm-up iterations are excluded. Includes a sample of 250 iterations per chain. MI = multiple infection.</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base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simulated data with partial sequencing success and false positive and false negative multiple subgraph windows.</w:t>
      </w:r>
      <w:r>
        <w:t xml:space="preserve"> </w:t>
      </w:r>
      <w:r>
        <w:t xml:space="preserve">Independent chains are shown in shades of grey. Warm-up iterations are excluded.MI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simulated data with partial sequencing success and false positive and false negative multiple subgraph windows trace.</w:t>
      </w:r>
      <w:r>
        <w:t xml:space="preserve"> </w:t>
      </w:r>
      <w:r>
        <w:t xml:space="preserve">Independent chains are shown in shades of grey. Warm-up iterations are excluded.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and false positive or false negative multiple subgraph windows.</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fit to simulated data with partial sequencing success, false positive and false negative multiple subgraph windows, and a binary risk factor for harboring multiple infection.</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simulated data with partial sequencing success, false positive or false negative multiple subgraph windows, and a binary risk factor for harboring multiple infection.</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full model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full model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sequencing technology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community type and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withdeep-sequencing protocol as a risk factor fit to deep sequence data generated from ,029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,029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community type and lifetime sex partners as a risk factor for harboring multiple infections fit to deep sequence data generated from men living with viremic HIV who participated in the Rakai Community Cohort Study.</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sequencing technology as a risk factor fit to deep sequence data generated from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tbl>
      <w:tblPr>
        <w:tblStyle w:val="FigureTable"/>
        <w:tblW w:type="auto" w:w="0"/>
        <w:jc w:val="center"/>
        <w:tblLook w:firstRow="0" w:lastRow="0" w:firstColumn="0" w:lastColumn="0"/>
      </w:tblPr>
      <w:tblGrid/>
    </w:tbl>
    <w:p>
      <w:pPr>
        <w:pStyle w:val="ImageCaption"/>
      </w:pPr>
      <w:r>
        <w:rPr>
          <w:b/>
          <w:bCs/>
        </w:rPr>
        <w:t xml:space="preserve">MCMC trace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MI = multiple infection. VL = viral load (log</w:t>
      </w:r>
      <w:r>
        <w:rPr>
          <w:vertAlign w:val="subscript"/>
        </w:rPr>
        <w:t xml:space="preserve">10</w:t>
      </w:r>
      <w:r>
        <w:t xml:space="preserve"> </w:t>
      </w:r>
      <w:r>
        <w:t xml:space="preserve">copies/mL) standardized to mean = 0 and std. dev = 1. Std. dev. = standard deviation.</w:t>
      </w:r>
    </w:p>
    <w:tbl>
      <w:tblPr>
        <w:tblStyle w:val="FigureTable"/>
        <w:tblW w:type="auto" w:w="0"/>
        <w:jc w:val="center"/>
        <w:tblLook w:firstRow="0" w:lastRow="0" w:firstColumn="0" w:lastColumn="0"/>
      </w:tblPr>
      <w:tblGrid/>
    </w:tbl>
    <w:p>
      <w:pPr>
        <w:pStyle w:val="ImageCaption"/>
      </w:pPr>
      <w:r>
        <w:rPr>
          <w:b/>
          <w:bCs/>
        </w:rPr>
        <w:t xml:space="preserve">MCMC pairs plots for parameters in extended model with variable selection to identify risk factor for harboring multiple infections fit to deep sequence data generated from ,970 Rakai Community Cohort Study participants living with viremic HIV.</w:t>
      </w:r>
      <w:r>
        <w:t xml:space="preserve"> </w:t>
      </w:r>
      <w:r>
        <w:t xml:space="preserve">Independent chains are shown in shades of grey. Warm-up iterations are excluded. Includes a sample of 250 iterations per chain. MI = multiple infection.</w:t>
      </w:r>
      <w:r>
        <w:t xml:space="preserve"> </w:t>
      </w:r>
    </w:p>
    <w:tbl>
      <w:tblPr>
        <w:tblStyle w:val="FigureTable"/>
        <w:tblW w:type="auto" w:w="0"/>
        <w:jc w:val="center"/>
        <w:tblLook w:firstRow="0" w:lastRow="0" w:firstColumn="0" w:lastColumn="0"/>
      </w:tblPr>
      <w:tblGrid/>
    </w:tbl>
    <w:p>
      <w:pPr>
        <w:pStyle w:val="ImageCaption"/>
      </w:pPr>
      <w:r>
        <w:rPr>
          <w:b/>
          <w:bCs/>
        </w:rPr>
        <w:t xml:space="preserve">Comparison of posterior and prior distributions of parameters in extended model with variable selection to identify risk factor fit to deep sequence data generated from ,970 Rakai Community Cohort Study participants living with viremic HIV.</w:t>
      </w:r>
      <w:r>
        <w:t xml:space="preserve"> </w:t>
      </w:r>
      <w:r>
        <w:t xml:space="preserve">Median is plotted as the central estimate and horizontal bars extend to the 95% and 50% HPD. Some horizontal bars do not extend beyond the central point. Warm-up iterations are excluded. MI = multiple infection. VL = viral load (log</w:t>
      </w:r>
      <w:r>
        <w:rPr>
          <w:vertAlign w:val="subscript"/>
        </w:rPr>
        <w:t xml:space="preserve">10</w:t>
      </w:r>
      <w:r>
        <w:t xml:space="preserve"> </w:t>
      </w:r>
      <w:r>
        <w:t xml:space="preserve">copies/mL) standardized to mean = 0 and std. dev = 1. Std. dev. = standard deviation.</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cross-sectional population-based deep-sequence data</dc:title>
  <dc:creator/>
  <cp:keywords/>
  <dcterms:created xsi:type="dcterms:W3CDTF">2024-10-04T00:04:36Z</dcterms:created>
  <dcterms:modified xsi:type="dcterms:W3CDTF">2024-10-04T00:04:36Z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