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cross-sectional</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w:p>
    <w:p>
      <w:pPr>
        <w:pStyle w:val="BodyText"/>
      </w:pPr>
      <m:oMath>
        <m:r>
          <m:rPr>
            <m:sty m:val="p"/>
          </m:rPr>
          <m:t>†</m:t>
        </m:r>
      </m:oMath>
      <w:r>
        <w:t xml:space="preserve"> </w:t>
      </w:r>
      <w:r>
        <w:t xml:space="preserve">Corresponding authors mmart108@jhmi.edu, mgrabow2@jhu.edu, oliver.ratmann@imperial.ac.uk</w:t>
      </w:r>
    </w:p>
    <w:tbl>
      <w:tblPr>
        <w:tblStyle w:val="FigureTable"/>
        <w:tblW w:type="auto" w:w="0"/>
        <w:jc w:val="center"/>
        <w:tblLook w:firstRow="0" w:lastRow="0" w:firstColumn="0" w:lastColumn="0"/>
      </w:tblPr>
      <w:tblGrid/>
    </w:tbl>
    <w:p>
      <w:pPr>
        <w:pStyle w:val="ImageCaption"/>
      </w:pPr>
      <w:r>
        <w:rPr>
          <w:b/>
          <w:bCs/>
        </w:rPr>
        <w:t xml:space="preserve">MCMC trace plots for parameters in base model fit to simulated data with partial sequencing success and no false positive or false negative multiple subgraph windows.</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p>
    <w:tbl>
      <w:tblPr>
        <w:tblStyle w:val="FigureTable"/>
        <w:tblW w:type="auto" w:w="0"/>
        <w:jc w:val="center"/>
        <w:tblLook w:firstRow="0" w:lastRow="0" w:firstColumn="0" w:lastColumn="0"/>
      </w:tblPr>
      <w:tblGrid/>
    </w:tbl>
    <w:p>
      <w:pPr>
        <w:pStyle w:val="ImageCaption"/>
      </w:pPr>
      <w:r>
        <w:rPr>
          <w:b/>
          <w:bCs/>
        </w:rPr>
        <w:t xml:space="preserve">MCMC pairs plots for parameters in base model fit to simulated data with partial sequencing success and no false positive or false negative multiple subgraph windows.</w:t>
      </w:r>
      <w:r>
        <w:t xml:space="preserve"> </w:t>
      </w:r>
      <w:r>
        <w:t xml:space="preserve">Independent chains are shown in shades of grey. Warm-up iterations are excluded. Includes a sample of 250 iterations per chain. MI = multiple infection.</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base model fit to simulated data with partial sequencing success and no false positive or false negative multiple subgraph windows.</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base model fit to simulated data with partial sequencing success and false positive and false negative multiple subgraph windows.</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base model fit to simulated data with partial sequencing success and false positive and false negative multiple subgraph windows trace.</w:t>
      </w:r>
      <w:r>
        <w:t xml:space="preserve"> </w:t>
      </w:r>
      <w:r>
        <w:t xml:space="preserve">Independent chains are shown in shades of grey. Warm-up iterations are excluded. Includes a sample of 250 iterations per chain. MI = multiple infection.</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base model fit to simulated data with partial sequencing success and false positive or false negative multiple subgraph windows.</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full model fit to simulated data with partial sequencing success and false positive and false negative multiple subgraph windows.</w:t>
      </w:r>
      <w:r>
        <w:t xml:space="preserve"> </w:t>
      </w:r>
      <w:r>
        <w:t xml:space="preserve">Independent chains are shown in shades of grey. Warm-up iterations are excluded.MI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full model fit to simulated data with partial sequencing success and false positive and false negative multiple subgraph windows trace.</w:t>
      </w:r>
      <w:r>
        <w:t xml:space="preserve"> </w:t>
      </w:r>
      <w:r>
        <w:t xml:space="preserve">Independent chains are shown in shades of grey. Warm-up iterations are excluded.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full model fit to simulated data with partial sequencing success and false positive or false negative multiple subgraph windows.</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fit to simulated data with partial sequencing success, false positive and false negative multiple subgraph windows, and a binary risk factor for harboring multiple infection.</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fit to simulated data with partial sequencing success, false positive and false negative multiple subgraph windows, and a binary risk factor for harboring multiple infection.</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full model fit to simulated data with partial sequencing success, false positive or false negative multiple subgraph windows, and a binary risk factor for harboring multiple infection.</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full model fit to deep sequence data generated from ,029 Rakai Community Cohort Study participants living with viremic HIV.</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full model fit to deep sequence data generated from ,029 Rakai Community Cohort Study participants living with viremic HIV.</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full model fit to deep sequence data generated from ,029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with community type and sequencing technology as a risk factor fit to deep sequence data generated from ,029 Rakai Community Cohort Study participants living with viremic HIV.</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with community type and sequencing technology as a risk factor fit to deep sequence data generated from ,029 Rakai Community Cohort Study participants living with viremic HIV.</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extended model with community type and sequencing technology as a risk factor fit to deep sequence data generated from ,029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with deep-sequencing protocol as a risk factor fit to deep sequence data generated from ,029 Rakai Community Cohort Study participants living with viremic HIV.</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withdeep-sequencing protocol as a risk factor fit to deep sequence data generated from ,029 Rakai Community Cohort Study participants living with viremic HIV.</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extended model with sequencing technology as a risk factor fit to deep sequence data generated from ,029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with community type and lifetime sex partners as a risk factor for harboring multiple infections fit to deep sequence data generated from men living with viremic HIV who participated in the Rakai Community Cohort Study.</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with community type and lifetime sex partners as a risk factor for harboring multiple infections fit to deep sequence data generated from men living with viremic HIV who participated in the Rakai Community Cohort Study.</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extended model with sequencing technology as a risk factor fit to deep sequence data generated from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with variable selection to identify risk factor for harboring multiple infections fit to deep sequence data generated from ,970 Rakai Community Cohort Study participants living with viremic HIV.</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with variable selection to identify risk factor for harboring multiple infections fit to deep sequence data generated from ,970 Rakai Community Cohort Study participants living with viremic HIV.</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extended model with variable selection to identify risk factor fit to deep sequence data generated from ,970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cross-sectional population-based deep-sequence data</dc:title>
  <dc:creator/>
  <cp:keywords/>
  <dcterms:created xsi:type="dcterms:W3CDTF">2024-10-03T18:49:31Z</dcterms:created>
  <dcterms:modified xsi:type="dcterms:W3CDTF">2024-10-03T18:49:31Z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