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prevalence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HIV</w:t>
      </w:r>
      <w:r>
        <w:t xml:space="preserve"> </w:t>
      </w:r>
      <w:r>
        <w:t xml:space="preserve">multiple</w:t>
      </w:r>
      <w:r>
        <w:t xml:space="preserve"> </w:t>
      </w:r>
      <w:r>
        <w:t xml:space="preserve">infection</w:t>
      </w:r>
      <w:r>
        <w:t xml:space="preserve"> </w:t>
      </w:r>
      <w:r>
        <w:t xml:space="preserve">in</w:t>
      </w:r>
      <w:r>
        <w:t xml:space="preserve"> </w:t>
      </w:r>
      <w:r>
        <w:t xml:space="preserve">Uganda</w:t>
      </w:r>
      <w:r>
        <w:t xml:space="preserve"> </w:t>
      </w:r>
      <w:r>
        <w:t xml:space="preserve">from</w:t>
      </w:r>
      <w:r>
        <w:t xml:space="preserve"> </w:t>
      </w:r>
      <w:r>
        <w:t xml:space="preserve">cross-sectional</w:t>
      </w:r>
      <w:r>
        <w:t xml:space="preserve"> </w:t>
      </w:r>
      <w:r>
        <w:t xml:space="preserve">population-based</w:t>
      </w:r>
      <w:r>
        <w:t xml:space="preserve"> </w:t>
      </w:r>
      <w:r>
        <w:t xml:space="preserve">deep-sequence</w:t>
      </w:r>
      <w:r>
        <w:t xml:space="preserve"> </w:t>
      </w:r>
      <w:r>
        <w:t xml:space="preserve">data</w:t>
      </w:r>
    </w:p>
    <w:p>
      <w:pPr>
        <w:pStyle w:val="FirstParagraph"/>
      </w:pPr>
      <w:r>
        <w:t xml:space="preserve"> </w:t>
      </w:r>
      <w:r>
        <w:br/>
      </w:r>
      <w:r>
        <w:t xml:space="preserve">Michael A. Martin</w:t>
      </w:r>
      <w:r>
        <w:rPr>
          <w:vertAlign w:val="superscript"/>
        </w:rPr>
        <w:t xml:space="preserve">1,</w:t>
      </w:r>
      <m:oMath>
        <m:r>
          <m:rPr>
            <m:sty m:val="p"/>
          </m:rPr>
          <m:t>†</m:t>
        </m:r>
      </m:oMath>
      <w:r>
        <w:t xml:space="preserve">,</w:t>
      </w:r>
      <w:r>
        <w:t xml:space="preserve"> </w:t>
      </w:r>
      <w:r>
        <w:t xml:space="preserve">Andrea Brizzi</w:t>
      </w:r>
      <w:r>
        <w:rPr>
          <w:vertAlign w:val="superscript"/>
        </w:rPr>
        <w:t xml:space="preserve">2</w:t>
      </w:r>
      <w:r>
        <w:t xml:space="preserve">,</w:t>
      </w:r>
      <w:r>
        <w:t xml:space="preserve"> </w:t>
      </w:r>
      <w:r>
        <w:t xml:space="preserve">Xiaoyue Xi</w:t>
      </w:r>
      <w:r>
        <w:rPr>
          <w:vertAlign w:val="superscript"/>
        </w:rPr>
        <w:t xml:space="preserve">2,3</w:t>
      </w:r>
      <w:r>
        <w:t xml:space="preserve">,</w:t>
      </w:r>
      <w:r>
        <w:t xml:space="preserve"> </w:t>
      </w:r>
      <w:r>
        <w:t xml:space="preserve">Ronald Moses Galiwango</w:t>
      </w:r>
      <w:r>
        <w:rPr>
          <w:vertAlign w:val="superscript"/>
        </w:rPr>
        <w:t xml:space="preserve">4</w:t>
      </w:r>
      <w:r>
        <w:t xml:space="preserve">,</w:t>
      </w:r>
      <w:r>
        <w:t xml:space="preserve"> </w:t>
      </w:r>
      <w:r>
        <w:t xml:space="preserve">Sikhulile Moyo</w:t>
      </w:r>
      <w:r>
        <w:rPr>
          <w:vertAlign w:val="superscript"/>
        </w:rPr>
        <w:t xml:space="preserve">5,6</w:t>
      </w:r>
      <w:r>
        <w:t xml:space="preserve">,</w:t>
      </w:r>
      <w:r>
        <w:t xml:space="preserve"> </w:t>
      </w:r>
      <w:r>
        <w:t xml:space="preserve">Deogratius Ssemwanga</w:t>
      </w:r>
      <w:r>
        <w:rPr>
          <w:vertAlign w:val="superscript"/>
        </w:rPr>
        <w:t xml:space="preserve">7,8</w:t>
      </w:r>
      <w:r>
        <w:t xml:space="preserve"> </w:t>
      </w:r>
      <w:r>
        <w:t xml:space="preserve">Alexandra Blenkinsop</w:t>
      </w:r>
      <w:r>
        <w:rPr>
          <w:vertAlign w:val="superscript"/>
        </w:rPr>
        <w:t xml:space="preserve">2</w:t>
      </w:r>
      <w:r>
        <w:t xml:space="preserve">,</w:t>
      </w:r>
      <w:r>
        <w:t xml:space="preserve"> </w:t>
      </w:r>
      <w:r>
        <w:t xml:space="preserve">Andrew D. Redd</w:t>
      </w:r>
      <w:r>
        <w:rPr>
          <w:vertAlign w:val="superscript"/>
        </w:rPr>
        <w:t xml:space="preserve">9,10,11</w:t>
      </w:r>
      <w:r>
        <w:t xml:space="preserve">,</w:t>
      </w:r>
      <w:r>
        <w:t xml:space="preserve"> </w:t>
      </w:r>
      <w:r>
        <w:t xml:space="preserve">Lucie Abeler-Dörner</w:t>
      </w:r>
      <w:r>
        <w:rPr>
          <w:vertAlign w:val="superscript"/>
        </w:rPr>
        <w:t xml:space="preserve">12</w:t>
      </w:r>
      <w:r>
        <w:t xml:space="preserve">,</w:t>
      </w:r>
      <w:r>
        <w:t xml:space="preserve"> </w:t>
      </w:r>
      <w:r>
        <w:t xml:space="preserve">Christophe Fraser</w:t>
      </w:r>
      <w:r>
        <w:rPr>
          <w:vertAlign w:val="superscript"/>
        </w:rPr>
        <w:t xml:space="preserve">12</w:t>
      </w:r>
      <w:r>
        <w:t xml:space="preserve">,</w:t>
      </w:r>
      <w:r>
        <w:t xml:space="preserve"> </w:t>
      </w:r>
      <w:r>
        <w:t xml:space="preserve">Steven J. Reynolds</w:t>
      </w:r>
      <w:r>
        <w:rPr>
          <w:vertAlign w:val="superscript"/>
        </w:rPr>
        <w:t xml:space="preserve">4,9,10</w:t>
      </w:r>
      <w:r>
        <w:t xml:space="preserve">,</w:t>
      </w:r>
      <w:r>
        <w:t xml:space="preserve"> </w:t>
      </w:r>
      <w:r>
        <w:t xml:space="preserve">Thomas C. Quinn</w:t>
      </w:r>
      <w:r>
        <w:rPr>
          <w:vertAlign w:val="superscript"/>
        </w:rPr>
        <w:t xml:space="preserve">4,9,10</w:t>
      </w:r>
      <w:r>
        <w:t xml:space="preserve">,</w:t>
      </w:r>
      <w:r>
        <w:t xml:space="preserve"> </w:t>
      </w:r>
      <w:r>
        <w:t xml:space="preserve">Joseph Kagaayi</w:t>
      </w:r>
      <w:r>
        <w:rPr>
          <w:vertAlign w:val="superscript"/>
        </w:rPr>
        <w:t xml:space="preserve">4,13</w:t>
      </w:r>
      <w:r>
        <w:t xml:space="preserve">,</w:t>
      </w:r>
      <w:r>
        <w:t xml:space="preserve"> </w:t>
      </w:r>
      <w:r>
        <w:t xml:space="preserve">David Bonsall</w:t>
      </w:r>
      <w:r>
        <w:rPr>
          <w:vertAlign w:val="superscript"/>
        </w:rPr>
        <w:t xml:space="preserve">14</w:t>
      </w:r>
      <w:r>
        <w:t xml:space="preserve">,</w:t>
      </w:r>
      <w:r>
        <w:t xml:space="preserve"> </w:t>
      </w:r>
      <w:r>
        <w:t xml:space="preserve">David Serwadda</w:t>
      </w:r>
      <w:r>
        <w:rPr>
          <w:vertAlign w:val="superscript"/>
        </w:rPr>
        <w:t xml:space="preserve">4</w:t>
      </w:r>
      <w:r>
        <w:t xml:space="preserve">,</w:t>
      </w:r>
      <w:r>
        <w:t xml:space="preserve"> </w:t>
      </w:r>
      <w:r>
        <w:t xml:space="preserve">Gertrude Nakigozi</w:t>
      </w:r>
      <w:r>
        <w:rPr>
          <w:vertAlign w:val="superscript"/>
        </w:rPr>
        <w:t xml:space="preserve">4</w:t>
      </w:r>
      <w:r>
        <w:t xml:space="preserve">,</w:t>
      </w:r>
      <w:r>
        <w:t xml:space="preserve"> </w:t>
      </w:r>
      <w:r>
        <w:t xml:space="preserve">Godfrey Kigozi</w:t>
      </w:r>
      <w:r>
        <w:rPr>
          <w:vertAlign w:val="superscript"/>
        </w:rPr>
        <w:t xml:space="preserve">4</w:t>
      </w:r>
      <w:r>
        <w:t xml:space="preserve">,</w:t>
      </w:r>
      <w:r>
        <w:t xml:space="preserve"> </w:t>
      </w:r>
      <w:r>
        <w:t xml:space="preserve">M. Kate Grabowski</w:t>
      </w:r>
      <w:r>
        <w:rPr>
          <w:vertAlign w:val="superscript"/>
        </w:rPr>
        <w:t xml:space="preserve">1,4,15,</w:t>
      </w:r>
      <m:oMath>
        <m:r>
          <m:rPr>
            <m:sty m:val="p"/>
          </m:rPr>
          <m:t>†</m:t>
        </m:r>
      </m:oMath>
      <w:r>
        <w:t xml:space="preserve">,</w:t>
      </w:r>
      <w:r>
        <w:t xml:space="preserve"> </w:t>
      </w:r>
      <w:r>
        <w:t xml:space="preserve">Oliver Ratmann</w:t>
      </w:r>
      <w:r>
        <w:rPr>
          <w:vertAlign w:val="superscript"/>
        </w:rPr>
        <w:t xml:space="preserve">2,</w:t>
      </w:r>
      <m:oMath>
        <m:r>
          <m:rPr>
            <m:sty m:val="p"/>
          </m:rPr>
          <m:t>†</m:t>
        </m:r>
      </m:oMath>
      <w:r>
        <w:t xml:space="preserve">,</w:t>
      </w:r>
      <w:r>
        <w:t xml:space="preserve"> </w:t>
      </w:r>
      <w:r>
        <w:t xml:space="preserve">with the PANGEA-HIV Consortium and the Rakai Health Sciences Program</w:t>
      </w:r>
      <w:r>
        <w:br/>
      </w:r>
      <w:r>
        <w:rPr>
          <w:b/>
          <w:bCs/>
        </w:rPr>
        <w:t xml:space="preserve">1</w:t>
      </w:r>
      <w:r>
        <w:t xml:space="preserve"> </w:t>
      </w:r>
      <w:r>
        <w:t xml:space="preserve">Department of Pathology, Johns Hopkins School of Medicine, Baltimore, MD, USA</w:t>
      </w:r>
      <w:r>
        <w:br/>
      </w:r>
      <w:r>
        <w:rPr>
          <w:b/>
          <w:bCs/>
        </w:rPr>
        <w:t xml:space="preserve">2</w:t>
      </w:r>
      <w:r>
        <w:t xml:space="preserve"> </w:t>
      </w:r>
      <w:r>
        <w:t xml:space="preserve">Department of Mathematics, Imperial College London, London, United Kingdom</w:t>
      </w:r>
      <w:r>
        <w:br/>
      </w:r>
      <w:r>
        <w:rPr>
          <w:b/>
          <w:bCs/>
        </w:rPr>
        <w:t xml:space="preserve">3</w:t>
      </w:r>
      <w:r>
        <w:t xml:space="preserve"> </w:t>
      </w:r>
      <w:r>
        <w:t xml:space="preserve">Medical Research Council Biostatistics Unit, University of Cambridge, Cambridge, UK</w:t>
      </w:r>
      <w:r>
        <w:br/>
      </w:r>
      <w:r>
        <w:rPr>
          <w:b/>
          <w:bCs/>
        </w:rPr>
        <w:t xml:space="preserve">4</w:t>
      </w:r>
      <w:r>
        <w:t xml:space="preserve"> </w:t>
      </w:r>
      <w:r>
        <w:t xml:space="preserve">Rakai Health Sciences Program, Kalisizo, Uganda</w:t>
      </w:r>
      <w:r>
        <w:br/>
      </w:r>
      <w:r>
        <w:rPr>
          <w:b/>
          <w:bCs/>
        </w:rPr>
        <w:t xml:space="preserve">5</w:t>
      </w:r>
      <w:r>
        <w:t xml:space="preserve"> </w:t>
      </w:r>
      <w:r>
        <w:t xml:space="preserve">Botswana Harvard AIDS Institute Partnership, Botswana Harvard HIV Reference Laboratory, Gaborone, Botswana</w:t>
      </w:r>
      <w:r>
        <w:br/>
      </w:r>
      <w:r>
        <w:rPr>
          <w:b/>
          <w:bCs/>
        </w:rPr>
        <w:t xml:space="preserve">6</w:t>
      </w:r>
      <w:r>
        <w:t xml:space="preserve"> </w:t>
      </w:r>
      <w:r>
        <w:t xml:space="preserve">Harvard T.H. Chan School of Public Health, Boston, MA, USA</w:t>
      </w:r>
      <w:r>
        <w:br/>
      </w:r>
      <w:r>
        <w:rPr>
          <w:b/>
          <w:bCs/>
        </w:rPr>
        <w:t xml:space="preserve">7</w:t>
      </w:r>
      <w:r>
        <w:t xml:space="preserve"> </w:t>
      </w:r>
      <w:r>
        <w:t xml:space="preserve">Medical Research Council/Uganda Virus Research Institute and London School of Hygiene and Tropical Medicine Uganda Research Unit, Entebbe, Uganda</w:t>
      </w:r>
      <w:r>
        <w:br/>
      </w:r>
      <w:r>
        <w:rPr>
          <w:b/>
          <w:bCs/>
        </w:rPr>
        <w:t xml:space="preserve">8</w:t>
      </w:r>
      <w:r>
        <w:t xml:space="preserve"> </w:t>
      </w:r>
      <w:r>
        <w:t xml:space="preserve">Uganda Virus Research Institute, Entebbe, Uganda</w:t>
      </w:r>
      <w:r>
        <w:br/>
      </w:r>
      <w:r>
        <w:rPr>
          <w:b/>
          <w:bCs/>
        </w:rPr>
        <w:t xml:space="preserve">9</w:t>
      </w:r>
      <w:r>
        <w:t xml:space="preserve"> </w:t>
      </w:r>
      <w:r>
        <w:t xml:space="preserve">Department of Medicine, Johns Hopkins School of Medicine, Baltimore, MD, USA</w:t>
      </w:r>
      <w:r>
        <w:br/>
      </w:r>
      <w:r>
        <w:rPr>
          <w:b/>
          <w:bCs/>
        </w:rPr>
        <w:t xml:space="preserve">10</w:t>
      </w:r>
      <w:r>
        <w:t xml:space="preserve"> </w:t>
      </w:r>
      <w:r>
        <w:t xml:space="preserve">Division of Intramural Research, National Institute of Allergy and Infectious Diseases, National Institutes of Health, Bethesda, MD, USA</w:t>
      </w:r>
      <w:r>
        <w:br/>
      </w:r>
      <w:r>
        <w:rPr>
          <w:b/>
          <w:bCs/>
        </w:rPr>
        <w:t xml:space="preserve">11</w:t>
      </w:r>
      <w:r>
        <w:t xml:space="preserve"> </w:t>
      </w:r>
      <w:r>
        <w:t xml:space="preserve">Institute of Infectious Disease and Molecular Medicine, University of Cape Town, Cape Town, South Africa</w:t>
      </w:r>
      <w:r>
        <w:br/>
      </w:r>
      <w:r>
        <w:rPr>
          <w:b/>
          <w:bCs/>
        </w:rPr>
        <w:t xml:space="preserve">12</w:t>
      </w:r>
      <w:r>
        <w:t xml:space="preserve"> </w:t>
      </w:r>
      <w:r>
        <w:t xml:space="preserve">Pandemic Sciences Institute, Nuffield Department of Medicine, University of Oxford, Oxford, UK</w:t>
      </w:r>
      <w:r>
        <w:br/>
      </w:r>
      <w:r>
        <w:rPr>
          <w:b/>
          <w:bCs/>
        </w:rPr>
        <w:t xml:space="preserve">13</w:t>
      </w:r>
      <w:r>
        <w:t xml:space="preserve"> </w:t>
      </w:r>
      <w:r>
        <w:t xml:space="preserve">Makerere University School of Public Health, Kampala, Uganda</w:t>
      </w:r>
      <w:r>
        <w:br/>
      </w:r>
      <w:r>
        <w:rPr>
          <w:b/>
          <w:bCs/>
        </w:rPr>
        <w:t xml:space="preserve">14</w:t>
      </w:r>
      <w:r>
        <w:t xml:space="preserve"> </w:t>
      </w:r>
      <w:r>
        <w:t xml:space="preserve">Wellcome Centre for Human Genetics, Nuffield Department of Medicine, University of Oxford, Oxford, UK</w:t>
      </w:r>
      <w:r>
        <w:br/>
      </w:r>
      <w:r>
        <w:rPr>
          <w:b/>
          <w:bCs/>
        </w:rPr>
        <w:t xml:space="preserve">15</w:t>
      </w:r>
      <w:r>
        <w:t xml:space="preserve"> </w:t>
      </w:r>
      <w:r>
        <w:t xml:space="preserve">Department of Epidemiology, Johns Hopkins Bloomberg School of Public Health, Baltimore, MD, USA</w:t>
      </w:r>
      <w:r>
        <w:br/>
      </w:r>
    </w:p>
    <w:p>
      <w:pPr>
        <w:pStyle w:val="BodyText"/>
      </w:pPr>
      <m:oMath>
        <m:r>
          <m:rPr>
            <m:sty m:val="p"/>
          </m:rPr>
          <m:t>†</m:t>
        </m:r>
      </m:oMath>
      <w:r>
        <w:t xml:space="preserve"> </w:t>
      </w:r>
      <w:r>
        <w:t xml:space="preserve">Corresponding authors mmart108@jhmi.edu, mgrabow2@jhu.edu, oliver.ratmann@imperial.ac.uk</w:t>
      </w:r>
    </w:p>
    <w:bookmarkStart w:id="20" w:name="abstract"/>
    <w:p>
      <w:pPr>
        <w:pStyle w:val="Heading1"/>
      </w:pPr>
      <w:r>
        <w:t xml:space="preserve">Abstract</w:t>
      </w:r>
    </w:p>
    <w:p>
      <w:pPr>
        <w:pStyle w:val="FirstParagraph"/>
      </w:pPr>
      <w:r>
        <w:t xml:space="preserve">People living with HIV can be simultaneously infected with genetically distinct variants. This can occur either at the time of initial infection (</w:t>
      </w:r>
      <w:r>
        <w:t xml:space="preserve">“</w:t>
      </w:r>
      <w:r>
        <w:t xml:space="preserve">coinfection</w:t>
      </w:r>
      <w:r>
        <w:t xml:space="preserve">”</w:t>
      </w:r>
      <w:r>
        <w:t xml:space="preserve">) or at a later time-point (</w:t>
      </w:r>
      <w:r>
        <w:t xml:space="preserve">“</w:t>
      </w:r>
      <w:r>
        <w:t xml:space="preserve">superinfection</w:t>
      </w:r>
      <w:r>
        <w:t xml:space="preserve">”</w:t>
      </w:r>
      <w:r>
        <w:t xml:space="preserve">). Multiple infection provides the necessary conditions for the generation of novel recombinant forms of HIV and may worsen clinical outcomes and increase the rate of transmission to HIV seronegative sexual partners. To date, studies of HIV multiple infection have relied on insensitive bulk-sequencing, labor intensive single genome amplification protocols, or deep-sequencing of short genome regions. Here, we present the Bayesian deep-phylo multiple infection model (</w:t>
      </w:r>
      <w:r>
        <w:rPr>
          <w:i/>
          <w:iCs/>
        </w:rPr>
        <w:t xml:space="preserve">deep-phyloMI</w:t>
      </w:r>
      <w:r>
        <w:t xml:space="preserve">), designed to identify multiple infections from whole-genome or near whole-genome pathogen deep-sequence data. This model simultaneously estimates individual- and population-level probabilities of harboring a multiple infection while accounting for partial sequencing success and false-negative and false-positive detection rates. We fit this model to population-based HIV deep-sequence data generated from 2,029 people living with viremic HIV who participated in the Rakai Community Cohort Study and estimate that 5.79% (95% HPD 4.56% - 7.07%) of sequenced participants harbor a multiple infection. Further, we show that participants living in high-HIV prevalence communities along Lake Victoria are 2.04-fold (95% HPD 1.15 - 3.22) more likely to harbor a multiple infection compared to individuals in lower prevalence neighboring communities. This work introduces a surveillance framework for identifying people with multiple HIV infections and quantifying population-level prevalence and risk factors of multiple infection for clinical and epidemiological investigations.</w:t>
      </w:r>
    </w:p>
    <w:bookmarkEnd w:id="20"/>
    <w:bookmarkStart w:id="21" w:name="author-summary"/>
    <w:p>
      <w:pPr>
        <w:pStyle w:val="Heading1"/>
      </w:pPr>
      <w:r>
        <w:t xml:space="preserve">Author summary</w:t>
      </w:r>
    </w:p>
    <w:p>
      <w:pPr>
        <w:pStyle w:val="FirstParagraph"/>
      </w:pPr>
      <w:r>
        <w:t xml:space="preserve">HIV exists as a population of genetically distinct viral variants among people living with HIV. People living with HIV can be infected with genetically distinct variants. Identification of these mixed infections requires generating viral genomic data from people living with HIV. In the past, the approaches used to identify multiple infections from viral genomic data have had poor sensitivity or required labor intensive protocols that are prohibitive in application to large data sets. Prior work has also only utilized data generated from only small portions of the viral genome and the statistical procedures used to generate population-level estimates from sequencing data generated from individual infections has not accounted for incomplete sampling of the within-host viral population or sources of sequencing error, which may confound multiple infection estimates. Here, we develop a statistical model that addresses these limitations and allows for the identification of multiple infections and the estimation of population-level risk of multiple infection from deep-sequence data. We fit this model to population-based HIV genomic data from people living with HIV in southern Uganda and estimate that approximately 6% of viremic participants harbor a multiple infection at a given point in time. We show that the prevalence of multiple infections is higher in key populations with high HIV prevalence. These findings inform our understanding of the sexual risk networks that give rise to multiple infections and aid in efforts to model HIV epidemiological dynamics and evolution during a period of incidence declines and shifting transmission dynamics across Eastern and Southern Africa.</w:t>
      </w:r>
    </w:p>
    <w:bookmarkEnd w:id="21"/>
    <w:bookmarkStart w:id="22" w:name="introduction"/>
    <w:p>
      <w:pPr>
        <w:pStyle w:val="Heading1"/>
      </w:pPr>
      <w:r>
        <w:t xml:space="preserve">Introduction</w:t>
      </w:r>
    </w:p>
    <w:p>
      <w:pPr>
        <w:pStyle w:val="FirstParagraph"/>
      </w:pPr>
      <w:r>
        <w:t xml:space="preserve">Simultaneous infection with multiple lineages of human immunodeficiency virus (HIV) can occur at the time of initial infection</w:t>
      </w:r>
      <w:r>
        <w:t xml:space="preserve"> </w:t>
      </w:r>
      <w:r>
        <w:t xml:space="preserve">(Kijak et al. 2017)</w:t>
      </w:r>
      <w:r>
        <w:t xml:space="preserve"> </w:t>
      </w:r>
      <w:r>
        <w:t xml:space="preserve">or through secondary infection</w:t>
      </w:r>
      <w:r>
        <w:t xml:space="preserve">(Andrew D. Redd, Quinn, and Tobian 2013)</w:t>
      </w:r>
      <w:r>
        <w:t xml:space="preserve">. Following acquisition, infecting lineages are shaped by within-individual evolutionary processes and can either stably coexist or undergo competitive exclusion</w:t>
      </w:r>
      <w:r>
        <w:t xml:space="preserve"> </w:t>
      </w:r>
      <w:r>
        <w:t xml:space="preserve">(Andrew D. Redd et al. 2012; Joel O. Wertheim et al. 2018)</w:t>
      </w:r>
      <w:r>
        <w:t xml:space="preserve">.The acquisition of multiple simultaneous infections by PLHIV has important implications for the evolution, pathogenesis, and spread of HIV. Specifically, it provides the necessary conditions for the generation of novel recombinant viruses</w:t>
      </w:r>
      <w:r>
        <w:t xml:space="preserve"> </w:t>
      </w:r>
      <w:r>
        <w:t xml:space="preserve">(Shriner et al. 2004; Song et al. 2018; Streeck et al. 2008)</w:t>
      </w:r>
      <w:r>
        <w:t xml:space="preserve">, which fuels diversification of the circulating viral population</w:t>
      </w:r>
      <w:r>
        <w:t xml:space="preserve"> </w:t>
      </w:r>
      <w:r>
        <w:t xml:space="preserve">(Ramirez et al. 2008; Kim et al. 2024)</w:t>
      </w:r>
      <w:r>
        <w:t xml:space="preserve">, complicating vaccine development efforts through the generation of novel epitopes</w:t>
      </w:r>
      <w:r>
        <w:t xml:space="preserve"> </w:t>
      </w:r>
      <w:r>
        <w:t xml:space="preserve">(Ritchie et al. 2014; Corey and McElrath 2010)</w:t>
      </w:r>
      <w:r>
        <w:t xml:space="preserve"> </w:t>
      </w:r>
      <w:r>
        <w:t xml:space="preserve">and potentially leads to the evolution of more transmissible viral genotypes</w:t>
      </w:r>
      <w:r>
        <w:t xml:space="preserve"> </w:t>
      </w:r>
      <w:r>
        <w:t xml:space="preserve">(Kiwanuka et al. 2009)</w:t>
      </w:r>
      <w:r>
        <w:t xml:space="preserve">. Further, multiple infections may themselves lead to faster disease progression</w:t>
      </w:r>
      <w:r>
        <w:t xml:space="preserve"> </w:t>
      </w:r>
      <w:r>
        <w:t xml:space="preserve">(Gottlieb et al. 2004; Smith 2004; Ronen et al. 2014)</w:t>
      </w:r>
      <w:r>
        <w:t xml:space="preserve"> </w:t>
      </w:r>
      <w:r>
        <w:t xml:space="preserve">and higher viral load</w:t>
      </w:r>
      <w:r>
        <w:t xml:space="preserve"> </w:t>
      </w:r>
      <w:r>
        <w:t xml:space="preserve">(Janes et al. 2015; Ronen et al. 2014; Smith 2004)</w:t>
      </w:r>
      <w:r>
        <w:t xml:space="preserve">, thereby potentially also increasing the risk of onward transmission</w:t>
      </w:r>
      <w:r>
        <w:t xml:space="preserve"> </w:t>
      </w:r>
      <w:r>
        <w:t xml:space="preserve">(Quinn et al. 2000; Fraser et al. 2007)</w:t>
      </w:r>
      <w:r>
        <w:t xml:space="preserve">. While the availability of viral genome sequence data has allowed for the identification of HIV multiple infections across a range of epidemiological contexts</w:t>
      </w:r>
      <w:r>
        <w:t xml:space="preserve"> </w:t>
      </w:r>
      <w:r>
        <w:t xml:space="preserve">(Yuan et al. 2024)</w:t>
      </w:r>
      <w:r>
        <w:t xml:space="preserve">, prevalence estimates have generally been based on relatively small samples sizes with only partial genome data. Here, we identify HIV multiple infections using within-host deep-sequence phylogenetic trees inferred across the genome from a population-based surveillance cohort.</w:t>
      </w:r>
    </w:p>
    <w:p>
      <w:pPr>
        <w:pStyle w:val="BodyText"/>
      </w:pPr>
      <w:r>
        <w:t xml:space="preserve">To date, viral sequence-based methods to identify HIV multiple infections generally rely on one of three approaches. First, bulk sequencing (e.g. Sanger sequencing or consensus sequence estimation from deep-sequence data) can reveal instances where the majority viral variant changes between baseline and follow-up visits under longitudinal sampling or cases where the within-person viral population at a specific visit harbors abnormal levels of diversity</w:t>
      </w:r>
      <w:r>
        <w:t xml:space="preserve"> </w:t>
      </w:r>
      <w:r>
        <w:t xml:space="preserve">(Smith 2004; Cornelissen et al. 2007; Kuyl et al. 2009; Chaudron et al. 2022)</w:t>
      </w:r>
      <w:r>
        <w:t xml:space="preserve">. This approach, however, has poor sensitivity, particularly when the proportion of the viral population belonging to one of the variants is small</w:t>
      </w:r>
      <w:r>
        <w:t xml:space="preserve"> </w:t>
      </w:r>
      <w:r>
        <w:t xml:space="preserve">(Rachinger et al. 2010)</w:t>
      </w:r>
      <w:r>
        <w:t xml:space="preserve">. Alternatively, single genome amplification (SGA) relies on serial dilutions to isolate a single molecule of transcribed viral cDNA prior to amplification and sequencing. This approach is more sensitive in detecting minor variants than bulk sequencing</w:t>
      </w:r>
      <w:r>
        <w:t xml:space="preserve"> </w:t>
      </w:r>
      <w:r>
        <w:t xml:space="preserve">(M. Pacold et al. 2010; Keele et al. 2008; Abrahams et al. 2009; Li et al. 2010; Dwyer-Lindgren et al. 2019)</w:t>
      </w:r>
      <w:r>
        <w:t xml:space="preserve">, but is labor intensive and difficult to apply at scale. Amplicon deep-sequencing of discrete regions of the HIV genome is able to achieve high sensitivity while being highly scalable to large sets of samples</w:t>
      </w:r>
      <w:r>
        <w:t xml:space="preserve"> </w:t>
      </w:r>
      <w:r>
        <w:t xml:space="preserve">(M. Pacold et al. 2010; Andrew D. Redd et al. 2011, 2012; Andrew D. Redd et al. 2014; Ronen et al. 2013)</w:t>
      </w:r>
      <w:r>
        <w:t xml:space="preserve">.</w:t>
      </w:r>
    </w:p>
    <w:p>
      <w:pPr>
        <w:pStyle w:val="BodyText"/>
      </w:pPr>
      <w:r>
        <w:t xml:space="preserve">Despite advancements in viral sequence-based identification of HIV multiple infections, existing approaches share shortcomings that hinder the interpretation of the results they generate. Critically, all of these methods rely on sequence data generated from only a subset of the genome, due in part to historical challenges in generating whole-genome HIV sequence data. For example, general population-based studies in Rakai, Uganda have previously utilized sequence data from 390 base pairs (bp) and 324 bp of the p24 (</w:t>
      </w:r>
      <w:r>
        <w:rPr>
          <w:i/>
          <w:iCs/>
        </w:rPr>
        <w:t xml:space="preserve">gag</w:t>
      </w:r>
      <w:r>
        <w:t xml:space="preserve">) and gp41 (</w:t>
      </w:r>
      <w:r>
        <w:rPr>
          <w:i/>
          <w:iCs/>
        </w:rPr>
        <w:t xml:space="preserve">env</w:t>
      </w:r>
      <w:r>
        <w:t xml:space="preserve">) regions, representing only 7.3% of the HIV genome. This inherently limits sensitivity to identify multiple infection with viral variants that are highly related within these short regions. Analysis of</w:t>
      </w:r>
      <w:r>
        <w:t xml:space="preserve"> </w:t>
      </w:r>
      <w:r>
        <w:rPr>
          <w:i/>
          <w:iCs/>
        </w:rPr>
        <w:t xml:space="preserve">gag</w:t>
      </w:r>
      <w:r>
        <w:t xml:space="preserve"> </w:t>
      </w:r>
      <w:r>
        <w:t xml:space="preserve">sequence data sampled from high-risk Kenyan women revealed cases of superinfection that were unidentified when querying only the</w:t>
      </w:r>
      <w:r>
        <w:t xml:space="preserve"> </w:t>
      </w:r>
      <w:r>
        <w:rPr>
          <w:i/>
          <w:iCs/>
        </w:rPr>
        <w:t xml:space="preserve">env</w:t>
      </w:r>
      <w:r>
        <w:t xml:space="preserve"> </w:t>
      </w:r>
      <w:r>
        <w:t xml:space="preserve">region</w:t>
      </w:r>
      <w:r>
        <w:t xml:space="preserve"> </w:t>
      </w:r>
      <w:r>
        <w:t xml:space="preserve">(Piantadosi et al. 2008)</w:t>
      </w:r>
      <w:r>
        <w:t xml:space="preserve">. Further, limited consideration has been given to the fact that factors that affect sequencing success of biological samples</w:t>
      </w:r>
      <w:r>
        <w:t xml:space="preserve"> </w:t>
      </w:r>
      <w:r>
        <w:t xml:space="preserve">(Bonsall et al. 2020)</w:t>
      </w:r>
      <w:r>
        <w:t xml:space="preserve"> </w:t>
      </w:r>
      <w:r>
        <w:t xml:space="preserve">may also affect the detection probability of multiple viral variants and may therefore confound prevalence estimates and assessment of multiple infection risk factors. Finally, existing methods use binary categorization of samples as either multiply or singly infected. They do not quantify uncertainty in individual-level assignments and do not account for this uncertainty when estimating population-level prevalence. With the advent of approaches that can generate near whole-genome HIV deep-sequence data</w:t>
      </w:r>
      <w:r>
        <w:t xml:space="preserve"> </w:t>
      </w:r>
      <w:r>
        <w:t xml:space="preserve">(Gall et al. 2012; Bonsall et al. 2020)</w:t>
      </w:r>
      <w:r>
        <w:t xml:space="preserve">, there is a need for statistical approaches that can integrate data from across the genome to robustly identify multiple infections while accounting for the various sources of bias that can obscure the underlying biological signal.</w:t>
      </w:r>
    </w:p>
    <w:p>
      <w:pPr>
        <w:pStyle w:val="BodyText"/>
      </w:pPr>
      <w:r>
        <w:t xml:space="preserve">Here, we provide estimates of the prevalence of HIV multiple infections and risk factors for harboring a multiple infection based on HIV deep-sequence data sampled from 2,029 people living with viremic HIV aged 15-49 who participated in the longitudinal, population-based Rakai Community Cohort Study</w:t>
      </w:r>
      <w:r>
        <w:t xml:space="preserve"> </w:t>
      </w:r>
      <w:r>
        <w:t xml:space="preserve">(Grabowski et al. 2017; Chang et al. 2016)</w:t>
      </w:r>
      <w:r>
        <w:t xml:space="preserve"> </w:t>
      </w:r>
      <w:r>
        <w:t xml:space="preserve">between October 2010 and May 2019. Rakai District is located in south-central Uganda, East Africa, bordering Lake Victoria, and is one of the areas with highest HIV-prevalence globally</w:t>
      </w:r>
      <w:r>
        <w:t xml:space="preserve"> </w:t>
      </w:r>
      <w:r>
        <w:t xml:space="preserve">(Dwyer-Lindgren et al. 2019)</w:t>
      </w:r>
      <w:r>
        <w:t xml:space="preserve">. To support these inferences, we developed a novel Bayesian statistical model to identify multiple infections using within-host phylogenetic trees inferred from deep-sequence data generated from across the HIV genome, which we call the deep-phylo multiple infection model (</w:t>
      </w:r>
      <w:r>
        <w:rPr>
          <w:i/>
          <w:iCs/>
        </w:rPr>
        <w:t xml:space="preserve">deep-phyloMI</w:t>
      </w:r>
      <w:r>
        <w:t xml:space="preserve">).</w:t>
      </w:r>
      <w:r>
        <w:t xml:space="preserve"> </w:t>
      </w:r>
      <w:r>
        <w:rPr>
          <w:i/>
          <w:iCs/>
        </w:rPr>
        <w:t xml:space="preserve">Phyloscanner</w:t>
      </w:r>
      <w:r>
        <w:t xml:space="preserve"> </w:t>
      </w:r>
      <w:r>
        <w:t xml:space="preserve">(Wymant et al. 2017)</w:t>
      </w:r>
      <w:r>
        <w:t xml:space="preserve"> </w:t>
      </w:r>
      <w:r>
        <w:t xml:space="preserve">was used to infer within-host phylogenetic trees across the HIV genome, remove contaminant sequences, and identify regions of the genome with evidence of multiple infecting variants. Our model simultaneously estimates individual- and population-level risks of harboring a multiple infection from processed</w:t>
      </w:r>
      <w:r>
        <w:t xml:space="preserve"> </w:t>
      </w:r>
      <w:r>
        <w:rPr>
          <w:i/>
          <w:iCs/>
        </w:rPr>
        <w:t xml:space="preserve">phyloscanner</w:t>
      </w:r>
      <w:r>
        <w:t xml:space="preserve"> </w:t>
      </w:r>
      <w:r>
        <w:t xml:space="preserve">output after accounting for incomplete sequencing of the viral population within a sample and false-negative and false-positive rates of multiple variant identification. We validated model performance on simulated data and used it to identify RCCS participants harboring multiple infections, estimated prevalence of multiple infection among viremic RCCS participants and identified epidemiological risk factors of harboring multiple infections across sub-populations with heterogeneous risk behaviour at a time when incidence is declining rapidly and transmission dynamics are shifting </w:t>
      </w:r>
      <w:r>
        <w:t xml:space="preserve">(Grabowski et al. 2017; Monod et al. 2023)</w:t>
      </w:r>
      <w:r>
        <w:t xml:space="preserve">.</w:t>
      </w:r>
    </w:p>
    <w:bookmarkEnd w:id="22"/>
    <w:bookmarkStart w:id="51" w:name="Materials and methods"/>
    <w:p>
      <w:pPr>
        <w:pStyle w:val="Heading1"/>
      </w:pPr>
      <w:r>
        <w:t xml:space="preserve">Materials and methods</w:t>
      </w:r>
    </w:p>
    <w:bookmarkStart w:id="23" w:name="sec:rccs_methods"/>
    <w:p>
      <w:pPr>
        <w:pStyle w:val="Heading2"/>
      </w:pPr>
      <w:r>
        <w:t xml:space="preserve">Study design and participants</w:t>
      </w:r>
    </w:p>
    <w:p>
      <w:pPr>
        <w:pStyle w:val="FirstParagraph"/>
      </w:pPr>
      <w:r>
        <w:t xml:space="preserve">The RCCS conducts population-based surveys every 18-24 months in agrarian, semi-urban trading, and Lake Victoria fishing communities in southern Uganda. Data in this study were collected over six RCCS survey rounds conducted between 2010 and 2020. As survey rounds occurred over more than a year, we herein refer to them by the median interview date. Communities that participated in the RCCS were categorized based on their geographic setting and primary economic activity (inland communities: agrarian / trading, Lake Victoria communities: fishing). These communities differ considerably in their HIV burden (HIV prevalence of</w:t>
      </w:r>
      <w:r>
        <w:t xml:space="preserve"> </w:t>
      </w:r>
      <m:oMath>
        <m:r>
          <m:rPr>
            <m:sty m:val="p"/>
          </m:rPr>
          <m:t>∼</m:t>
        </m:r>
      </m:oMath>
      <w:r>
        <w:t xml:space="preserve">14% [agrarian],</w:t>
      </w:r>
      <w:r>
        <w:t xml:space="preserve"> </w:t>
      </w:r>
      <m:oMath>
        <m:r>
          <m:rPr>
            <m:sty m:val="p"/>
          </m:rPr>
          <m:t>∼</m:t>
        </m:r>
      </m:oMath>
      <w:r>
        <w:t xml:space="preserve">17% [trading], and</w:t>
      </w:r>
      <w:r>
        <w:t xml:space="preserve"> </w:t>
      </w:r>
      <m:oMath>
        <m:r>
          <m:rPr>
            <m:sty m:val="p"/>
          </m:rPr>
          <m:t>∼</m:t>
        </m:r>
      </m:oMath>
      <w:r>
        <w:t xml:space="preserve">42% [fishing])</w:t>
      </w:r>
      <w:r>
        <w:t xml:space="preserve"> </w:t>
      </w:r>
      <w:r>
        <w:t xml:space="preserve">(Chang et al. 2016)</w:t>
      </w:r>
      <w:r>
        <w:t xml:space="preserve">. At each survey round, households were censused and all residents aged 15-49 who were able to provide consent (assent for those under 18) were invited to participate in a survey. Survey participants were eligible to participate exactly once in each survey round (</w:t>
      </w:r>
      <w:r>
        <w:t xml:space="preserve">“</w:t>
      </w:r>
      <w:r>
        <w:t xml:space="preserve">participant-visits</w:t>
      </w:r>
      <w:r>
        <w:t xml:space="preserve">”</w:t>
      </w:r>
      <w:r>
        <w:t xml:space="preserve">). As part of the survey, participants completed a detailed structured sociodemographic, behavioral, and health questionnaire. Specifically, participants were asked to self-report their sex, age, residency status (e.g. recent migration into a community), circumcision status (among males), occupation, occupation of sex partners in the year prior to the survey, and number of lifetime sex partners. As HIV is more prevalent among female sex and bar/restaurant workers</w:t>
      </w:r>
      <w:r>
        <w:t xml:space="preserve"> </w:t>
      </w:r>
      <w:r>
        <w:t xml:space="preserve">(Dambach et al. 2020; Popoola 2024)</w:t>
      </w:r>
      <w:r>
        <w:t xml:space="preserve">, we generated a composite variable indicating reported sex or bar/restaurant work among women and sex with a sex or bar/restaurant worker among men to determine if these individuals were at higher risk of being multiply infected.</w:t>
      </w:r>
    </w:p>
    <w:p>
      <w:pPr>
        <w:pStyle w:val="BodyText"/>
      </w:pPr>
      <w:r>
        <w:t xml:space="preserve">To account for the fact that the number of lifetime sex partners increases over the lifespan, we calculated the mean number of lifetime sex partners within population strata (</w:t>
      </w:r>
      <m:oMath>
        <m:r>
          <m:t>s</m:t>
        </m:r>
      </m:oMath>
      <w:r>
        <w:t xml:space="preserve">) defined by HIV serostatus, sex, age category in five year bins, and community type (inland / fishing) (</w:t>
      </w:r>
      <m:oMath>
        <m:acc>
          <m:accPr>
            <m:chr m:val="‾"/>
          </m:accPr>
          <m:e>
            <m:sSub>
              <m:e>
                <m:r>
                  <m:t>P</m:t>
                </m:r>
              </m:e>
              <m:sub>
                <m:r>
                  <m:t>s</m:t>
                </m:r>
              </m:sub>
            </m:sSub>
          </m:e>
        </m:acc>
      </m:oMath>
      <w:r>
        <w:t xml:space="preserve">) to allow for standardization of the observed responses. Responses of no lifetime sex partners were treated as missing data as HIV transmission in this setting is predominantly heterosexual</w:t>
      </w:r>
      <w:r>
        <w:t xml:space="preserve"> </w:t>
      </w:r>
      <w:r>
        <w:t xml:space="preserve">(</w:t>
      </w:r>
      <w:r>
        <w:t xml:space="preserve">“Global Aids Response Progress Report: Uganda January 2010-December 2012”</w:t>
      </w:r>
      <w:r>
        <w:t xml:space="preserve"> </w:t>
      </w:r>
      <w:r>
        <w:t xml:space="preserve">2012)</w:t>
      </w:r>
      <w:r>
        <w:t xml:space="preserve"> </w:t>
      </w:r>
      <w:r>
        <w:t xml:space="preserve">and we therefore expected these individuals to have had at least one sexual encounter in order to acquire HIV, although we cannot rule-out perinatal transmission with available data. When calculating</w:t>
      </w:r>
      <w:r>
        <w:t xml:space="preserve"> </w:t>
      </w:r>
      <m:oMath>
        <m:sSub>
          <m:e>
            <m:r>
              <m:t>P</m:t>
            </m:r>
          </m:e>
          <m:sub>
            <m:r>
              <m:t>s</m:t>
            </m:r>
          </m:sub>
        </m:sSub>
      </m:oMath>
      <w:r>
        <w:t xml:space="preserve"> </w:t>
      </w:r>
      <w:r>
        <w:t xml:space="preserve">missing data was imputed to the mean value of a lognormal distribution fit to all numeric responses of</w:t>
      </w:r>
      <w:r>
        <w:t xml:space="preserve"> </w:t>
      </w:r>
      <m:oMath>
        <m:r>
          <m:rPr>
            <m:sty m:val="p"/>
          </m:rPr>
          <m:t>≥</m:t>
        </m:r>
        <m:r>
          <m:t>1</m:t>
        </m:r>
      </m:oMath>
      <w:r>
        <w:t xml:space="preserve"> </w:t>
      </w:r>
      <w:r>
        <w:t xml:space="preserve">lifetime sex partner within strata defined by HIV serostatus, sex, age category, and community type. Additionally, some RCCS participants provided categorical responses (</w:t>
      </w:r>
      <w:r>
        <w:t xml:space="preserve">“</w:t>
      </w:r>
      <w:r>
        <w:t xml:space="preserve">1-2</w:t>
      </w:r>
      <w:r>
        <w:t xml:space="preserve">”</w:t>
      </w:r>
      <w:r>
        <w:t xml:space="preserve"> </w:t>
      </w:r>
      <w:r>
        <w:t xml:space="preserve">and</w:t>
      </w:r>
      <w:r>
        <w:t xml:space="preserve"> </w:t>
      </w:r>
      <w:r>
        <w:t xml:space="preserve">“</w:t>
      </w:r>
      <w:r>
        <w:t xml:space="preserve">3+</w:t>
      </w:r>
      <w:r>
        <w:t xml:space="preserve">”</w:t>
      </w:r>
      <w:r>
        <w:t xml:space="preserve"> </w:t>
      </w:r>
      <w:r>
        <w:t xml:space="preserve">lifetime sex partners). To calculate</w:t>
      </w:r>
      <w:r>
        <w:t xml:space="preserve"> </w:t>
      </w:r>
      <m:oMath>
        <m:sSub>
          <m:e>
            <m:r>
              <m:t>P</m:t>
            </m:r>
          </m:e>
          <m:sub>
            <m:r>
              <m:t>s</m:t>
            </m:r>
          </m:sub>
        </m:sSub>
      </m:oMath>
      <w:r>
        <w:t xml:space="preserve">, we first imputed these values to a numeric response. Responses of</w:t>
      </w:r>
      <w:r>
        <w:t xml:space="preserve"> </w:t>
      </w:r>
      <w:r>
        <w:t xml:space="preserve">“</w:t>
      </w:r>
      <w:r>
        <w:t xml:space="preserve">1-2</w:t>
      </w:r>
      <w:r>
        <w:t xml:space="preserve">”</w:t>
      </w:r>
      <w:r>
        <w:t xml:space="preserve"> </w:t>
      </w:r>
      <w:r>
        <w:t xml:space="preserve">were imputed to the mean response among PLHIV reporting either one or two lifetime sex partners within strata. Similarly, responses of</w:t>
      </w:r>
      <w:r>
        <w:t xml:space="preserve"> </w:t>
      </w:r>
      <w:r>
        <w:t xml:space="preserve">“</w:t>
      </w:r>
      <w:r>
        <w:t xml:space="preserve">3+</w:t>
      </w:r>
      <w:r>
        <w:t xml:space="preserve">”</w:t>
      </w:r>
      <w:r>
        <w:t xml:space="preserve"> </w:t>
      </w:r>
      <w:r>
        <w:t xml:space="preserve">were imputed to the mean value of a lognormal distribution fit to all numeric responses of</w:t>
      </w:r>
      <w:r>
        <w:t xml:space="preserve"> </w:t>
      </w:r>
      <m:oMath>
        <m:r>
          <m:rPr>
            <m:sty m:val="p"/>
          </m:rPr>
          <m:t>≥</m:t>
        </m:r>
        <m:r>
          <m:t>3</m:t>
        </m:r>
      </m:oMath>
      <w:r>
        <w:t xml:space="preserve"> </w:t>
      </w:r>
      <w:r>
        <w:t xml:space="preserve">lifetime partners within strata as above.</w:t>
      </w:r>
    </w:p>
    <w:p>
      <w:pPr>
        <w:pStyle w:val="BodyText"/>
      </w:pPr>
      <w:r>
        <w:t xml:space="preserve">In addition to completing the survey questionnaire, participants provided venous blood samples for HIV testing, viral load quantification, and viral deep sequencing. HIV serostatus was evaluated using a validated rapid test algorithm</w:t>
      </w:r>
      <w:r>
        <w:t xml:space="preserve"> </w:t>
      </w:r>
      <w:r>
        <w:t xml:space="preserve">(Kagulire et al. 2011)</w:t>
      </w:r>
      <w:r>
        <w:t xml:space="preserve">. HIV viral load quantification was conducted using the Abbott real-time m2000 assay (Abbott Laboratories). All participants provided written informed consent for the study. The RCCS is administered by the Rakai Health Sciences Program (RHSP) and has received ethical approval from the Uganda Virus Research Institute’s Research and Ethics Committee (HS540), the Uganda National Council for Science and Technology (GC/127/08/12/137), and the Johns Hopkins School of Medicine (IRB00217467).</w:t>
      </w:r>
    </w:p>
    <w:bookmarkEnd w:id="23"/>
    <w:bookmarkStart w:id="24" w:name="Xa8d5d61950a7e882107cf4a171a8ae7ce74274b"/>
    <w:p>
      <w:pPr>
        <w:pStyle w:val="Heading2"/>
      </w:pPr>
      <w:r>
        <w:t xml:space="preserve">HIV deep sequencing and bioinformatic processing</w:t>
      </w:r>
    </w:p>
    <w:p>
      <w:pPr>
        <w:pStyle w:val="FirstParagraph"/>
      </w:pPr>
      <w:r>
        <w:t xml:space="preserve">HIV deep-sequence data from RCCS participants was generated through the Phylogenetics and Networks for Generalized HIV Epidemics in Africa consortium (PANGEA-HIV) </w:t>
      </w:r>
      <w:r>
        <w:t xml:space="preserve">(Pillay et al. 2015; Abeler-Dörner et al. 2019)</w:t>
      </w:r>
      <w:r>
        <w:t xml:space="preserve">. Phylogenetic inference was performed using all available deep-sequence data for each participant. To avoid biasing our inferences, for individuals that participated in multiple survey rounds we used only the data from the sample with the highest genome coverage or the highest viral load in the case of ties in our analyses. As sequencing quality decreases at lower viral loads </w:t>
      </w:r>
      <w:r>
        <w:t xml:space="preserve">(Bonsall et al. 2020)</w:t>
      </w:r>
      <w:r>
        <w:t xml:space="preserve">, we included only samples from viremic participants (</w:t>
      </w:r>
      <m:oMath>
        <m:r>
          <m:rPr>
            <m:sty m:val="p"/>
          </m:rPr>
          <m:t>≥</m:t>
        </m:r>
        <m:r>
          <m:t>1</m:t>
        </m:r>
        <m:r>
          <m:rPr>
            <m:sty m:val="p"/>
          </m:rPr>
          <m:t>,</m:t>
        </m:r>
        <m:r>
          <m:t>000</m:t>
        </m:r>
      </m:oMath>
      <w:r>
        <w:t xml:space="preserve"> </w:t>
      </w:r>
      <w:r>
        <w:t xml:space="preserve">copies/mL) PLHIV.</w:t>
      </w:r>
    </w:p>
    <w:p>
      <w:pPr>
        <w:pStyle w:val="BodyText"/>
      </w:pPr>
      <w:r>
        <w:t xml:space="preserve">Deep-sequencing was performed with two protocols (S1 Table), as previously described </w:t>
      </w:r>
      <w:r>
        <w:t xml:space="preserve">(Monod et al. 2023)</w:t>
      </w:r>
      <w:r>
        <w:t xml:space="preserve">. Briefly, for sequence data generated through the amplicon protocol, viral RNA was extracted from plasma samples on the QIAsymphony SP workstation with the QIAsymphony DSP Virus/Pathogen Kit. cDNA was generated through one-step reverse transcription PCR protocol using universal HIV-1 primers designed to generate four overlapping amplicons across the HIV-1 genome </w:t>
      </w:r>
      <w:r>
        <w:t xml:space="preserve">(Gall et al. 2012)</w:t>
      </w:r>
      <w:r>
        <w:t xml:space="preserve">. Deep-sequencing was conducted at the Wellcome Trust Sanger Institute core facility using the Illumina MiSeq and HiSeq platforms. To generate sequence data using the bait-capture protocol viral RNA was similarly extracted using the QIAsymphony DSP Virus/Pathogen Kit followed by library preparation according to the veSEQ-HIV protocol </w:t>
      </w:r>
      <w:r>
        <w:t xml:space="preserve">(Bonsall et al. 2020)</w:t>
      </w:r>
      <w:r>
        <w:t xml:space="preserve">. Library preparation was performed using the SMARTer Stranded Total RNA-Seq v2-PicoInputMammalian (Clontech, TakaRaBio) kit and double-stranded dual-indexed cDNA generated using in-house indexed primers. Libraries were pooled and cleaned with Agencourt AMPure XMP. Pooled libraries were hybridized to HIV-specific biotinylated 120-mer oligonucleotides (xGen Lockdown Probes, Integrated DNA Technologies) and isolated with streptavidin-conjugated beads. Captured libraries were PCR amplified prior to generation of 350-600 base pair (bp) paired-ends reads with the Illumina NovaSeq 6000 at the Oxford Genomic Centre.</w:t>
      </w:r>
    </w:p>
    <w:p>
      <w:pPr>
        <w:pStyle w:val="BodyText"/>
      </w:pPr>
      <w:r>
        <w:t xml:space="preserve">Kraken v.0.10.5-beta </w:t>
      </w:r>
      <w:r>
        <w:t xml:space="preserve">(Wood and Salzberg 2014)</w:t>
      </w:r>
      <w:r>
        <w:t xml:space="preserve"> </w:t>
      </w:r>
      <w:r>
        <w:t xml:space="preserve">with a custom database of human, bacterial, archael, viral, and fungal genomes was used to isolate reads of viral and unknown origin which were trimmed of adaptors and low-quality bases using trimmomatic </w:t>
      </w:r>
      <w:r>
        <w:t xml:space="preserve">(Bolger, Lohse, and Usadel 2014)</w:t>
      </w:r>
      <w:r>
        <w:t xml:space="preserve"> </w:t>
      </w:r>
      <w:r>
        <w:t xml:space="preserve">v.0.36/0.39. Trimmed reads were</w:t>
      </w:r>
      <w:r>
        <w:t xml:space="preserve"> </w:t>
      </w:r>
      <w:r>
        <w:rPr>
          <w:i/>
          <w:iCs/>
        </w:rPr>
        <w:t xml:space="preserve">de novo</w:t>
      </w:r>
      <w:r>
        <w:t xml:space="preserve"> </w:t>
      </w:r>
      <w:r>
        <w:t xml:space="preserve">assembled into contigs using SPAdes </w:t>
      </w:r>
      <w:r>
        <w:t xml:space="preserve">(Bankevich et al. 2012)</w:t>
      </w:r>
      <w:r>
        <w:t xml:space="preserve"> </w:t>
      </w:r>
      <w:r>
        <w:t xml:space="preserve">and metaSPAdes </w:t>
      </w:r>
      <w:r>
        <w:t xml:space="preserve">(Nurk et al. 2017)</w:t>
      </w:r>
      <w:r>
        <w:t xml:space="preserve"> </w:t>
      </w:r>
      <w:r>
        <w:t xml:space="preserve">v.3.10. Shiver v.1.5.7 </w:t>
      </w:r>
      <w:r>
        <w:t xml:space="preserve">(Wymant et al. 2018)</w:t>
      </w:r>
      <w:r>
        <w:t xml:space="preserve"> </w:t>
      </w:r>
      <w:r>
        <w:t xml:space="preserve">was used to align reads to a reference sequence constructed for each sample using these contigs.</w:t>
      </w:r>
    </w:p>
    <w:bookmarkEnd w:id="24"/>
    <w:bookmarkStart w:id="26" w:name="sec:phsc_methods"/>
    <w:p>
      <w:pPr>
        <w:pStyle w:val="Heading2"/>
      </w:pPr>
      <w:r>
        <w:t xml:space="preserve">Inference of within-host deep-sequence phylogenetic trees</w:t>
      </w:r>
    </w:p>
    <w:p>
      <w:pPr>
        <w:pStyle w:val="FirstParagraph"/>
      </w:pPr>
      <w:r>
        <w:t xml:space="preserve">To improve the computational efficiency of our within-host deep-sequence phylogenetic analysis we first clustered participants with HIV into putative transmission networks as previously described (S1 File)</w:t>
      </w:r>
      <w:r>
        <w:t xml:space="preserve"> </w:t>
      </w:r>
      <w:r>
        <w:t xml:space="preserve">(Monod et al. 2023; Xi 2021)</w:t>
      </w:r>
      <w:r>
        <w:t xml:space="preserve">, and then grouped putative networks into batches for deep-sequence phylogenetic analyses.</w:t>
      </w:r>
    </w:p>
    <w:p>
      <w:pPr>
        <w:pStyle w:val="BodyText"/>
      </w:pPr>
      <w:r>
        <w:t xml:space="preserve">Deep-sequence data belonging to participants in each batch were further processed with</w:t>
      </w:r>
      <w:r>
        <w:t xml:space="preserve"> </w:t>
      </w:r>
      <w:r>
        <w:rPr>
          <w:i/>
          <w:iCs/>
        </w:rPr>
        <w:t xml:space="preserve">phyloscanner</w:t>
      </w:r>
      <w:r>
        <w:t xml:space="preserve"> </w:t>
      </w:r>
      <w:r>
        <w:t xml:space="preserve">(Wymant et al. 2017)</w:t>
      </w:r>
      <w:r>
        <w:t xml:space="preserve"> </w:t>
      </w:r>
      <w:r>
        <w:t xml:space="preserve">v.1.8.1 to infer within-host phylogenetic trees in 287 sliding windows of length 250 bp with a step size of 25 across the HIV genome as in</w:t>
      </w:r>
      <w:r>
        <w:t xml:space="preserve"> </w:t>
      </w:r>
      <w:r>
        <w:t xml:space="preserve">(Monod et al. 2023)</w:t>
      </w:r>
      <w:r>
        <w:t xml:space="preserve">. Windows around the envelope (</w:t>
      </w:r>
      <w:r>
        <w:rPr>
          <w:i/>
          <w:iCs/>
        </w:rPr>
        <w:t xml:space="preserve">env</w:t>
      </w:r>
      <w:r>
        <w:t xml:space="preserve">) glycoprotein variable loop regions were excluded as genetic diversity in this portion of the genome </w:t>
      </w:r>
      <w:r>
        <w:t xml:space="preserve">(Lynch et al. 2009)</w:t>
      </w:r>
      <w:r>
        <w:t xml:space="preserve"> </w:t>
      </w:r>
      <w:r>
        <w:t xml:space="preserve">led to poor sequence alignment and unreliable within-host phylogenetic trees. In addition to deep-sequence data from RCCS participants, we included as phylogenetic background 113 consensus sequences from representative subtypes and circulating forms and 200 near full-length consensus sequences from Kenya, Uganda, and Tanzania (Los Alamos National Laboratory HIV Sequence Database,</w:t>
      </w:r>
      <w:r>
        <w:t xml:space="preserve"> </w:t>
      </w:r>
      <w:hyperlink r:id="rId25">
        <w:r>
          <w:rPr>
            <w:rStyle w:val="Hyperlink"/>
          </w:rPr>
          <w:t xml:space="preserve">http://www.hiv.lanl.gov</w:t>
        </w:r>
      </w:hyperlink>
      <w:r>
        <w:t xml:space="preserve">, S2 File). Within</w:t>
      </w:r>
      <w:r>
        <w:t xml:space="preserve"> </w:t>
      </w:r>
      <w:r>
        <w:rPr>
          <w:i/>
          <w:iCs/>
        </w:rPr>
        <w:t xml:space="preserve">phyloscanner</w:t>
      </w:r>
      <w:r>
        <w:t xml:space="preserve">, MAFFT v.7.475</w:t>
      </w:r>
      <w:r>
        <w:t xml:space="preserve"> </w:t>
      </w:r>
      <w:r>
        <w:t xml:space="preserve">(Katoh et al. 2002)</w:t>
      </w:r>
      <w:r>
        <w:t xml:space="preserve"> </w:t>
      </w:r>
      <w:r>
        <w:t xml:space="preserve">with iterative refinement and iterative re-alignment using consistency scores was used to align sequencing reads and IQ-TREE v.2.0.3 with the GTR+F+R(Free-Rate)6 substitution model was used for phylogenetic inference </w:t>
      </w:r>
      <w:r>
        <w:t xml:space="preserve">(Nguyen et al. 2015; Minh et al. 2020)</w:t>
      </w:r>
      <w:r>
        <w:t xml:space="preserve">. Phylogenetic branch lengths within</w:t>
      </w:r>
      <w:r>
        <w:t xml:space="preserve"> </w:t>
      </w:r>
      <w:r>
        <w:rPr>
          <w:i/>
          <w:iCs/>
        </w:rPr>
        <w:t xml:space="preserve">phyloscanner</w:t>
      </w:r>
      <w:r>
        <w:t xml:space="preserve"> </w:t>
      </w:r>
      <w:r>
        <w:t xml:space="preserve">were adjusted to account for varying substitution rates across the HIV genome as described in </w:t>
      </w:r>
      <w:r>
        <w:t xml:space="preserve">(Ratmann et al. 2019)</w:t>
      </w:r>
      <w:r>
        <w:t xml:space="preserve"> </w:t>
      </w:r>
      <w:r>
        <w:t xml:space="preserve">(S3 File). Adjusted distances can be interpreted as average distances expected in the</w:t>
      </w:r>
      <w:r>
        <w:t xml:space="preserve"> </w:t>
      </w:r>
      <w:r>
        <w:rPr>
          <w:i/>
          <w:iCs/>
        </w:rPr>
        <w:t xml:space="preserve">pol</w:t>
      </w:r>
      <w:r>
        <w:t xml:space="preserve"> </w:t>
      </w:r>
      <w:r>
        <w:t xml:space="preserve">gene. The genomic coordinates of input sequence data were standardized to the coordinates of the HIV-1 HXB2 reference genome (GenBank: K03455.1).</w:t>
      </w:r>
    </w:p>
    <w:p>
      <w:pPr>
        <w:pStyle w:val="BodyText"/>
      </w:pPr>
      <w:r>
        <w:t xml:space="preserve">For each participant,</w:t>
      </w:r>
      <w:r>
        <w:t xml:space="preserve"> </w:t>
      </w:r>
      <w:r>
        <w:rPr>
          <w:i/>
          <w:iCs/>
        </w:rPr>
        <w:t xml:space="preserve">phyloscanner</w:t>
      </w:r>
      <w:r>
        <w:t xml:space="preserve"> </w:t>
      </w:r>
      <w:r>
        <w:t xml:space="preserve">was used to estimate the number of genetically distinct phylogenetic lineages (subgraphs) in each genome window using a modified parsimony algorithm. In each window, for each participant, the given phylogenetic tree was pruned to include only tips from the given participant and the specified outgroup (here, the subtype H consensus sequence). Ancestral nodes in the pruned tree were assigned to one of two states: either that of the participant or an unsampled</w:t>
      </w:r>
      <w:r>
        <w:t xml:space="preserve"> </w:t>
      </w:r>
      <w:r>
        <w:t xml:space="preserve">“</w:t>
      </w:r>
      <w:r>
        <w:t xml:space="preserve">unassigned</w:t>
      </w:r>
      <w:r>
        <w:t xml:space="preserve">”</w:t>
      </w:r>
      <w:r>
        <w:t xml:space="preserve"> </w:t>
      </w:r>
      <w:r>
        <w:t xml:space="preserve">state (to which the outgroup and root of the phylogeny was assigned), representing the lineages that are evolutionarily ancestral to the lineages that initiated a given host’s infection. To accurately assign nodes without relying on patterns of phylogenetic clustering with reference sequences, we employed a modified Sankoff minimum parsimony algorithm for ancestral state reconstruction as described in </w:t>
      </w:r>
      <w:r>
        <w:t xml:space="preserve">(Sankoff 1975; Wymant et al. 2017)</w:t>
      </w:r>
      <w:r>
        <w:t xml:space="preserve">. This algorithm assigns a cost (</w:t>
      </w:r>
      <m:oMath>
        <m:r>
          <m:t>c</m:t>
        </m:r>
        <m:d>
          <m:dPr>
            <m:begChr m:val="("/>
            <m:endChr m:val=")"/>
            <m:sepChr m:val=""/>
            <m:grow/>
          </m:dPr>
          <m:e>
            <m:r>
              <m:t>n</m:t>
            </m:r>
            <m:r>
              <m:rPr>
                <m:sty m:val="p"/>
              </m:rPr>
              <m:t>,</m:t>
            </m:r>
            <m:r>
              <m:t>h</m:t>
            </m:r>
          </m:e>
        </m:d>
      </m:oMath>
      <w:r>
        <w:t xml:space="preserve">) to a state change along a lineage ending at ancestral node</w:t>
      </w:r>
      <w:r>
        <w:t xml:space="preserve"> </w:t>
      </w:r>
      <m:oMath>
        <m:r>
          <m:t>n</m:t>
        </m:r>
      </m:oMath>
      <w:r>
        <w:t xml:space="preserve"> </w:t>
      </w:r>
      <w:r>
        <w:t xml:space="preserve">that is proportional to the sum of the branch lengths descendant from that node that give rise to tips form host</w:t>
      </w:r>
      <w:r>
        <w:t xml:space="preserve"> </w:t>
      </w:r>
      <m:oMath>
        <m:r>
          <m:t>h</m:t>
        </m:r>
      </m:oMath>
      <w:r>
        <w:t xml:space="preserve"> </w:t>
      </w:r>
      <w:r>
        <w:t xml:space="preserve">(</w:t>
      </w:r>
      <m:oMath>
        <m:r>
          <m:t>l</m:t>
        </m:r>
        <m:d>
          <m:dPr>
            <m:begChr m:val="("/>
            <m:endChr m:val=")"/>
            <m:sepChr m:val=""/>
            <m:grow/>
          </m:dPr>
          <m:e>
            <m:r>
              <m:t>n</m:t>
            </m:r>
            <m:r>
              <m:rPr>
                <m:sty m:val="p"/>
              </m:rPr>
              <m:t>,</m:t>
            </m:r>
            <m:r>
              <m:t>h</m:t>
            </m:r>
          </m:e>
        </m:d>
      </m:oMath>
      <w:r>
        <w:t xml:space="preserve">). As tips from all other subjects with the exception of the outgroup were pruned from the tree prior to this procedure, this is equivalent to the sum of the total branch length of the subtree with node</w:t>
      </w:r>
      <w:r>
        <w:t xml:space="preserve"> </w:t>
      </w:r>
      <m:oMath>
        <m:r>
          <m:t>n</m:t>
        </m:r>
      </m:oMath>
      <w:r>
        <w:t xml:space="preserve"> </w:t>
      </w:r>
      <w:r>
        <w:t xml:space="preserve">as its root. Specifically, this cost was calculated as:</w:t>
      </w:r>
    </w:p>
    <w:p>
      <w:pPr>
        <w:pStyle w:val="BodyText"/>
      </w:pPr>
      <m:oMathPara>
        <m:oMathParaPr>
          <m:jc m:val="center"/>
        </m:oMathParaPr>
        <m:oMath>
          <m:r>
            <m:t>c</m:t>
          </m:r>
          <m:d>
            <m:dPr>
              <m:begChr m:val="("/>
              <m:endChr m:val=")"/>
              <m:sepChr m:val=""/>
              <m:grow/>
            </m:dPr>
            <m:e>
              <m:r>
                <m:t>n</m:t>
              </m:r>
              <m:r>
                <m:rPr>
                  <m:sty m:val="p"/>
                </m:rPr>
                <m:t>,</m:t>
              </m:r>
              <m:r>
                <m:t>h</m:t>
              </m:r>
            </m:e>
          </m:d>
          <m:r>
            <m:rPr>
              <m:sty m:val="p"/>
            </m:rPr>
            <m:t>=</m:t>
          </m:r>
          <m:r>
            <m:t>1</m:t>
          </m:r>
          <m:r>
            <m:rPr>
              <m:sty m:val="p"/>
            </m:rPr>
            <m:t>+</m:t>
          </m:r>
          <m:r>
            <m:t>k</m:t>
          </m:r>
          <m:r>
            <m:rPr>
              <m:sty m:val="p"/>
            </m:rPr>
            <m:t>×</m:t>
          </m:r>
          <m:r>
            <m:t>l</m:t>
          </m:r>
          <m:d>
            <m:dPr>
              <m:begChr m:val="("/>
              <m:endChr m:val=")"/>
              <m:sepChr m:val=""/>
              <m:grow/>
            </m:dPr>
            <m:e>
              <m:r>
                <m:t>n</m:t>
              </m:r>
              <m:r>
                <m:rPr>
                  <m:sty m:val="p"/>
                </m:rPr>
                <m:t>,</m:t>
              </m:r>
              <m:r>
                <m:t>h</m:t>
              </m:r>
            </m:e>
          </m:d>
          <m:r>
            <m:rPr>
              <m:sty m:val="p"/>
            </m:rPr>
            <m:t>,</m:t>
          </m:r>
        </m:oMath>
      </m:oMathPara>
    </w:p>
    <w:p>
      <w:pPr>
        <w:pStyle w:val="FirstParagraph"/>
      </w:pPr>
      <w:r>
        <w:t xml:space="preserve">where</w:t>
      </w:r>
      <w:r>
        <w:t xml:space="preserve"> </w:t>
      </w:r>
      <m:oMath>
        <m:r>
          <m:t>k</m:t>
        </m:r>
      </m:oMath>
      <w:r>
        <w:t xml:space="preserve"> </w:t>
      </w:r>
      <w:r>
        <w:t xml:space="preserve">is a tuneable constant that controls the penalty associated with fewer host</w:t>
      </w:r>
      <w:r>
        <w:t xml:space="preserve"> </w:t>
      </w:r>
      <m:oMath>
        <m:r>
          <m:t>h</m:t>
        </m:r>
      </m:oMath>
      <w:r>
        <w:t xml:space="preserve"> </w:t>
      </w:r>
      <w:r>
        <w:t xml:space="preserve">subgraphs. Traditional parsimony is recovered when</w:t>
      </w:r>
      <w:r>
        <w:t xml:space="preserve"> </w:t>
      </w:r>
      <m:oMath>
        <m:r>
          <m:t>k</m:t>
        </m:r>
        <m:r>
          <m:rPr>
            <m:sty m:val="p"/>
          </m:rPr>
          <m:t>=</m:t>
        </m:r>
        <m:r>
          <m:t>0</m:t>
        </m:r>
      </m:oMath>
      <w:r>
        <w:t xml:space="preserve">. As</w:t>
      </w:r>
      <w:r>
        <w:t xml:space="preserve"> </w:t>
      </w:r>
      <m:oMath>
        <m:r>
          <m:t>k</m:t>
        </m:r>
        <m:r>
          <m:rPr>
            <m:sty m:val="p"/>
          </m:rPr>
          <m:t>→</m:t>
        </m:r>
        <m:r>
          <m:rPr>
            <m:sty m:val="p"/>
          </m:rPr>
          <m:t>∞</m:t>
        </m:r>
      </m:oMath>
      <w:r>
        <w:t xml:space="preserve">, each tip belonging to host</w:t>
      </w:r>
      <w:r>
        <w:t xml:space="preserve"> </w:t>
      </w:r>
      <m:oMath>
        <m:r>
          <m:t>h</m:t>
        </m:r>
      </m:oMath>
      <w:r>
        <w:t xml:space="preserve"> </w:t>
      </w:r>
      <w:r>
        <w:t xml:space="preserve">will be assigned to a unique subgraph. Here, we parameterized</w:t>
      </w:r>
      <w:r>
        <w:t xml:space="preserve"> </w:t>
      </w:r>
      <m:oMath>
        <m:r>
          <m:t>k</m:t>
        </m:r>
      </m:oMath>
      <w:r>
        <w:t xml:space="preserve"> </w:t>
      </w:r>
      <w:r>
        <w:t xml:space="preserve">with the goal of distinguishing evolutionary divergence that occurred within a host over the course of infection from that which occurred prior to a given host becoming infected. We conservatively used a</w:t>
      </w:r>
      <w:r>
        <w:t xml:space="preserve"> </w:t>
      </w:r>
      <m:oMath>
        <m:r>
          <m:t>k</m:t>
        </m:r>
      </m:oMath>
      <w:r>
        <w:t xml:space="preserve"> </w:t>
      </w:r>
      <w:r>
        <w:t xml:space="preserve">value of 15 such that</w:t>
      </w:r>
      <w:r>
        <w:t xml:space="preserve"> </w:t>
      </w:r>
      <m:oMath>
        <m:f>
          <m:fPr>
            <m:type m:val="bar"/>
          </m:fPr>
          <m:num>
            <m:r>
              <m:t>1</m:t>
            </m:r>
          </m:num>
          <m:den>
            <m:r>
              <m:t>k</m:t>
            </m:r>
          </m:den>
        </m:f>
        <m:r>
          <m:rPr>
            <m:sty m:val="p"/>
          </m:rPr>
          <m:t>=</m:t>
        </m:r>
        <m:r>
          <m:t>0.067</m:t>
        </m:r>
      </m:oMath>
      <w:r>
        <w:t xml:space="preserve">, which is greater than the 99th percentile of the pairwise genetic distances between epidemiologically confirmed HIV transmission pairs</w:t>
      </w:r>
      <w:r>
        <w:t xml:space="preserve"> </w:t>
      </w:r>
      <w:r>
        <w:t xml:space="preserve">(Ratmann et al. 2019)</w:t>
      </w:r>
      <w:r>
        <w:t xml:space="preserve"> </w:t>
      </w:r>
      <w:r>
        <w:t xml:space="preserve">and comparable to within-subtype HIV genetic diversity within Rakai</w:t>
      </w:r>
      <w:r>
        <w:t xml:space="preserve"> </w:t>
      </w:r>
      <w:r>
        <w:t xml:space="preserve">(Kim et al. 2024)</w:t>
      </w:r>
      <w:r>
        <w:t xml:space="preserve">.</w:t>
      </w:r>
    </w:p>
    <w:p>
      <w:pPr>
        <w:pStyle w:val="BodyText"/>
      </w:pPr>
      <w:r>
        <w:t xml:space="preserve">Quality filtering of inferred within-participant phylogenetic trees was performed with</w:t>
      </w:r>
      <w:r>
        <w:t xml:space="preserve"> </w:t>
      </w:r>
      <w:r>
        <w:rPr>
          <w:i/>
          <w:iCs/>
        </w:rPr>
        <w:t xml:space="preserve">phyloscanner</w:t>
      </w:r>
      <w:r>
        <w:t xml:space="preserve">. Specifically, within each window, subgraphs with less than three reads or less than 1% of reads from a particular participant were marked as putative contaminants and removed from the analysis. To mask regions with insufficient data for reliable phylogenetic inference any window with less than 30 reads from a given participant after aforementioned filter was also removed from the analysis. After filtering we identified the subgraphs with data from the deep-sequenced reads from each sequenced sample for a given participant.</w:t>
      </w:r>
    </w:p>
    <w:bookmarkEnd w:id="26"/>
    <w:bookmarkStart w:id="37" w:name="sec:model_methods"/>
    <w:p>
      <w:pPr>
        <w:pStyle w:val="Heading2"/>
      </w:pPr>
      <w:r>
        <w:t xml:space="preserve">Bayesian model to identify multiple infections</w:t>
      </w:r>
    </w:p>
    <w:p>
      <w:pPr>
        <w:pStyle w:val="FirstParagraph"/>
      </w:pPr>
      <w:r>
        <w:t xml:space="preserve">We developed a Bayesian statistical model to identify samples harboring multiple infections and estimate the prevalence of multiple infections in a set of deep-sequencing reads that were processed with</w:t>
      </w:r>
      <w:r>
        <w:t xml:space="preserve"> </w:t>
      </w:r>
      <w:r>
        <w:rPr>
          <w:i/>
          <w:iCs/>
        </w:rPr>
        <w:t xml:space="preserve">phyloscanner</w:t>
      </w:r>
      <w:r>
        <w:t xml:space="preserve">. We refer to this model as the the deep-phylo multiple infection model (</w:t>
      </w:r>
      <w:r>
        <w:rPr>
          <w:i/>
          <w:iCs/>
        </w:rPr>
        <w:t xml:space="preserve">deep-phyloMI</w:t>
      </w:r>
      <w:r>
        <w:t xml:space="preserve">). We first summarized the</w:t>
      </w:r>
      <w:r>
        <w:t xml:space="preserve"> </w:t>
      </w:r>
      <w:r>
        <w:rPr>
          <w:i/>
          <w:iCs/>
        </w:rPr>
        <w:t xml:space="preserve">phyloscanner</w:t>
      </w:r>
      <w:r>
        <w:t xml:space="preserve"> </w:t>
      </w:r>
      <w:r>
        <w:t xml:space="preserve">output for each sample and each genomic window in terms of two binary variables,</w:t>
      </w:r>
      <w:r>
        <w:t xml:space="preserve"> </w:t>
      </w:r>
      <m:oMath>
        <m:sSubSup>
          <m:e>
            <m:r>
              <m:t>N</m:t>
            </m:r>
          </m:e>
          <m:sub>
            <m:r>
              <m:t>i</m:t>
            </m:r>
            <m:r>
              <m:rPr>
                <m:sty m:val="p"/>
              </m:rPr>
              <m:t>=</m:t>
            </m:r>
            <m:r>
              <m:t>1</m:t>
            </m:r>
            <m:r>
              <m:rPr>
                <m:sty m:val="p"/>
              </m:rPr>
              <m:t>.</m:t>
            </m:r>
            <m:r>
              <m:rPr>
                <m:sty m:val="p"/>
              </m:rPr>
              <m:t>.</m:t>
            </m:r>
            <m:r>
              <m:rPr>
                <m:sty m:val="p"/>
              </m:rPr>
              <m:t>.</m:t>
            </m:r>
            <m:r>
              <m:t>n</m:t>
            </m:r>
            <m:r>
              <m:rPr>
                <m:sty m:val="p"/>
              </m:rPr>
              <m:t>,</m:t>
            </m:r>
            <m:r>
              <m:t>w</m:t>
            </m:r>
          </m:sub>
          <m:sup>
            <m:r>
              <m:t>o</m:t>
            </m:r>
            <m:r>
              <m:t>b</m:t>
            </m:r>
            <m:r>
              <m:t>s</m:t>
            </m:r>
          </m:sup>
        </m:sSubSup>
      </m:oMath>
      <w:r>
        <w:t xml:space="preserve"> </w:t>
      </w:r>
      <w:r>
        <w:t xml:space="preserve">(presence/absence of sequencing reads from sample</w:t>
      </w:r>
      <w:r>
        <w:t xml:space="preserve"> </w:t>
      </w:r>
      <m:oMath>
        <m:r>
          <m:t>i</m:t>
        </m:r>
      </m:oMath>
      <w:r>
        <w:t xml:space="preserve"> </w:t>
      </w:r>
      <w:r>
        <w:t xml:space="preserve">in window</w:t>
      </w:r>
      <w:r>
        <w:t xml:space="preserve"> </w:t>
      </w:r>
      <m:oMath>
        <m:r>
          <m:t>w</m:t>
        </m:r>
      </m:oMath>
      <w:r>
        <w:t xml:space="preserve"> </w:t>
      </w:r>
      <w:r>
        <w:t xml:space="preserve">following</w:t>
      </w:r>
      <w:r>
        <w:t xml:space="preserve"> </w:t>
      </w:r>
      <w:r>
        <w:rPr>
          <w:i/>
          <w:iCs/>
        </w:rPr>
        <w:t xml:space="preserve">phyloscanner</w:t>
      </w:r>
      <w:r>
        <w:t xml:space="preserve"> </w:t>
      </w:r>
      <w:r>
        <w:t xml:space="preserve">contamination filtering) and</w:t>
      </w:r>
      <w:r>
        <w:t xml:space="preserve"> </w:t>
      </w:r>
      <m:oMath>
        <m:sSubSup>
          <m:e>
            <m:r>
              <m:t>M</m:t>
            </m:r>
          </m:e>
          <m:sub>
            <m:r>
              <m:t>i</m:t>
            </m:r>
            <m:r>
              <m:rPr>
                <m:sty m:val="p"/>
              </m:rPr>
              <m:t>=</m:t>
            </m:r>
            <m:r>
              <m:t>1</m:t>
            </m:r>
            <m:r>
              <m:rPr>
                <m:sty m:val="p"/>
              </m:rPr>
              <m:t>.</m:t>
            </m:r>
            <m:r>
              <m:rPr>
                <m:sty m:val="p"/>
              </m:rPr>
              <m:t>.</m:t>
            </m:r>
            <m:r>
              <m:rPr>
                <m:sty m:val="p"/>
              </m:rPr>
              <m:t>.</m:t>
            </m:r>
            <m:r>
              <m:t>n</m:t>
            </m:r>
            <m:r>
              <m:rPr>
                <m:sty m:val="p"/>
              </m:rPr>
              <m:t>,</m:t>
            </m:r>
            <m:r>
              <m:t>w</m:t>
            </m:r>
          </m:sub>
          <m:sup>
            <m:r>
              <m:rPr>
                <m:nor/>
                <m:sty m:val="p"/>
              </m:rPr>
              <m:t>obs</m:t>
            </m:r>
          </m:sup>
        </m:sSubSup>
      </m:oMath>
      <w:r>
        <w:t xml:space="preserve"> </w:t>
      </w:r>
      <w:r>
        <w:t xml:space="preserve">(presence/absence of multiple subgraphs for sample</w:t>
      </w:r>
      <w:r>
        <w:t xml:space="preserve"> </w:t>
      </w:r>
      <m:oMath>
        <m:r>
          <m:t>i</m:t>
        </m:r>
      </m:oMath>
      <w:r>
        <w:t xml:space="preserve"> </w:t>
      </w:r>
      <w:r>
        <w:t xml:space="preserve">in window</w:t>
      </w:r>
      <w:r>
        <w:t xml:space="preserve"> </w:t>
      </w:r>
      <m:oMath>
        <m:r>
          <m:t>w</m:t>
        </m:r>
      </m:oMath>
      <w:r>
        <w:t xml:space="preserve">) where</w:t>
      </w:r>
      <w:r>
        <w:t xml:space="preserve"> </w:t>
      </w:r>
      <m:oMath>
        <m:r>
          <m:t>n</m:t>
        </m:r>
      </m:oMath>
      <w:r>
        <w:t xml:space="preserve"> </w:t>
      </w:r>
      <w:r>
        <w:t xml:space="preserve">is the number of sequenced samples. To simplify notation below, when</w:t>
      </w:r>
      <w:r>
        <w:t xml:space="preserve"> </w:t>
      </w:r>
      <m:oMath>
        <m:sSubSup>
          <m:e>
            <m:r>
              <m:t>N</m:t>
            </m:r>
          </m:e>
          <m:sub>
            <m:r>
              <m:t>i</m:t>
            </m:r>
            <m:r>
              <m:rPr>
                <m:sty m:val="p"/>
              </m:rPr>
              <m:t>,</m:t>
            </m:r>
            <m:r>
              <m:t>w</m:t>
            </m:r>
          </m:sub>
          <m:sup>
            <m:r>
              <m:t>o</m:t>
            </m:r>
            <m:r>
              <m:t>b</m:t>
            </m:r>
            <m:r>
              <m:t>s</m:t>
            </m:r>
          </m:sup>
        </m:sSubSup>
        <m:r>
          <m:rPr>
            <m:sty m:val="p"/>
          </m:rPr>
          <m:t>=</m:t>
        </m:r>
        <m:r>
          <m:t>0</m:t>
        </m:r>
      </m:oMath>
      <w:r>
        <w:t xml:space="preserve"> </w:t>
      </w:r>
      <w:r>
        <w:t xml:space="preserve">we set</w:t>
      </w:r>
      <w:r>
        <w:t xml:space="preserve"> </w:t>
      </w:r>
      <m:oMath>
        <m:sSubSup>
          <m:e>
            <m:r>
              <m:t>M</m:t>
            </m:r>
          </m:e>
          <m:sub>
            <m:r>
              <m:t>i</m:t>
            </m:r>
            <m:r>
              <m:rPr>
                <m:sty m:val="p"/>
              </m:rPr>
              <m:t>,</m:t>
            </m:r>
            <m:r>
              <m:t>w</m:t>
            </m:r>
          </m:sub>
          <m:sup>
            <m:r>
              <m:rPr>
                <m:nor/>
                <m:sty m:val="p"/>
              </m:rPr>
              <m:t>obs</m:t>
            </m:r>
          </m:sup>
        </m:sSubSup>
        <m:r>
          <m:rPr>
            <m:sty m:val="p"/>
          </m:rPr>
          <m:t>=</m:t>
        </m:r>
        <m:r>
          <m:t>0</m:t>
        </m:r>
      </m:oMath>
      <w:r>
        <w:t xml:space="preserve">. We further summarized the data for sample</w:t>
      </w:r>
      <w:r>
        <w:t xml:space="preserve"> </w:t>
      </w:r>
      <m:oMath>
        <m:r>
          <m:t>i</m:t>
        </m:r>
      </m:oMath>
      <w:r>
        <w:t xml:space="preserve"> </w:t>
      </w:r>
      <w:r>
        <w:t xml:space="preserve">into two quantities,</w:t>
      </w:r>
      <w:r>
        <w:t xml:space="preserve"> </w:t>
      </w:r>
      <m:oMath>
        <m:sSubSup>
          <m:e>
            <m:r>
              <m:t>N</m:t>
            </m:r>
          </m:e>
          <m:sub>
            <m:r>
              <m:t>i</m:t>
            </m:r>
          </m:sub>
          <m:sup>
            <m:r>
              <m:t>o</m:t>
            </m:r>
            <m:r>
              <m:t>b</m:t>
            </m:r>
            <m:r>
              <m:t>s</m:t>
            </m:r>
          </m:sup>
        </m:sSubSup>
        <m:r>
          <m:rPr>
            <m:sty m:val="p"/>
          </m:rPr>
          <m:t>=</m:t>
        </m:r>
        <m:nary>
          <m:naryPr>
            <m:chr m:val="∑"/>
            <m:limLoc m:val="undOvr"/>
            <m:subHide m:val="off"/>
            <m:supHide m:val="off"/>
          </m:naryPr>
          <m:sub>
            <m:r>
              <m:t>w</m:t>
            </m:r>
            <m:r>
              <m:rPr>
                <m:sty m:val="p"/>
              </m:rPr>
              <m:t>=</m:t>
            </m:r>
            <m:r>
              <m:t>1</m:t>
            </m:r>
          </m:sub>
          <m:sup>
            <m:sSup>
              <m:e>
                <m:r>
                  <m:t>n</m:t>
                </m:r>
              </m:e>
              <m:sup>
                <m:r>
                  <m:rPr>
                    <m:nor/>
                    <m:sty m:val="p"/>
                  </m:rPr>
                  <m:t>max</m:t>
                </m:r>
              </m:sup>
            </m:sSup>
          </m:sup>
          <m:e>
            <m:sSubSup>
              <m:e>
                <m:r>
                  <m:t>N</m:t>
                </m:r>
              </m:e>
              <m:sub>
                <m:r>
                  <m:t>i</m:t>
                </m:r>
                <m:r>
                  <m:rPr>
                    <m:sty m:val="p"/>
                  </m:rPr>
                  <m:t>,</m:t>
                </m:r>
                <m:r>
                  <m:t>w</m:t>
                </m:r>
              </m:sub>
              <m:sup>
                <m:r>
                  <m:t>o</m:t>
                </m:r>
                <m:r>
                  <m:t>b</m:t>
                </m:r>
                <m:r>
                  <m:t>s</m:t>
                </m:r>
              </m:sup>
            </m:sSubSup>
          </m:e>
        </m:nary>
      </m:oMath>
      <w:r>
        <w:t xml:space="preserve"> </w:t>
      </w:r>
      <w:r>
        <w:t xml:space="preserve">and</w:t>
      </w:r>
      <w:r>
        <w:t xml:space="preserve"> </w:t>
      </w:r>
      <m:oMath>
        <m:sSubSup>
          <m:e>
            <m:r>
              <m:t>M</m:t>
            </m:r>
          </m:e>
          <m:sub>
            <m:r>
              <m:t>i</m:t>
            </m:r>
          </m:sub>
          <m:sup>
            <m:r>
              <m:rPr>
                <m:nor/>
                <m:sty m:val="p"/>
              </m:rPr>
              <m:t>obs</m:t>
            </m:r>
          </m:sup>
        </m:sSubSup>
        <m:r>
          <m:rPr>
            <m:sty m:val="p"/>
          </m:rPr>
          <m:t>=</m:t>
        </m:r>
        <m:nary>
          <m:naryPr>
            <m:chr m:val="∑"/>
            <m:limLoc m:val="undOvr"/>
            <m:subHide m:val="off"/>
            <m:supHide m:val="off"/>
          </m:naryPr>
          <m:sub>
            <m:r>
              <m:t>w</m:t>
            </m:r>
            <m:r>
              <m:rPr>
                <m:sty m:val="p"/>
              </m:rPr>
              <m:t>=</m:t>
            </m:r>
            <m:r>
              <m:t>1</m:t>
            </m:r>
          </m:sub>
          <m:sup>
            <m:sSup>
              <m:e>
                <m:r>
                  <m:t>n</m:t>
                </m:r>
              </m:e>
              <m:sup>
                <m:r>
                  <m:rPr>
                    <m:nor/>
                    <m:sty m:val="p"/>
                  </m:rPr>
                  <m:t>max</m:t>
                </m:r>
              </m:sup>
            </m:sSup>
          </m:sup>
          <m:e>
            <m:sSubSup>
              <m:e>
                <m:r>
                  <m:t>M</m:t>
                </m:r>
              </m:e>
              <m:sub>
                <m:r>
                  <m:t>i</m:t>
                </m:r>
                <m:r>
                  <m:rPr>
                    <m:sty m:val="p"/>
                  </m:rPr>
                  <m:t>,</m:t>
                </m:r>
                <m:r>
                  <m:t>w</m:t>
                </m:r>
              </m:sub>
              <m:sup>
                <m:r>
                  <m:rPr>
                    <m:nor/>
                    <m:sty m:val="p"/>
                  </m:rPr>
                  <m:t>obs</m:t>
                </m:r>
              </m:sup>
            </m:sSubSup>
          </m:e>
        </m:nary>
      </m:oMath>
      <w:r>
        <w:t xml:space="preserve"> </w:t>
      </w:r>
      <w:r>
        <w:t xml:space="preserve">where</w:t>
      </w:r>
      <w:r>
        <w:t xml:space="preserve"> </w:t>
      </w:r>
      <m:oMath>
        <m:sSup>
          <m:e>
            <m:r>
              <m:t>n</m:t>
            </m:r>
          </m:e>
          <m:sup>
            <m:r>
              <m:rPr>
                <m:nor/>
                <m:sty m:val="p"/>
              </m:rPr>
              <m:t>max</m:t>
            </m:r>
          </m:sup>
        </m:sSup>
      </m:oMath>
      <w:r>
        <w:t xml:space="preserve"> </w:t>
      </w:r>
      <w:r>
        <w:t xml:space="preserve">is the number of genome windows. We include only data corresponding to the sample with the highest genome coverage (as measured by</w:t>
      </w:r>
      <w:r>
        <w:t xml:space="preserve"> </w:t>
      </w:r>
      <m:oMath>
        <m:sSup>
          <m:e>
            <m:r>
              <m:t>N</m:t>
            </m:r>
          </m:e>
          <m:sup>
            <m:r>
              <m:t>o</m:t>
            </m:r>
          </m:sup>
        </m:sSup>
        <m:r>
          <m:t>b</m:t>
        </m:r>
        <m:sSub>
          <m:e>
            <m:r>
              <m:t>s</m:t>
            </m:r>
          </m:e>
          <m:sub>
            <m:r>
              <m:t>i</m:t>
            </m:r>
          </m:sub>
        </m:sSub>
      </m:oMath>
      <w:r>
        <w:t xml:space="preserve">) and highest viral load in the case of ties for each participant. Samples with</w:t>
      </w:r>
      <w:r>
        <w:t xml:space="preserve"> </w:t>
      </w:r>
      <m:oMath>
        <m:sSup>
          <m:e>
            <m:r>
              <m:t>N</m:t>
            </m:r>
          </m:e>
          <m:sup>
            <m:r>
              <m:t>o</m:t>
            </m:r>
          </m:sup>
        </m:sSup>
        <m:r>
          <m:t>b</m:t>
        </m:r>
        <m:sSub>
          <m:e>
            <m:r>
              <m:t>s</m:t>
            </m:r>
          </m:e>
          <m:sub>
            <m:r>
              <m:t>i</m:t>
            </m:r>
          </m:sub>
        </m:sSub>
      </m:oMath>
      <w:r>
        <w:t xml:space="preserve"> </w:t>
      </w:r>
      <w:r>
        <w:t xml:space="preserve">were excluded. Only participants with available deep-sequence data with a paired viral load measurement</w:t>
      </w:r>
      <w:r>
        <w:t xml:space="preserve"> </w:t>
      </w:r>
      <m:oMath>
        <m:r>
          <m:rPr>
            <m:sty m:val="p"/>
          </m:rPr>
          <m:t>≥</m:t>
        </m:r>
      </m:oMath>
      <w:r>
        <w:t xml:space="preserve">1,000 copies/mL were included in our inference method.</w:t>
      </w:r>
    </w:p>
    <w:bookmarkStart w:id="27" w:name="sec:base_model"/>
    <w:p>
      <w:pPr>
        <w:pStyle w:val="Heading3"/>
      </w:pPr>
      <w:r>
        <w:t xml:space="preserve">Base model accounting for partial sequencing success of infecting variants</w:t>
      </w:r>
    </w:p>
    <w:p>
      <w:pPr>
        <w:pStyle w:val="FirstParagraph"/>
      </w:pPr>
      <w:r>
        <w:t xml:space="preserve">We first developed a base model that accounts for partial sequencing success across the HIV genome in giving rise to the observed</w:t>
      </w:r>
      <w:r>
        <w:t xml:space="preserve"> </w:t>
      </w:r>
      <m:oMath>
        <m:sSubSup>
          <m:e>
            <m:r>
              <m:t>N</m:t>
            </m:r>
          </m:e>
          <m:sub>
            <m:r>
              <m:t>i</m:t>
            </m:r>
            <m:r>
              <m:rPr>
                <m:sty m:val="p"/>
              </m:rPr>
              <m:t>=</m:t>
            </m:r>
            <m:r>
              <m:t>1</m:t>
            </m:r>
            <m:r>
              <m:rPr>
                <m:sty m:val="p"/>
              </m:rPr>
              <m:t>.</m:t>
            </m:r>
            <m:r>
              <m:rPr>
                <m:sty m:val="p"/>
              </m:rPr>
              <m:t>.</m:t>
            </m:r>
            <m:r>
              <m:rPr>
                <m:sty m:val="p"/>
              </m:rPr>
              <m:t>.</m:t>
            </m:r>
            <m:r>
              <m:t>n</m:t>
            </m:r>
            <m:r>
              <m:rPr>
                <m:sty m:val="p"/>
              </m:rPr>
              <m:t>,</m:t>
            </m:r>
            <m:r>
              <m:t>w</m:t>
            </m:r>
          </m:sub>
          <m:sup>
            <m:r>
              <m:t>o</m:t>
            </m:r>
            <m:r>
              <m:t>b</m:t>
            </m:r>
            <m:r>
              <m:t>s</m:t>
            </m:r>
          </m:sup>
        </m:sSubSup>
      </m:oMath>
      <w:r>
        <w:t xml:space="preserve"> </w:t>
      </w:r>
      <w:r>
        <w:t xml:space="preserve">and</w:t>
      </w:r>
      <w:r>
        <w:t xml:space="preserve"> </w:t>
      </w:r>
      <m:oMath>
        <m:sSubSup>
          <m:e>
            <m:r>
              <m:t>M</m:t>
            </m:r>
          </m:e>
          <m:sub>
            <m:r>
              <m:t>i</m:t>
            </m:r>
            <m:r>
              <m:rPr>
                <m:sty m:val="p"/>
              </m:rPr>
              <m:t>=</m:t>
            </m:r>
            <m:r>
              <m:t>1</m:t>
            </m:r>
            <m:r>
              <m:rPr>
                <m:sty m:val="p"/>
              </m:rPr>
              <m:t>.</m:t>
            </m:r>
            <m:r>
              <m:rPr>
                <m:sty m:val="p"/>
              </m:rPr>
              <m:t>.</m:t>
            </m:r>
            <m:r>
              <m:rPr>
                <m:sty m:val="p"/>
              </m:rPr>
              <m:t>.</m:t>
            </m:r>
            <m:r>
              <m:t>n</m:t>
            </m:r>
            <m:r>
              <m:rPr>
                <m:sty m:val="p"/>
              </m:rPr>
              <m:t>,</m:t>
            </m:r>
            <m:r>
              <m:t>w</m:t>
            </m:r>
          </m:sub>
          <m:sup>
            <m:r>
              <m:rPr>
                <m:nor/>
                <m:sty m:val="p"/>
              </m:rPr>
              <m:t>obs</m:t>
            </m:r>
          </m:sup>
        </m:sSubSup>
      </m:oMath>
      <w:r>
        <w:t xml:space="preserve">. Working from first principles, we derived a likelihood model for observing the pair of counts (</w:t>
      </w:r>
      <m:oMath>
        <m:sSubSup>
          <m:e>
            <m:r>
              <m:t>N</m:t>
            </m:r>
          </m:e>
          <m:sub>
            <m:r>
              <m:t>i</m:t>
            </m:r>
          </m:sub>
          <m:sup>
            <m:r>
              <m:t>o</m:t>
            </m:r>
            <m:r>
              <m:t>b</m:t>
            </m:r>
            <m:r>
              <m:t>s</m:t>
            </m:r>
          </m:sup>
        </m:sSubSup>
      </m:oMath>
      <w:r>
        <w:t xml:space="preserve">,</w:t>
      </w:r>
      <w:r>
        <w:t xml:space="preserve"> </w:t>
      </w:r>
      <m:oMath>
        <m:sSubSup>
          <m:e>
            <m:r>
              <m:t>M</m:t>
            </m:r>
          </m:e>
          <m:sub>
            <m:r>
              <m:t>i</m:t>
            </m:r>
          </m:sub>
          <m:sup>
            <m:r>
              <m:rPr>
                <m:nor/>
                <m:sty m:val="p"/>
              </m:rPr>
              <m:t>obs</m:t>
            </m:r>
          </m:sup>
        </m:sSubSup>
      </m:oMath>
      <w:r>
        <w:t xml:space="preserve">) for the unobserved groups of individuals with multiple infection (</w:t>
      </w:r>
      <m:oMath>
        <m:sSub>
          <m:e>
            <m:r>
              <m:t>M</m:t>
            </m:r>
          </m:e>
          <m:sub>
            <m:r>
              <m:t>i</m:t>
            </m:r>
          </m:sub>
        </m:sSub>
        <m:r>
          <m:rPr>
            <m:sty m:val="p"/>
          </m:rPr>
          <m:t>=</m:t>
        </m:r>
        <m:r>
          <m:t>1</m:t>
        </m:r>
      </m:oMath>
      <w:r>
        <w:t xml:space="preserve">) and with single infection (</w:t>
      </w:r>
      <m:oMath>
        <m:sSub>
          <m:e>
            <m:r>
              <m:t>M</m:t>
            </m:r>
          </m:e>
          <m:sub>
            <m:r>
              <m:t>i</m:t>
            </m:r>
          </m:sub>
        </m:sSub>
        <m:r>
          <m:rPr>
            <m:sty m:val="p"/>
          </m:rPr>
          <m:t>=</m:t>
        </m:r>
        <m:r>
          <m:t>0</m:t>
        </m:r>
      </m:oMath>
      <w:r>
        <w:t xml:space="preserve">). Among multiply infected individuals (</w:t>
      </w:r>
      <m:oMath>
        <m:sSub>
          <m:e>
            <m:r>
              <m:t>M</m:t>
            </m:r>
          </m:e>
          <m:sub>
            <m:r>
              <m:t>i</m:t>
            </m:r>
          </m:sub>
        </m:sSub>
        <m:r>
          <m:rPr>
            <m:sty m:val="p"/>
          </m:rPr>
          <m:t>=</m:t>
        </m:r>
        <m:r>
          <m:t>1</m:t>
        </m:r>
      </m:oMath>
      <w:r>
        <w:t xml:space="preserve">), we assumed that the probability of sequencing each of the infecting variants in window</w:t>
      </w:r>
      <w:r>
        <w:t xml:space="preserve"> </w:t>
      </w:r>
      <m:oMath>
        <m:r>
          <m:t>w</m:t>
        </m:r>
      </m:oMath>
      <w:r>
        <w:t xml:space="preserve"> </w:t>
      </w:r>
      <w:r>
        <w:t xml:space="preserve">was given by</w:t>
      </w:r>
      <w:r>
        <w:t xml:space="preserve"> </w:t>
      </w:r>
      <m:oMath>
        <m:sSub>
          <m:e>
            <m:r>
              <m:t>θ</m:t>
            </m:r>
          </m:e>
          <m:sub>
            <m:r>
              <m:t>i</m:t>
            </m:r>
          </m:sub>
        </m:sSub>
      </m:oMath>
      <w:r>
        <w:t xml:space="preserve"> </w:t>
      </w:r>
      <w:r>
        <w:t xml:space="preserve">for each sample</w:t>
      </w:r>
      <w:r>
        <w:t xml:space="preserve"> </w:t>
      </w:r>
      <m:oMath>
        <m:r>
          <m:t>i</m:t>
        </m:r>
      </m:oMath>
      <w:r>
        <w:t xml:space="preserve">. The probability of sequencing at least one variant in each window is therefore</w:t>
      </w:r>
      <w:r>
        <w:t xml:space="preserve"> </w:t>
      </w:r>
      <m:oMath>
        <m:r>
          <m:t>1</m:t>
        </m:r>
        <m:r>
          <m:rPr>
            <m:sty m:val="p"/>
          </m:rPr>
          <m:t>−</m:t>
        </m:r>
        <m:sSup>
          <m:e>
            <m:d>
              <m:dPr>
                <m:begChr m:val="("/>
                <m:endChr m:val=")"/>
                <m:sepChr m:val=""/>
                <m:grow/>
              </m:dPr>
              <m:e>
                <m:r>
                  <m:t>1</m:t>
                </m:r>
                <m:r>
                  <m:rPr>
                    <m:sty m:val="p"/>
                  </m:rPr>
                  <m:t>−</m:t>
                </m:r>
                <m:sSub>
                  <m:e>
                    <m:r>
                      <m:t>θ</m:t>
                    </m:r>
                  </m:e>
                  <m:sub>
                    <m:r>
                      <m:t>i</m:t>
                    </m:r>
                  </m:sub>
                </m:sSub>
              </m:e>
            </m:d>
          </m:e>
          <m:sup>
            <m:r>
              <m:t>2</m:t>
            </m:r>
          </m:sup>
        </m:sSup>
      </m:oMath>
      <w:r>
        <w:t xml:space="preserve"> </w:t>
      </w:r>
      <w:r>
        <w:t xml:space="preserve">and the probability of sequencing both variants given at least one was sequenced is therefore</w:t>
      </w:r>
      <w:r>
        <w:t xml:space="preserve"> </w:t>
      </w:r>
      <m:oMath>
        <m:f>
          <m:fPr>
            <m:type m:val="bar"/>
          </m:fPr>
          <m:num>
            <m:sSub>
              <m:e>
                <m:r>
                  <m:t>θ</m:t>
                </m:r>
              </m:e>
              <m:sub>
                <m:r>
                  <m:t>i</m:t>
                </m:r>
              </m:sub>
            </m:sSub>
          </m:num>
          <m:den>
            <m:r>
              <m:t>2</m:t>
            </m:r>
            <m:r>
              <m:rPr>
                <m:sty m:val="p"/>
              </m:rPr>
              <m:t>−</m:t>
            </m:r>
            <m:sSub>
              <m:e>
                <m:r>
                  <m:t>θ</m:t>
                </m:r>
              </m:e>
              <m:sub>
                <m:r>
                  <m:t>i</m:t>
                </m:r>
              </m:sub>
            </m:sSub>
          </m:den>
        </m:f>
      </m:oMath>
      <w:r>
        <w:t xml:space="preserve">. Assuming sequencing success was independently and identically distributed for each individual, we obtained</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d>
                  <m:dPr>
                    <m:begChr m:val="("/>
                    <m:endChr m:val=")"/>
                    <m:sepChr m:val=""/>
                    <m:grow/>
                  </m:dPr>
                  <m:e>
                    <m:sSup>
                      <m:e>
                        <m:r>
                          <m:t>n</m:t>
                        </m:r>
                      </m:e>
                      <m:sup>
                        <m:r>
                          <m:rPr>
                            <m:nor/>
                            <m:sty m:val="p"/>
                          </m:rPr>
                          <m:t>max</m:t>
                        </m:r>
                      </m:sup>
                    </m:sSup>
                    <m:r>
                      <m:rPr>
                        <m:sty m:val="p"/>
                      </m:rPr>
                      <m:t>,</m:t>
                    </m:r>
                    <m:r>
                      <m:t>1</m:t>
                    </m:r>
                    <m:r>
                      <m:rPr>
                        <m:sty m:val="p"/>
                      </m:rPr>
                      <m:t>−</m:t>
                    </m:r>
                    <m:sSup>
                      <m:e>
                        <m:d>
                          <m:dPr>
                            <m:begChr m:val="("/>
                            <m:endChr m:val=")"/>
                            <m:sepChr m:val=""/>
                            <m:grow/>
                          </m:dPr>
                          <m:e>
                            <m:r>
                              <m:t>1</m:t>
                            </m:r>
                            <m:r>
                              <m:rPr>
                                <m:sty m:val="p"/>
                              </m:rPr>
                              <m:t>−</m:t>
                            </m:r>
                            <m:sSub>
                              <m:e>
                                <m:r>
                                  <m:t>θ</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θ</m:t>
                            </m:r>
                          </m:e>
                          <m:sub>
                            <m:r>
                              <m:t>i</m:t>
                            </m:r>
                          </m:sub>
                        </m:sSub>
                      </m:num>
                      <m:den>
                        <m:r>
                          <m:t>2</m:t>
                        </m:r>
                        <m:r>
                          <m:rPr>
                            <m:sty m:val="p"/>
                          </m:rPr>
                          <m:t>−</m:t>
                        </m:r>
                        <m:sSub>
                          <m:e>
                            <m:r>
                              <m:t>θ</m:t>
                            </m:r>
                          </m:e>
                          <m:sub>
                            <m:r>
                              <m:t>i</m:t>
                            </m:r>
                          </m:sub>
                        </m:sSub>
                      </m:den>
                    </m:f>
                  </m:e>
                </m:d>
                <m:r>
                  <m:rPr>
                    <m:sty m:val="p"/>
                  </m:rPr>
                  <m:t>,</m:t>
                </m:r>
              </m:e>
            </m:mr>
          </m:m>
        </m:oMath>
      </m:oMathPara>
    </w:p>
    <w:p>
      <w:pPr>
        <w:pStyle w:val="FirstParagraph"/>
      </w:pPr>
      <w:r>
        <w:t xml:space="preserve">where</w:t>
      </w:r>
      <w:r>
        <w:t xml:space="preserve"> </w:t>
      </w:r>
      <m:oMath>
        <m:sSup>
          <m:e>
            <m:r>
              <m:rPr>
                <m:nor/>
                <m:sty m:val="p"/>
              </m:rPr>
              <m:t>Binomial</m:t>
            </m:r>
          </m:e>
          <m:sup>
            <m:r>
              <m:t>1</m:t>
            </m:r>
            <m:r>
              <m:rPr>
                <m:sty m:val="p"/>
              </m:rPr>
              <m:t>+</m:t>
            </m:r>
          </m:sup>
        </m:sSup>
      </m:oMath>
      <w:r>
        <w:t xml:space="preserve"> </w:t>
      </w:r>
      <w:r>
        <w:t xml:space="preserve">represents the 0-truncated</w:t>
      </w:r>
      <w:r>
        <w:t xml:space="preserve"> </w:t>
      </w:r>
      <m:oMath>
        <m:r>
          <m:rPr>
            <m:nor/>
            <m:sty m:val="p"/>
          </m:rPr>
          <m:t>Binomial</m:t>
        </m:r>
      </m:oMath>
      <w:r>
        <w:t xml:space="preserve"> </w:t>
      </w:r>
      <w:r>
        <w:t xml:space="preserve">distribution as we only consider data from individuals with</w:t>
      </w:r>
      <w:r>
        <w:t xml:space="preserve"> </w:t>
      </w:r>
      <w:r>
        <w:rPr>
          <w:i/>
          <w:iCs/>
        </w:rPr>
        <w:t xml:space="preserve">phyloscanner</w:t>
      </w:r>
      <w:r>
        <w:t xml:space="preserve"> </w:t>
      </w:r>
      <w:r>
        <w:t xml:space="preserve">output in at least one genomic window and</w:t>
      </w:r>
      <w:r>
        <w:t xml:space="preserve"> </w:t>
      </w:r>
      <m:oMath>
        <m:sSup>
          <m:e>
            <m:r>
              <m:t>n</m:t>
            </m:r>
          </m:e>
          <m:sup>
            <m:r>
              <m:rPr>
                <m:nor/>
                <m:sty m:val="p"/>
              </m:rPr>
              <m:t>max</m:t>
            </m:r>
          </m:sup>
        </m:sSup>
      </m:oMath>
      <w:r>
        <w:t xml:space="preserve"> </w:t>
      </w:r>
      <w:r>
        <w:t xml:space="preserve">is the total number of genomic windows. This model implicitly accounts for the presence of windows in which only a single variant was present in the</w:t>
      </w:r>
      <w:r>
        <w:t xml:space="preserve"> </w:t>
      </w:r>
      <w:r>
        <w:rPr>
          <w:i/>
          <w:iCs/>
        </w:rPr>
        <w:t xml:space="preserve">phyloscanner</w:t>
      </w:r>
      <w:r>
        <w:t xml:space="preserve"> </w:t>
      </w:r>
      <w:r>
        <w:t xml:space="preserve">output due to incomplete sequencing success. For individuals infected with only a single variant (</w:t>
      </w:r>
      <m:oMath>
        <m:sSub>
          <m:e>
            <m:r>
              <m:t>M</m:t>
            </m:r>
          </m:e>
          <m:sub>
            <m:r>
              <m:t>i</m:t>
            </m:r>
          </m:sub>
        </m:sSub>
        <m:r>
          <m:rPr>
            <m:sty m:val="p"/>
          </m:rPr>
          <m:t>=</m:t>
        </m:r>
        <m:r>
          <m:t>0</m:t>
        </m:r>
      </m:oMath>
      <w:r>
        <w:t xml:space="preserve">), we obtained analogously</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sSup>
                      <m:e>
                        <m:r>
                          <m:t>n</m:t>
                        </m:r>
                      </m:e>
                      <m:sup>
                        <m:r>
                          <m:rPr>
                            <m:nor/>
                            <m:sty m:val="p"/>
                          </m:rPr>
                          <m:t>max</m:t>
                        </m:r>
                      </m:sup>
                    </m:sSup>
                    <m:r>
                      <m:rPr>
                        <m:sty m:val="p"/>
                      </m:rPr>
                      <m:t>,</m:t>
                    </m:r>
                    <m:sSub>
                      <m:e>
                        <m:r>
                          <m:t>θ</m:t>
                        </m:r>
                      </m:e>
                      <m:sub>
                        <m:r>
                          <m:t>i</m:t>
                        </m:r>
                      </m:sub>
                    </m:sSub>
                  </m:e>
                </m:d>
              </m:e>
            </m:m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r>
                      <m:t>0</m:t>
                    </m:r>
                  </m:e>
                </m:d>
                <m:r>
                  <m:rPr>
                    <m:sty m:val="p"/>
                  </m:rPr>
                  <m:t>.</m:t>
                </m:r>
              </m:e>
            </m:mr>
          </m:m>
        </m:oMath>
      </m:oMathPara>
    </w:p>
    <w:p>
      <w:pPr>
        <w:pStyle w:val="FirstParagraph"/>
      </w:pPr>
      <w:r>
        <w:t xml:space="preserve">Taken together, the joint likelihood of observing the count pair (</w:t>
      </w:r>
      <m:oMath>
        <m:sSubSup>
          <m:e>
            <m:r>
              <m:t>M</m:t>
            </m:r>
          </m:e>
          <m:sub>
            <m:r>
              <m:t>i</m:t>
            </m:r>
          </m:sub>
          <m:sup>
            <m:r>
              <m:rPr>
                <m:nor/>
                <m:sty m:val="p"/>
              </m:rPr>
              <m:t>obs</m:t>
            </m:r>
          </m:sup>
        </m:sSubSup>
      </m:oMath>
      <w:r>
        <w:t xml:space="preserve">,</w:t>
      </w:r>
      <w:r>
        <w:t xml:space="preserve"> </w:t>
      </w:r>
      <m:oMath>
        <m:sSubSup>
          <m:e>
            <m:r>
              <m:t>N</m:t>
            </m:r>
          </m:e>
          <m:sub>
            <m:r>
              <m:t>i</m:t>
            </m:r>
          </m:sub>
          <m:sup>
            <m:r>
              <m:t>o</m:t>
            </m:r>
            <m:r>
              <m:t>b</m:t>
            </m:r>
            <m:r>
              <m:t>s</m:t>
            </m:r>
          </m:sup>
        </m:sSubSup>
      </m:oMath>
      <w:r>
        <w:t xml:space="preserve">) conditional on latent multiple infection status</w:t>
      </w:r>
      <w:r>
        <w:t xml:space="preserve"> </w:t>
      </w:r>
      <m:oMath>
        <m:sSub>
          <m:e>
            <m:r>
              <m:t>M</m:t>
            </m:r>
          </m:e>
          <m:sub>
            <m:r>
              <m:t>i</m:t>
            </m:r>
          </m:sub>
        </m:sSub>
      </m:oMath>
      <w:r>
        <w:t xml:space="preserve"> </w:t>
      </w:r>
      <w:r>
        <w:t xml:space="preserve">is given by</w:t>
      </w:r>
    </w:p>
    <w:p>
      <w:pPr>
        <w:pStyle w:val="BodyText"/>
      </w:pPr>
      <m:oMathPara>
        <m:oMathParaPr>
          <m:jc m:val="center"/>
        </m:oMathParaPr>
        <m:oMath>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r>
                <m:rPr>
                  <m:sty m:val="p"/>
                </m:rPr>
                <m:t>,</m:t>
              </m:r>
              <m:sSub>
                <m:e>
                  <m:r>
                    <m:t>M</m:t>
                  </m:r>
                </m:e>
                <m:sub>
                  <m:r>
                    <m:t>i</m:t>
                  </m:r>
                </m:sub>
              </m:sSub>
            </m:e>
          </m:d>
          <m:r>
            <m:rPr>
              <m:sty m:val="p"/>
            </m:rPr>
            <m:t>=</m:t>
          </m:r>
          <m:r>
            <m:t>P</m:t>
          </m:r>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e>
          </m:d>
          <m:r>
            <m:rPr>
              <m:sty m:val="p"/>
            </m:rPr>
            <m:t>.</m:t>
          </m:r>
        </m:oMath>
      </m:oMathPara>
    </w:p>
    <w:p>
      <w:pPr>
        <w:pStyle w:val="FirstParagraph"/>
      </w:pPr>
      <w:r>
        <w:t xml:space="preserve">Thus, aggregating over the two unknown possible multiple infection states</w:t>
      </w:r>
      <w:r>
        <w:t xml:space="preserve"> </w:t>
      </w:r>
      <m:oMath>
        <m:sSub>
          <m:e>
            <m:r>
              <m:t>M</m:t>
            </m:r>
          </m:e>
          <m:sub>
            <m:r>
              <m:t>i</m:t>
            </m:r>
          </m:sub>
        </m:sSub>
        <m:r>
          <m:rPr>
            <m:sty m:val="p"/>
          </m:rPr>
          <m:t>∈</m:t>
        </m:r>
        <m:r>
          <m:rPr>
            <m:sty m:val="p"/>
          </m:rPr>
          <m:t>{</m:t>
        </m:r>
        <m:r>
          <m:t>0</m:t>
        </m:r>
        <m:r>
          <m:rPr>
            <m:sty m:val="p"/>
          </m:rPr>
          <m:t>,</m:t>
        </m:r>
        <m:r>
          <m:t>1</m:t>
        </m:r>
        <m:r>
          <m:rPr>
            <m:sty m:val="p"/>
          </m:rPr>
          <m:t>}</m:t>
        </m:r>
      </m:oMath>
      <w:r>
        <w:t xml:space="preserve"> </w:t>
      </w:r>
      <w:r>
        <w:t xml:space="preserve">for each individual in a finite mixture model framework, we have</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e>
                </m:d>
                <m:r>
                  <m:rPr>
                    <m:sty m:val="p"/>
                  </m:rPr>
                  <m:t>=</m:t>
                </m:r>
              </m:e>
            </m:mr>
            <m:mr>
              <m:e/>
              <m:e>
                <m:r>
                  <m:t> </m:t>
                </m:r>
                <m:r>
                  <m:t> </m:t>
                </m:r>
                <m:nary>
                  <m:naryPr>
                    <m:chr m:val="∑"/>
                    <m:limLoc m:val="undOvr"/>
                    <m:subHide m:val="off"/>
                    <m:supHide m:val="on"/>
                  </m:naryPr>
                  <m:sub>
                    <m:r>
                      <m:t>m</m:t>
                    </m:r>
                    <m:r>
                      <m:rPr>
                        <m:sty m:val="p"/>
                      </m:rPr>
                      <m:t>=</m:t>
                    </m:r>
                    <m:r>
                      <m:t>0</m:t>
                    </m:r>
                    <m:r>
                      <m:rPr>
                        <m:sty m:val="p"/>
                      </m:rPr>
                      <m:t>,</m:t>
                    </m:r>
                    <m:r>
                      <m:t>1</m:t>
                    </m:r>
                  </m:sub>
                  <m:sup>
                    <m:r>
                      <m:t>​</m:t>
                    </m:r>
                  </m:sup>
                  <m:e>
                    <m:r>
                      <m:t>P</m:t>
                    </m:r>
                  </m:e>
                </m:nary>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m</m:t>
                    </m:r>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m</m:t>
                    </m:r>
                  </m:e>
                </m:d>
                <m:r>
                  <m:t>P</m:t>
                </m:r>
                <m:d>
                  <m:dPr>
                    <m:begChr m:val="("/>
                    <m:endChr m:val=")"/>
                    <m:sepChr m:val=""/>
                    <m:grow/>
                  </m:dPr>
                  <m:e>
                    <m:sSub>
                      <m:e>
                        <m:r>
                          <m:t>M</m:t>
                        </m:r>
                      </m:e>
                      <m:sub>
                        <m:r>
                          <m:t>i</m:t>
                        </m:r>
                      </m:sub>
                    </m:sSub>
                    <m:r>
                      <m:rPr>
                        <m:sty m:val="p"/>
                      </m:rPr>
                      <m:t>=</m:t>
                    </m:r>
                    <m:r>
                      <m:t>m</m:t>
                    </m:r>
                  </m:e>
                </m:d>
                <m:r>
                  <m:rPr>
                    <m:sty m:val="p"/>
                  </m:rPr>
                  <m:t>.</m:t>
                </m:r>
              </m:e>
            </m:mr>
          </m:m>
        </m:oMath>
      </m:oMathPara>
    </w:p>
    <w:p>
      <w:pPr>
        <w:pStyle w:val="FirstParagraph"/>
      </w:pPr>
      <w:r>
        <w:t xml:space="preserve">One of our primary inferential targets was the individual-level probability of harboring multiple infection not conditional on observed</w:t>
      </w:r>
      <w:r>
        <w:t xml:space="preserve"> </w:t>
      </w:r>
      <m:oMath>
        <m:sSup>
          <m:e>
            <m:r>
              <m:t>N</m:t>
            </m:r>
          </m:e>
          <m:sup>
            <m:r>
              <m:t>o</m:t>
            </m:r>
          </m:sup>
        </m:sSup>
        <m:r>
          <m:t>b</m:t>
        </m:r>
        <m:sSub>
          <m:e>
            <m:r>
              <m:t>s</m:t>
            </m:r>
          </m:e>
          <m:sub>
            <m:r>
              <m:t>i</m:t>
            </m:r>
          </m:sub>
        </m:sSub>
      </m:oMath>
      <w:r>
        <w:t xml:space="preserve"> </w:t>
      </w:r>
      <w:r>
        <w:t xml:space="preserve">and</w:t>
      </w:r>
      <w:r>
        <w:t xml:space="preserve"> </w:t>
      </w:r>
      <m:oMath>
        <m:sSubSup>
          <m:e>
            <m:r>
              <m:t>M</m:t>
            </m:r>
          </m:e>
          <m:sub>
            <m:r>
              <m:t>i</m:t>
            </m:r>
          </m:sub>
          <m:sup>
            <m:r>
              <m:rPr>
                <m:nor/>
                <m:sty m:val="p"/>
              </m:rPr>
              <m:t>obs</m:t>
            </m:r>
          </m:sup>
        </m:sSubSup>
      </m:oMath>
      <w:r>
        <w:t xml:space="preserve">, which we denoted with</w:t>
      </w:r>
      <w:r>
        <w:t xml:space="preserve"> </w:t>
      </w:r>
      <m:oMath>
        <m:sSub>
          <m:e>
            <m:r>
              <m:t>δ</m:t>
            </m:r>
          </m:e>
          <m:sub>
            <m:r>
              <m:t>i</m:t>
            </m:r>
          </m:sub>
        </m:sSub>
        <m:r>
          <m:rPr>
            <m:sty m:val="p"/>
          </m:rPr>
          <m:t>=</m:t>
        </m:r>
        <m:r>
          <m:t>P</m:t>
        </m:r>
        <m:d>
          <m:dPr>
            <m:begChr m:val="("/>
            <m:endChr m:val=")"/>
            <m:sepChr m:val=""/>
            <m:grow/>
          </m:dPr>
          <m:e>
            <m:sSub>
              <m:e>
                <m:r>
                  <m:t>M</m:t>
                </m:r>
              </m:e>
              <m:sub>
                <m:r>
                  <m:t>i</m:t>
                </m:r>
              </m:sub>
            </m:sSub>
            <m:r>
              <m:rPr>
                <m:sty m:val="p"/>
              </m:rPr>
              <m:t>=</m:t>
            </m:r>
            <m:r>
              <m:t>1</m:t>
            </m:r>
          </m:e>
        </m:d>
      </m:oMath>
      <w:r>
        <w:t xml:space="preserve">. Making this target explicit in the joint likelihood, we have</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r>
                      <m:rPr>
                        <m:sty m:val="p"/>
                      </m:rPr>
                      <m:t>,</m:t>
                    </m:r>
                    <m:sSub>
                      <m:e>
                        <m:r>
                          <m:t>δ</m:t>
                        </m:r>
                      </m:e>
                      <m:sub>
                        <m:r>
                          <m:t>i</m:t>
                        </m:r>
                      </m:sub>
                    </m:sSub>
                  </m:e>
                </m:d>
                <m:r>
                  <m:rPr>
                    <m:sty m:val="p"/>
                  </m:rPr>
                  <m:t>=</m:t>
                </m:r>
              </m:e>
            </m:mr>
            <m:mr>
              <m:e/>
              <m:e>
                <m:r>
                  <m:t> </m:t>
                </m:r>
                <m:r>
                  <m:t> </m:t>
                </m:r>
                <m:sSub>
                  <m:e>
                    <m:r>
                      <m:t>δ</m:t>
                    </m:r>
                  </m:e>
                  <m:sub>
                    <m:r>
                      <m:t>i</m:t>
                    </m:r>
                  </m:sub>
                </m:sSub>
                <m:r>
                  <m:t> </m:t>
                </m:r>
                <m:r>
                  <m:t>P</m:t>
                </m:r>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mr>
            <m:mr>
              <m:e/>
              <m:e>
                <m:r>
                  <m:t> </m:t>
                </m:r>
                <m:r>
                  <m:t> </m:t>
                </m:r>
                <m:r>
                  <m:rPr>
                    <m:sty m:val="p"/>
                  </m:rPr>
                  <m:t>+</m:t>
                </m:r>
                <m:d>
                  <m:dPr>
                    <m:begChr m:val="("/>
                    <m:endChr m:val=")"/>
                    <m:sepChr m:val=""/>
                    <m:grow/>
                  </m:dPr>
                  <m:e>
                    <m:r>
                      <m:t>1</m:t>
                    </m:r>
                    <m:r>
                      <m:rPr>
                        <m:sty m:val="p"/>
                      </m:rPr>
                      <m:t>−</m:t>
                    </m:r>
                    <m:sSub>
                      <m:e>
                        <m:r>
                          <m:t>δ</m:t>
                        </m:r>
                      </m:e>
                      <m:sub>
                        <m:r>
                          <m:t>i</m:t>
                        </m:r>
                      </m:sub>
                    </m:sSub>
                  </m:e>
                </m:d>
                <m:r>
                  <m:t> </m:t>
                </m:r>
                <m:r>
                  <m:t>P</m:t>
                </m:r>
                <m:d>
                  <m:dPr>
                    <m:begChr m:val="("/>
                    <m:endChr m:val=")"/>
                    <m:sepChr m:val=""/>
                    <m:grow/>
                  </m:dPr>
                  <m:e>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r>
                  <m:t>P</m:t>
                </m:r>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r>
                  <m:rPr>
                    <m:sty m:val="p"/>
                  </m:rPr>
                  <m:t>,</m:t>
                </m:r>
              </m:e>
            </m:mr>
          </m:m>
        </m:oMath>
      </m:oMathPara>
    </w:p>
    <w:p>
      <w:pPr>
        <w:pStyle w:val="FirstParagraph"/>
      </w:pPr>
      <w:r>
        <w:t xml:space="preserve">and so the log posterior distribution of the parameters</w:t>
      </w:r>
      <w:r>
        <w:t xml:space="preserve"> </w:t>
      </w:r>
      <m:oMath>
        <m:r>
          <m:rPr>
            <m:sty m:val="b"/>
          </m:rPr>
          <m:t>θ</m:t>
        </m:r>
        <m:r>
          <m:rPr>
            <m:sty m:val="p"/>
          </m:rPr>
          <m:t>=</m:t>
        </m:r>
        <m:d>
          <m:dPr>
            <m:begChr m:val="("/>
            <m:endChr m:val=")"/>
            <m:sepChr m:val=""/>
            <m:grow/>
          </m:dPr>
          <m:e>
            <m:sSub>
              <m:e>
                <m:r>
                  <m:t>θ</m:t>
                </m:r>
              </m:e>
              <m:sub>
                <m:r>
                  <m:t>1</m:t>
                </m:r>
              </m:sub>
            </m:sSub>
            <m:r>
              <m:rPr>
                <m:sty m:val="p"/>
              </m:rPr>
              <m:t>,</m:t>
            </m:r>
            <m:r>
              <m:rPr>
                <m:sty m:val="p"/>
              </m:rPr>
              <m:t>…</m:t>
            </m:r>
            <m:r>
              <m:rPr>
                <m:sty m:val="p"/>
              </m:rPr>
              <m:t>,</m:t>
            </m:r>
            <m:sSub>
              <m:e>
                <m:r>
                  <m:t>θ</m:t>
                </m:r>
              </m:e>
              <m:sub>
                <m:r>
                  <m:t>n</m:t>
                </m:r>
              </m:sub>
            </m:sSub>
          </m:e>
        </m:d>
      </m:oMath>
      <w:r>
        <w:t xml:space="preserve">,</w:t>
      </w:r>
      <w:r>
        <w:t xml:space="preserve"> </w:t>
      </w:r>
      <m:oMath>
        <m:r>
          <m:rPr>
            <m:sty m:val="b"/>
          </m:rPr>
          <m:t>δ</m:t>
        </m:r>
        <m:r>
          <m:rPr>
            <m:sty m:val="p"/>
          </m:rPr>
          <m:t>=</m:t>
        </m:r>
        <m:d>
          <m:dPr>
            <m:begChr m:val="("/>
            <m:endChr m:val=")"/>
            <m:sepChr m:val=""/>
            <m:grow/>
          </m:dPr>
          <m:e>
            <m:sSub>
              <m:e>
                <m:r>
                  <m:t>δ</m:t>
                </m:r>
              </m:e>
              <m:sub>
                <m:r>
                  <m:t>1</m:t>
                </m:r>
              </m:sub>
            </m:sSub>
            <m:r>
              <m:rPr>
                <m:sty m:val="p"/>
              </m:rPr>
              <m:t>,</m:t>
            </m:r>
            <m:r>
              <m:rPr>
                <m:sty m:val="p"/>
              </m:rPr>
              <m:t>…</m:t>
            </m:r>
            <m:r>
              <m:rPr>
                <m:sty m:val="p"/>
              </m:rPr>
              <m:t>,</m:t>
            </m:r>
            <m:sSub>
              <m:e>
                <m:r>
                  <m:t>δ</m:t>
                </m:r>
              </m:e>
              <m:sub>
                <m:r>
                  <m:t>n</m:t>
                </m:r>
              </m:sub>
            </m:sSub>
          </m:e>
        </m:d>
      </m:oMath>
      <w:r>
        <w:t xml:space="preserve"> </w:t>
      </w:r>
      <w:r>
        <w:t xml:space="preserve">for all the data</w:t>
      </w:r>
      <w:r>
        <w:t xml:space="preserve"> </w:t>
      </w:r>
      <m:oMath>
        <m:r>
          <m:rPr>
            <m:sty m:val="b"/>
          </m:rPr>
          <m:t>x</m:t>
        </m:r>
        <m:r>
          <m:rPr>
            <m:sty m:val="p"/>
          </m:rPr>
          <m:t>=</m:t>
        </m:r>
        <m:d>
          <m:dPr>
            <m:begChr m:val="("/>
            <m:endChr m:val=")"/>
            <m:sepChr m:val=""/>
            <m:grow/>
          </m:dPr>
          <m:e>
            <m:d>
              <m:dPr>
                <m:begChr m:val="("/>
                <m:endChr m:val=")"/>
                <m:sepChr m:val=""/>
                <m:grow/>
              </m:dPr>
              <m:e>
                <m:sSubSup>
                  <m:e>
                    <m:r>
                      <m:t>N</m:t>
                    </m:r>
                  </m:e>
                  <m:sub>
                    <m:r>
                      <m:t>1</m:t>
                    </m:r>
                  </m:sub>
                  <m:sup>
                    <m:r>
                      <m:t>o</m:t>
                    </m:r>
                    <m:r>
                      <m:t>b</m:t>
                    </m:r>
                    <m:r>
                      <m:t>s</m:t>
                    </m:r>
                  </m:sup>
                </m:sSubSup>
                <m:r>
                  <m:rPr>
                    <m:sty m:val="p"/>
                  </m:rPr>
                  <m:t>,</m:t>
                </m:r>
                <m:sSubSup>
                  <m:e>
                    <m:r>
                      <m:t>M</m:t>
                    </m:r>
                  </m:e>
                  <m:sub>
                    <m:r>
                      <m:t>1</m:t>
                    </m:r>
                  </m:sub>
                  <m:sup>
                    <m:r>
                      <m:rPr>
                        <m:nor/>
                        <m:sty m:val="p"/>
                      </m:rPr>
                      <m:t>obs</m:t>
                    </m:r>
                  </m:sup>
                </m:sSubSup>
              </m:e>
            </m:d>
            <m:r>
              <m:rPr>
                <m:sty m:val="p"/>
              </m:rPr>
              <m:t>,</m:t>
            </m:r>
            <m:r>
              <m:rPr>
                <m:sty m:val="p"/>
              </m:rPr>
              <m:t>…</m:t>
            </m:r>
            <m:r>
              <m:rPr>
                <m:sty m:val="p"/>
              </m:rPr>
              <m:t>,</m:t>
            </m:r>
            <m:d>
              <m:dPr>
                <m:begChr m:val="("/>
                <m:endChr m:val=")"/>
                <m:sepChr m:val=""/>
                <m:grow/>
              </m:dPr>
              <m:e>
                <m:sSubSup>
                  <m:e>
                    <m:r>
                      <m:t>N</m:t>
                    </m:r>
                  </m:e>
                  <m:sub>
                    <m:r>
                      <m:t>n</m:t>
                    </m:r>
                  </m:sub>
                  <m:sup>
                    <m:r>
                      <m:t>o</m:t>
                    </m:r>
                    <m:r>
                      <m:t>b</m:t>
                    </m:r>
                    <m:r>
                      <m:t>s</m:t>
                    </m:r>
                  </m:sup>
                </m:sSubSup>
                <m:r>
                  <m:rPr>
                    <m:sty m:val="p"/>
                  </m:rPr>
                  <m:t>,</m:t>
                </m:r>
                <m:sSubSup>
                  <m:e>
                    <m:r>
                      <m:t>M</m:t>
                    </m:r>
                  </m:e>
                  <m:sub>
                    <m:r>
                      <m:t>n</m:t>
                    </m:r>
                  </m:sub>
                  <m:sup>
                    <m:r>
                      <m:rPr>
                        <m:nor/>
                        <m:sty m:val="p"/>
                      </m:rPr>
                      <m:t>obs</m:t>
                    </m:r>
                  </m:sup>
                </m:sSubSup>
              </m:e>
            </m:d>
          </m:e>
        </m:d>
      </m:oMath>
      <w:r>
        <w:t xml:space="preserve"> </w:t>
      </w:r>
      <w:r>
        <w:t xml:space="preserve">under our model is</w:t>
      </w:r>
    </w:p>
    <w:p>
      <w:pPr>
        <w:pStyle w:val="BodyText"/>
      </w:pPr>
      <m:oMathPara>
        <m:oMathParaPr>
          <m:jc m:val="center"/>
        </m:oMathParaPr>
        <m:oMath>
          <m:r>
            <m:rPr>
              <m:sty m:val="p"/>
            </m:rPr>
            <m:t>log</m:t>
          </m:r>
          <m:r>
            <m:t>f</m:t>
          </m:r>
          <m:d>
            <m:dPr>
              <m:begChr m:val="("/>
              <m:endChr m:val=")"/>
              <m:sepChr m:val=""/>
              <m:grow/>
            </m:dPr>
            <m:e>
              <m:r>
                <m:rPr>
                  <m:sty m:val="b"/>
                </m:rPr>
                <m:t>θ</m:t>
              </m:r>
              <m:r>
                <m:rPr>
                  <m:sty m:val="p"/>
                </m:rPr>
                <m:t>,</m:t>
              </m:r>
              <m:r>
                <m:rPr>
                  <m:sty m:val="b"/>
                </m:rPr>
                <m:t>δ</m:t>
              </m:r>
              <m:r>
                <m:rPr>
                  <m:sty m:val="p"/>
                </m:rPr>
                <m:t>|</m:t>
              </m:r>
              <m:r>
                <m:rPr>
                  <m:sty m:val="b"/>
                </m:rPr>
                <m:t>x</m:t>
              </m:r>
            </m:e>
          </m:d>
          <m:r>
            <m:rPr>
              <m:sty m:val="p"/>
            </m:rPr>
            <m:t>∝</m:t>
          </m:r>
          <m:nary>
            <m:naryPr>
              <m:chr m:val="∑"/>
              <m:limLoc m:val="undOvr"/>
              <m:subHide m:val="off"/>
              <m:supHide m:val="off"/>
            </m:naryPr>
            <m:sub>
              <m:r>
                <m:t>i</m:t>
              </m:r>
              <m:r>
                <m:rPr>
                  <m:sty m:val="p"/>
                </m:rPr>
                <m:t>=</m:t>
              </m:r>
              <m:r>
                <m:t>1</m:t>
              </m:r>
            </m:sub>
            <m:sup>
              <m:r>
                <m:t>n</m:t>
              </m:r>
            </m:sup>
            <m:e>
              <m:d>
                <m:dPr>
                  <m:begChr m:val="("/>
                  <m:endChr m:val=")"/>
                  <m:sepChr m:val=""/>
                  <m:grow/>
                </m:dPr>
                <m:e>
                  <m:r>
                    <m:rPr>
                      <m:sty m:val="p"/>
                    </m:rPr>
                    <m:t>log</m:t>
                  </m:r>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b>
                        <m:e>
                          <m:r>
                            <m:t>θ</m:t>
                          </m:r>
                        </m:e>
                        <m:sub>
                          <m:r>
                            <m:t>i</m:t>
                          </m:r>
                        </m:sub>
                      </m:sSub>
                      <m:r>
                        <m:rPr>
                          <m:sty m:val="p"/>
                        </m:rPr>
                        <m:t>,</m:t>
                      </m:r>
                      <m:sSub>
                        <m:e>
                          <m:r>
                            <m:t>δ</m:t>
                          </m:r>
                        </m:e>
                        <m:sub>
                          <m:r>
                            <m:t>i</m:t>
                          </m:r>
                        </m:sub>
                      </m:sSub>
                    </m:e>
                  </m:d>
                  <m:r>
                    <m:rPr>
                      <m:sty m:val="p"/>
                    </m:rPr>
                    <m:t>+</m:t>
                  </m:r>
                  <m:r>
                    <m:rPr>
                      <m:sty m:val="p"/>
                    </m:rPr>
                    <m:t>log</m:t>
                  </m:r>
                  <m:r>
                    <m:t>f</m:t>
                  </m:r>
                  <m:d>
                    <m:dPr>
                      <m:begChr m:val="("/>
                      <m:endChr m:val=")"/>
                      <m:sepChr m:val=""/>
                      <m:grow/>
                    </m:dPr>
                    <m:e>
                      <m:sSub>
                        <m:e>
                          <m:r>
                            <m:t>θ</m:t>
                          </m:r>
                        </m:e>
                        <m:sub>
                          <m:r>
                            <m:t>i</m:t>
                          </m:r>
                        </m:sub>
                      </m:sSub>
                      <m:r>
                        <m:rPr>
                          <m:sty m:val="p"/>
                        </m:rPr>
                        <m:t>,</m:t>
                      </m:r>
                      <m:sSub>
                        <m:e>
                          <m:r>
                            <m:t>δ</m:t>
                          </m:r>
                        </m:e>
                        <m:sub>
                          <m:r>
                            <m:t>i</m:t>
                          </m:r>
                        </m:sub>
                      </m:sSub>
                    </m:e>
                  </m:d>
                </m:e>
              </m:d>
            </m:e>
          </m:nary>
          <m:r>
            <m:rPr>
              <m:sty m:val="p"/>
            </m:rPr>
            <m:t>,</m:t>
          </m:r>
        </m:oMath>
      </m:oMathPara>
    </w:p>
    <w:p>
      <w:pPr>
        <w:pStyle w:val="FirstParagraph"/>
      </w:pPr>
      <w:r>
        <w:t xml:space="preserve">where we use</w:t>
      </w:r>
      <w:r>
        <w:t xml:space="preserve"> </w:t>
      </w:r>
      <m:oMath>
        <m:r>
          <m:t>f</m:t>
        </m:r>
      </m:oMath>
      <w:r>
        <w:t xml:space="preserve"> </w:t>
      </w:r>
      <w:r>
        <w:t xml:space="preserve">to denote posterior and prior densities.</w:t>
      </w:r>
    </w:p>
    <w:bookmarkEnd w:id="27"/>
    <w:bookmarkStart w:id="28" w:name="base-model-prior-densities"/>
    <w:p>
      <w:pPr>
        <w:pStyle w:val="Heading3"/>
      </w:pPr>
      <w:r>
        <w:t xml:space="preserve">Base model prior densities</w:t>
      </w:r>
    </w:p>
    <w:p>
      <w:pPr>
        <w:pStyle w:val="FirstParagraph"/>
      </w:pPr>
      <w:r>
        <w:t xml:space="preserve">In the base model, we modelled the individual-level probability of multiple infection not conditional on the observed data as identical for all</w:t>
      </w:r>
      <w:r>
        <w:t xml:space="preserve"> </w:t>
      </w:r>
      <m:oMath>
        <m:r>
          <m:t>i</m:t>
        </m:r>
      </m:oMath>
      <w:r>
        <w:t xml:space="preserve"> </w:t>
      </w:r>
      <w:r>
        <w:t xml:space="preserve">with a prior density with diffuse variance</w:t>
      </w:r>
      <w:r>
        <w:t xml:space="preserve"> </w:t>
      </w:r>
      <w:r>
        <w:t xml:space="preserve">(</w:t>
      </w:r>
      <w:r>
        <w:t xml:space="preserve">“Stan Modeling Language Users Guide and Reference Manual, Version 2.35”</w:t>
      </w:r>
      <w:r>
        <w:t xml:space="preserve"> </w:t>
      </w:r>
      <w:r>
        <w:t xml:space="preserve">2024)</w:t>
      </w:r>
      <w:r>
        <w:t xml:space="preserve">:</w:t>
      </w:r>
    </w:p>
    <w:p>
      <w:pPr>
        <w:pStyle w:val="BodyText"/>
      </w:pPr>
      <m:oMathPara>
        <m:oMathParaPr>
          <m:jc m:val="center"/>
        </m:oMathParaPr>
        <m:oMath>
          <m:r>
            <m:rPr>
              <m:nor/>
              <m:sty m:val="p"/>
            </m:rPr>
            <m:t>logit</m:t>
          </m:r>
          <m:d>
            <m:dPr>
              <m:begChr m:val="("/>
              <m:endChr m:val=")"/>
              <m:sepChr m:val=""/>
              <m:grow/>
            </m:dPr>
            <m:e>
              <m:sSub>
                <m:e>
                  <m:r>
                    <m:t>δ</m:t>
                  </m:r>
                </m:e>
                <m:sub>
                  <m:r>
                    <m:t>i</m:t>
                  </m:r>
                </m:sub>
              </m:sSub>
            </m:e>
          </m:d>
          <m:r>
            <m:rPr>
              <m:sty m:val="p"/>
            </m:rPr>
            <m:t>=</m:t>
          </m:r>
          <m:sSub>
            <m:e>
              <m:r>
                <m:t>δ</m:t>
              </m:r>
            </m:e>
            <m:sub>
              <m:r>
                <m:t>0</m:t>
              </m:r>
            </m:sub>
          </m:sSub>
          <m:r>
            <m:rPr>
              <m:sty m:val="p"/>
            </m:rPr>
            <m:t>∼</m:t>
          </m:r>
          <m:r>
            <m:rPr>
              <m:nor/>
              <m:sty m:val="p"/>
            </m:rPr>
            <m:t>Normal</m:t>
          </m:r>
          <m:d>
            <m:dPr>
              <m:begChr m:val="("/>
              <m:endChr m:val=")"/>
              <m:sepChr m:val=""/>
              <m:grow/>
            </m:dPr>
            <m:e>
              <m:r>
                <m:t>0</m:t>
              </m:r>
              <m:r>
                <m:rPr>
                  <m:sty m:val="p"/>
                </m:rPr>
                <m:t>,</m:t>
              </m:r>
              <m:sSup>
                <m:e>
                  <m:r>
                    <m:t>3.16</m:t>
                  </m:r>
                </m:e>
                <m:sup>
                  <m:r>
                    <m:t>2</m:t>
                  </m:r>
                </m:sup>
              </m:sSup>
            </m:e>
          </m:d>
          <m:r>
            <m:rPr>
              <m:sty m:val="p"/>
            </m:rPr>
            <m:t>.</m:t>
          </m:r>
        </m:oMath>
      </m:oMathPara>
    </w:p>
    <w:p>
      <w:pPr>
        <w:pStyle w:val="FirstParagraph"/>
      </w:pPr>
      <w:r>
        <w:t xml:space="preserve">Given the log-linear dependency of sequencing success on log viral viral load </w:t>
      </w:r>
      <w:r>
        <w:t xml:space="preserve">(Bonsall et al. 2020)</w:t>
      </w:r>
      <w:r>
        <w:t xml:space="preserve">, known differences in sequencing success rates by sampling protocol </w:t>
      </w:r>
      <w:r>
        <w:t xml:space="preserve">(Monod et al. 2023)</w:t>
      </w:r>
      <w:r>
        <w:t xml:space="preserve">, and other factors, we specified the prior on the individual-level sequencing probability</w:t>
      </w:r>
      <w:r>
        <w:t xml:space="preserve"> </w:t>
      </w:r>
      <m:oMath>
        <m:sSub>
          <m:e>
            <m:r>
              <m:t>θ</m:t>
            </m:r>
          </m:e>
          <m:sub>
            <m:r>
              <m:t>i</m:t>
            </m:r>
          </m:sub>
        </m:sSub>
      </m:oMath>
      <w:r>
        <w:t xml:space="preserve"> </w:t>
      </w:r>
      <w:r>
        <w:t xml:space="preserve">through a logistic mixed effects model. Specifically, we modeled</w:t>
      </w:r>
      <w:r>
        <w:t xml:space="preserve"> </w:t>
      </w:r>
      <m:oMath>
        <m:r>
          <m:rPr>
            <m:nor/>
            <m:sty m:val="p"/>
          </m:rPr>
          <m:t>logit</m:t>
        </m:r>
        <m:d>
          <m:dPr>
            <m:begChr m:val="("/>
            <m:endChr m:val=")"/>
            <m:sepChr m:val=""/>
            <m:grow/>
          </m:dPr>
          <m:e>
            <m:sSub>
              <m:e>
                <m:r>
                  <m:t>θ</m:t>
                </m:r>
              </m:e>
              <m:sub>
                <m:r>
                  <m:t>i</m:t>
                </m:r>
              </m:sub>
            </m:sSub>
          </m:e>
        </m:d>
      </m:oMath>
      <w:r>
        <w:t xml:space="preserve"> </w:t>
      </w:r>
      <w:r>
        <w:t xml:space="preserve">with</w:t>
      </w:r>
    </w:p>
    <w:p>
      <w:pPr>
        <w:pStyle w:val="BodyText"/>
      </w:pPr>
      <m:oMathPara>
        <m:oMathParaPr>
          <m:jc m:val="center"/>
        </m:oMathParaPr>
        <m:oMath>
          <m:m>
            <m:mPr>
              <m:baseJc m:val="center"/>
              <m:plcHide m:val="on"/>
              <m:mcs>
                <m:mc>
                  <m:mcPr>
                    <m:mcJc m:val="right"/>
                    <m:count m:val="1"/>
                  </m:mcPr>
                </m:mc>
                <m:mc>
                  <m:mcPr>
                    <m:mcJc m:val="left"/>
                    <m:count m:val="1"/>
                  </m:mcPr>
                </m:mc>
              </m:mcs>
            </m:mPr>
            <m:mr>
              <m:e/>
              <m:e>
                <m:r>
                  <m:rPr>
                    <m:nor/>
                    <m:sty m:val="p"/>
                  </m:rPr>
                  <m:t>logit</m:t>
                </m:r>
                <m:d>
                  <m:dPr>
                    <m:begChr m:val="("/>
                    <m:endChr m:val=")"/>
                    <m:sepChr m:val=""/>
                    <m:grow/>
                  </m:dPr>
                  <m:e>
                    <m:sSub>
                      <m:e>
                        <m:r>
                          <m:t>θ</m:t>
                        </m:r>
                      </m:e>
                      <m:sub>
                        <m:r>
                          <m:t>i</m:t>
                        </m:r>
                      </m:sub>
                    </m:sSub>
                  </m:e>
                </m:d>
                <m:r>
                  <m:rPr>
                    <m:sty m:val="p"/>
                  </m:rPr>
                  <m:t>=</m:t>
                </m:r>
                <m:sSub>
                  <m:e>
                    <m:r>
                      <m:t>α</m:t>
                    </m:r>
                  </m:e>
                  <m:sub>
                    <m:r>
                      <m:t>0</m:t>
                    </m:r>
                  </m:sub>
                </m:sSub>
                <m:r>
                  <m:rPr>
                    <m:sty m:val="p"/>
                  </m:rPr>
                  <m:t>+</m:t>
                </m:r>
                <m:sSup>
                  <m:e>
                    <m:r>
                      <m:t>α</m:t>
                    </m:r>
                  </m:e>
                  <m:sup>
                    <m:r>
                      <m:rPr>
                        <m:nor/>
                        <m:sty m:val="p"/>
                      </m:rPr>
                      <m:t>bait</m:t>
                    </m:r>
                  </m:sup>
                </m:sSup>
                <m:sSubSup>
                  <m:e>
                    <m:r>
                      <m:t>X</m:t>
                    </m:r>
                  </m:e>
                  <m:sub>
                    <m:r>
                      <m:t>i</m:t>
                    </m:r>
                  </m:sub>
                  <m:sup>
                    <m:r>
                      <m:rPr>
                        <m:nor/>
                        <m:sty m:val="p"/>
                      </m:rPr>
                      <m:t>bait</m:t>
                    </m:r>
                  </m:sup>
                </m:sSubSup>
              </m:e>
            </m:mr>
            <m:mr>
              <m:e/>
              <m:e>
                <m:r>
                  <m:t> </m:t>
                </m:r>
                <m:r>
                  <m:t> </m:t>
                </m:r>
                <m:r>
                  <m:rPr>
                    <m:sty m:val="p"/>
                  </m:rPr>
                  <m:t>+</m:t>
                </m:r>
                <m:sSup>
                  <m:e>
                    <m:r>
                      <m:t>α</m:t>
                    </m:r>
                  </m:e>
                  <m:sup>
                    <m:r>
                      <m:rPr>
                        <m:nor/>
                        <m:sty m:val="p"/>
                      </m:rPr>
                      <m:t>amplicon-vl</m:t>
                    </m:r>
                  </m:sup>
                </m:sSup>
                <m:sSubSup>
                  <m:e>
                    <m:r>
                      <m:t>V</m:t>
                    </m:r>
                  </m:e>
                  <m:sub>
                    <m:r>
                      <m:t>i</m:t>
                    </m:r>
                  </m:sub>
                  <m:sup>
                    <m:r>
                      <m:t>a</m:t>
                    </m:r>
                  </m:sup>
                </m:sSubSup>
                <m:sSubSup>
                  <m:e>
                    <m:r>
                      <m:t>X</m:t>
                    </m:r>
                  </m:e>
                  <m:sub>
                    <m:r>
                      <m:t>i</m:t>
                    </m:r>
                  </m:sub>
                  <m:sup>
                    <m:r>
                      <m:rPr>
                        <m:nor/>
                        <m:sty m:val="p"/>
                      </m:rPr>
                      <m:t>amplicon</m:t>
                    </m:r>
                  </m:sup>
                </m:sSubSup>
                <m:r>
                  <m:rPr>
                    <m:sty m:val="p"/>
                  </m:rPr>
                  <m:t>+</m:t>
                </m:r>
                <m:sSup>
                  <m:e>
                    <m:r>
                      <m:t>α</m:t>
                    </m:r>
                  </m:e>
                  <m:sup>
                    <m:r>
                      <m:rPr>
                        <m:nor/>
                        <m:sty m:val="p"/>
                      </m:rPr>
                      <m:t>bait-vl</m:t>
                    </m:r>
                  </m:sup>
                </m:sSup>
                <m:sSubSup>
                  <m:e>
                    <m:r>
                      <m:t>V</m:t>
                    </m:r>
                  </m:e>
                  <m:sub>
                    <m:r>
                      <m:t>i</m:t>
                    </m:r>
                  </m:sub>
                  <m:sup>
                    <m:r>
                      <m:t>b</m:t>
                    </m:r>
                  </m:sup>
                </m:sSubSup>
                <m:sSubSup>
                  <m:e>
                    <m:r>
                      <m:t>X</m:t>
                    </m:r>
                  </m:e>
                  <m:sub>
                    <m:r>
                      <m:t>i</m:t>
                    </m:r>
                  </m:sub>
                  <m:sup>
                    <m:r>
                      <m:rPr>
                        <m:nor/>
                        <m:sty m:val="p"/>
                      </m:rPr>
                      <m:t>bait-capture</m:t>
                    </m:r>
                  </m:sup>
                </m:sSubSup>
                <m:r>
                  <m:rPr>
                    <m:sty m:val="p"/>
                  </m:rPr>
                  <m:t>+</m:t>
                </m:r>
                <m:sSub>
                  <m:e>
                    <m:r>
                      <m:t>α</m:t>
                    </m:r>
                  </m:e>
                  <m:sub>
                    <m:r>
                      <m:t>i</m:t>
                    </m:r>
                  </m:sub>
                </m:sSub>
              </m:e>
            </m:mr>
            <m:mr>
              <m:e/>
              <m:e>
                <m:sSub>
                  <m:e>
                    <m:r>
                      <m:t>α</m:t>
                    </m:r>
                  </m:e>
                  <m:sub>
                    <m:r>
                      <m:t>0</m:t>
                    </m:r>
                  </m:sub>
                </m:sSub>
                <m:r>
                  <m:rPr>
                    <m:sty m:val="p"/>
                  </m:rPr>
                  <m:t>∼</m:t>
                </m:r>
                <m:r>
                  <m:rPr>
                    <m:nor/>
                    <m:sty m:val="p"/>
                  </m:rPr>
                  <m:t>Normal</m:t>
                </m:r>
                <m:d>
                  <m:dPr>
                    <m:begChr m:val="("/>
                    <m:endChr m:val=")"/>
                    <m:sepChr m:val=""/>
                    <m:grow/>
                  </m:dPr>
                  <m:e>
                    <m:r>
                      <m:t>0</m:t>
                    </m:r>
                    <m:r>
                      <m:rPr>
                        <m:sty m:val="p"/>
                      </m:rPr>
                      <m:t>,</m:t>
                    </m:r>
                    <m:sSup>
                      <m:e>
                        <m:r>
                          <m:t>2</m:t>
                        </m:r>
                      </m:e>
                      <m:sup>
                        <m:r>
                          <m:t>2</m:t>
                        </m:r>
                      </m:sup>
                    </m:sSup>
                  </m:e>
                </m:d>
              </m:e>
            </m:mr>
            <m:mr>
              <m:e/>
              <m:e>
                <m:sSup>
                  <m:e>
                    <m:r>
                      <m:t>α</m:t>
                    </m:r>
                  </m:e>
                  <m:sup>
                    <m:r>
                      <m:rPr>
                        <m:nor/>
                        <m:sty m:val="p"/>
                      </m:rPr>
                      <m:t>bait</m:t>
                    </m:r>
                  </m:sup>
                </m:sSup>
                <m:r>
                  <m:rPr>
                    <m:sty m:val="p"/>
                  </m:rPr>
                  <m:t>∼</m:t>
                </m:r>
                <m:r>
                  <m:rPr>
                    <m:nor/>
                    <m:sty m:val="p"/>
                  </m:rPr>
                  <m:t>Normal</m:t>
                </m:r>
                <m:d>
                  <m:dPr>
                    <m:begChr m:val="("/>
                    <m:endChr m:val=")"/>
                    <m:sepChr m:val=""/>
                    <m:grow/>
                  </m:dPr>
                  <m:e>
                    <m:r>
                      <m:t>0</m:t>
                    </m:r>
                    <m:r>
                      <m:rPr>
                        <m:sty m:val="p"/>
                      </m:rPr>
                      <m:t>,</m:t>
                    </m:r>
                    <m:sSup>
                      <m:e>
                        <m:r>
                          <m:t>2</m:t>
                        </m:r>
                      </m:e>
                      <m:sup>
                        <m:r>
                          <m:t>2</m:t>
                        </m:r>
                      </m:sup>
                    </m:sSup>
                  </m:e>
                </m:d>
              </m:e>
            </m:mr>
            <m:mr>
              <m:e/>
              <m:e>
                <m:sSup>
                  <m:e>
                    <m:r>
                      <m:t>α</m:t>
                    </m:r>
                  </m:e>
                  <m:sup>
                    <m:r>
                      <m:rPr>
                        <m:nor/>
                        <m:sty m:val="p"/>
                      </m:rPr>
                      <m:t>amplicon-vl</m:t>
                    </m:r>
                  </m:sup>
                </m:sSup>
                <m:r>
                  <m:rPr>
                    <m:sty m:val="p"/>
                  </m:rPr>
                  <m:t>,</m:t>
                </m:r>
                <m:sSup>
                  <m:e>
                    <m:r>
                      <m:t>α</m:t>
                    </m:r>
                  </m:e>
                  <m:sup>
                    <m:r>
                      <m:rPr>
                        <m:nor/>
                        <m:sty m:val="p"/>
                      </m:rPr>
                      <m:t>bait-capture-vl</m:t>
                    </m:r>
                  </m:sup>
                </m:sSup>
                <m:r>
                  <m:rPr>
                    <m:sty m:val="p"/>
                  </m:rPr>
                  <m:t>∼</m:t>
                </m:r>
                <m:r>
                  <m:rPr>
                    <m:nor/>
                    <m:sty m:val="p"/>
                  </m:rPr>
                  <m:t>Normal</m:t>
                </m:r>
                <m:d>
                  <m:dPr>
                    <m:begChr m:val="("/>
                    <m:endChr m:val=")"/>
                    <m:sepChr m:val=""/>
                    <m:grow/>
                  </m:dPr>
                  <m:e>
                    <m:r>
                      <m:t>0</m:t>
                    </m:r>
                    <m:r>
                      <m:rPr>
                        <m:sty m:val="p"/>
                      </m:rPr>
                      <m:t>,</m:t>
                    </m:r>
                    <m:sSup>
                      <m:e>
                        <m:r>
                          <m:t>2</m:t>
                        </m:r>
                      </m:e>
                      <m:sup>
                        <m:r>
                          <m:t>2</m:t>
                        </m:r>
                      </m:sup>
                    </m:sSup>
                  </m:e>
                </m:d>
                <m:r>
                  <m:rPr>
                    <m:sty m:val="p"/>
                  </m:rPr>
                  <m:t>,</m:t>
                </m:r>
              </m:e>
            </m:mr>
            <m:mr>
              <m:e/>
              <m:e>
                <m:sSub>
                  <m:e>
                    <m:r>
                      <m:t>α</m:t>
                    </m:r>
                  </m:e>
                  <m:sub>
                    <m:r>
                      <m:t>i</m:t>
                    </m:r>
                  </m:sub>
                </m:sSub>
                <m:r>
                  <m:rPr>
                    <m:sty m:val="p"/>
                  </m:rPr>
                  <m:t>∼</m:t>
                </m:r>
                <m:r>
                  <m:rPr>
                    <m:nor/>
                    <m:sty m:val="p"/>
                  </m:rPr>
                  <m:t>Normal</m:t>
                </m:r>
                <m:d>
                  <m:dPr>
                    <m:begChr m:val="("/>
                    <m:endChr m:val=")"/>
                    <m:sepChr m:val=""/>
                    <m:grow/>
                  </m:dPr>
                  <m:e>
                    <m:r>
                      <m:t>0</m:t>
                    </m:r>
                    <m:r>
                      <m:rPr>
                        <m:sty m:val="p"/>
                      </m:rPr>
                      <m:t>,</m:t>
                    </m:r>
                    <m:sSubSup>
                      <m:e>
                        <m:r>
                          <m:t>σ</m:t>
                        </m:r>
                      </m:e>
                      <m:sub>
                        <m:r>
                          <m:t>α</m:t>
                        </m:r>
                      </m:sub>
                      <m:sup>
                        <m:r>
                          <m:t>2</m:t>
                        </m:r>
                      </m:sup>
                    </m:sSubSup>
                  </m:e>
                </m:d>
              </m:e>
            </m:mr>
            <m:mr>
              <m:e/>
              <m:e>
                <m:sSub>
                  <m:e>
                    <m:r>
                      <m:t>σ</m:t>
                    </m:r>
                  </m:e>
                  <m:sub>
                    <m:r>
                      <m:t>α</m:t>
                    </m:r>
                  </m:sub>
                </m:sSub>
                <m:r>
                  <m:rPr>
                    <m:sty m:val="p"/>
                  </m:rPr>
                  <m:t>∼</m:t>
                </m:r>
                <m:r>
                  <m:rPr>
                    <m:nor/>
                    <m:sty m:val="p"/>
                  </m:rPr>
                  <m:t>Half-Cauchy</m:t>
                </m:r>
                <m:d>
                  <m:dPr>
                    <m:begChr m:val="("/>
                    <m:endChr m:val=")"/>
                    <m:sepChr m:val=""/>
                    <m:grow/>
                  </m:dPr>
                  <m:e>
                    <m:r>
                      <m:t>0</m:t>
                    </m:r>
                    <m:r>
                      <m:rPr>
                        <m:sty m:val="p"/>
                      </m:rPr>
                      <m:t>,</m:t>
                    </m:r>
                    <m:r>
                      <m:t>1</m:t>
                    </m:r>
                  </m:e>
                </m:d>
              </m:e>
            </m:mr>
          </m:m>
        </m:oMath>
      </m:oMathPara>
    </w:p>
    <w:p>
      <w:pPr>
        <w:pStyle w:val="FirstParagraph"/>
      </w:pPr>
      <w:r>
        <w:t xml:space="preserve">where</w:t>
      </w:r>
      <w:r>
        <w:t xml:space="preserve"> </w:t>
      </w:r>
      <m:oMath>
        <m:sSubSup>
          <m:e>
            <m:r>
              <m:t>X</m:t>
            </m:r>
          </m:e>
          <m:sub>
            <m:r>
              <m:t>i</m:t>
            </m:r>
          </m:sub>
          <m:sup>
            <m:r>
              <m:rPr>
                <m:nor/>
                <m:sty m:val="p"/>
              </m:rPr>
              <m:t>amplicon</m:t>
            </m:r>
          </m:sup>
        </m:sSubSup>
      </m:oMath>
      <w:r>
        <w:t xml:space="preserve"> </w:t>
      </w:r>
      <w:r>
        <w:t xml:space="preserve">and</w:t>
      </w:r>
      <w:r>
        <w:t xml:space="preserve"> </w:t>
      </w:r>
      <m:oMath>
        <m:sSubSup>
          <m:e>
            <m:r>
              <m:t>X</m:t>
            </m:r>
          </m:e>
          <m:sub>
            <m:r>
              <m:t>i</m:t>
            </m:r>
          </m:sub>
          <m:sup>
            <m:r>
              <m:rPr>
                <m:nor/>
                <m:sty m:val="p"/>
              </m:rPr>
              <m:t>bait</m:t>
            </m:r>
          </m:sup>
        </m:sSubSup>
      </m:oMath>
      <w:r>
        <w:t xml:space="preserve"> </w:t>
      </w:r>
      <w:r>
        <w:t xml:space="preserve">are indicator variables for whether sample</w:t>
      </w:r>
      <w:r>
        <w:t xml:space="preserve"> </w:t>
      </w:r>
      <m:oMath>
        <m:r>
          <m:t>i</m:t>
        </m:r>
      </m:oMath>
      <w:r>
        <w:t xml:space="preserve"> </w:t>
      </w:r>
      <w:r>
        <w:t xml:space="preserve">was sequenced using the amplicon or bait capture approach respectively, and</w:t>
      </w:r>
      <w:r>
        <w:t xml:space="preserve"> </w:t>
      </w:r>
      <m:oMath>
        <m:sSubSup>
          <m:e>
            <m:r>
              <m:t>V</m:t>
            </m:r>
          </m:e>
          <m:sub>
            <m:r>
              <m:t>i</m:t>
            </m:r>
          </m:sub>
          <m:sup>
            <m:r>
              <m:t>a</m:t>
            </m:r>
          </m:sup>
        </m:sSubSup>
      </m:oMath>
      <w:r>
        <w:t xml:space="preserve"> </w:t>
      </w:r>
      <w:r>
        <w:t xml:space="preserve">and</w:t>
      </w:r>
      <w:r>
        <w:t xml:space="preserve"> </w:t>
      </w:r>
      <m:oMath>
        <m:sSubSup>
          <m:e>
            <m:r>
              <m:t>V</m:t>
            </m:r>
          </m:e>
          <m:sub>
            <m:r>
              <m:t>i</m:t>
            </m:r>
          </m:sub>
          <m:sup>
            <m:r>
              <m:t>b</m:t>
            </m:r>
          </m:sup>
        </m:sSubSup>
      </m:oMath>
      <w:r>
        <w:t xml:space="preserve"> </w:t>
      </w:r>
      <w:r>
        <w:t xml:space="preserve">were the log</w:t>
      </w:r>
      <w:r>
        <w:rPr>
          <w:vertAlign w:val="subscript"/>
        </w:rPr>
        <w:t xml:space="preserve">10</w:t>
      </w:r>
      <w:r>
        <w:t xml:space="preserve"> </w:t>
      </w:r>
      <w:r>
        <w:t xml:space="preserve">copies/mL values for amplicon and bait capture sequenced samples, respectively, standardized to have mean zero and standard deviation 1, and</w:t>
      </w:r>
      <w:r>
        <w:t xml:space="preserve"> </w:t>
      </w:r>
      <m:oMath>
        <m:sSub>
          <m:e>
            <m:r>
              <m:t>α</m:t>
            </m:r>
          </m:e>
          <m:sub>
            <m:r>
              <m:t>i</m:t>
            </m:r>
          </m:sub>
        </m:sSub>
      </m:oMath>
      <w:r>
        <w:t xml:space="preserve"> </w:t>
      </w:r>
      <w:r>
        <w:t xml:space="preserve">denotes an individual-level random effect.</w:t>
      </w:r>
    </w:p>
    <w:bookmarkEnd w:id="28"/>
    <w:bookmarkStart w:id="29" w:name="sec:full_model"/>
    <w:p>
      <w:pPr>
        <w:pStyle w:val="Heading3"/>
      </w:pPr>
      <w:r>
        <w:t xml:space="preserve">Modelling false-negative and false-positive phylogenetic observations</w:t>
      </w:r>
    </w:p>
    <w:p>
      <w:pPr>
        <w:pStyle w:val="FirstParagraph"/>
      </w:pPr>
      <w:r>
        <w:t xml:space="preserve">We extended the base model to account for possible false-negative and false-positive phylogenetic observations, accounting for incomplete removal of false-positive observations through</w:t>
      </w:r>
      <w:r>
        <w:t xml:space="preserve"> </w:t>
      </w:r>
      <w:r>
        <w:rPr>
          <w:i/>
          <w:iCs/>
        </w:rPr>
        <w:t xml:space="preserve">phyloscanner</w:t>
      </w:r>
      <w:r>
        <w:t xml:space="preserve">, and/or incomplete phylogenetic identification of multiple infections due to insufficient phylogenetic background. First, among individuals in which</w:t>
      </w:r>
      <w:r>
        <w:t xml:space="preserve"> </w:t>
      </w:r>
      <m:oMath>
        <m:sSub>
          <m:e>
            <m:r>
              <m:t>M</m:t>
            </m:r>
          </m:e>
          <m:sub>
            <m:r>
              <m:t>i</m:t>
            </m:r>
          </m:sub>
        </m:sSub>
        <m:r>
          <m:rPr>
            <m:sty m:val="p"/>
          </m:rPr>
          <m:t>=</m:t>
        </m:r>
        <m:r>
          <m:t>1</m:t>
        </m:r>
      </m:oMath>
      <w:r>
        <w:t xml:space="preserve"> </w:t>
      </w:r>
      <w:r>
        <w:t xml:space="preserve">we accounted for the scenario in which both variants are successfully sequenced in a given window but were identified as a single phylogenetic clade by</w:t>
      </w:r>
      <w:r>
        <w:t xml:space="preserve"> </w:t>
      </w:r>
      <w:r>
        <w:rPr>
          <w:i/>
          <w:iCs/>
        </w:rPr>
        <w:t xml:space="preserve">phyloscanner</w:t>
      </w:r>
      <w:r>
        <w:t xml:space="preserve">, i.e. false-negative observations, by modifying our data generating model to</w:t>
      </w:r>
    </w:p>
    <w:p>
      <w:pPr>
        <w:pStyle w:val="BodyText"/>
      </w:pPr>
      <m:oMathPara>
        <m:oMathParaPr>
          <m:jc m:val="center"/>
        </m:oMathParaPr>
        <m:oMath>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θ</m:t>
                      </m:r>
                    </m:e>
                    <m:sub>
                      <m:r>
                        <m:t>i</m:t>
                      </m:r>
                    </m:sub>
                  </m:sSub>
                </m:num>
                <m:den>
                  <m:r>
                    <m:t>2</m:t>
                  </m:r>
                  <m:r>
                    <m:rPr>
                      <m:sty m:val="p"/>
                    </m:rPr>
                    <m:t>−</m:t>
                  </m:r>
                  <m:sSub>
                    <m:e>
                      <m:r>
                        <m:t>θ</m:t>
                      </m:r>
                    </m:e>
                    <m:sub>
                      <m:r>
                        <m:t>i</m:t>
                      </m:r>
                    </m:sub>
                  </m:sSub>
                </m:den>
              </m:f>
              <m:d>
                <m:dPr>
                  <m:begChr m:val="("/>
                  <m:endChr m:val=")"/>
                  <m:sepChr m:val=""/>
                  <m:grow/>
                </m:dPr>
                <m:e>
                  <m:r>
                    <m:t>1</m:t>
                  </m:r>
                  <m:r>
                    <m:rPr>
                      <m:sty m:val="p"/>
                    </m:rPr>
                    <m:t>−</m:t>
                  </m:r>
                  <m:r>
                    <m:t>λ</m:t>
                  </m:r>
                </m:e>
              </m:d>
            </m:e>
          </m:d>
          <m:r>
            <m:rPr>
              <m:sty m:val="p"/>
            </m:rPr>
            <m:t>,</m:t>
          </m:r>
        </m:oMath>
      </m:oMathPara>
    </w:p>
    <w:p>
      <w:pPr>
        <w:pStyle w:val="FirstParagraph"/>
      </w:pPr>
      <w:r>
        <w:t xml:space="preserve">where</w:t>
      </w:r>
      <w:r>
        <w:t xml:space="preserve"> </w:t>
      </w:r>
      <m:oMath>
        <m:r>
          <m:t>λ</m:t>
        </m:r>
      </m:oMath>
      <w:r>
        <w:t xml:space="preserve"> </w:t>
      </w:r>
      <w:r>
        <w:t xml:space="preserve">represents the false-negative rate.</w:t>
      </w:r>
      <w:r>
        <w:t xml:space="preserve"> </w:t>
      </w:r>
      <w:r>
        <w:t xml:space="preserve">We analogously accounted for the scenario in which only a single variant was sequenced but</w:t>
      </w:r>
      <w:r>
        <w:t xml:space="preserve"> </w:t>
      </w:r>
      <w:r>
        <w:rPr>
          <w:i/>
          <w:iCs/>
        </w:rPr>
        <w:t xml:space="preserve">phyloscanner</w:t>
      </w:r>
      <w:r>
        <w:t xml:space="preserve"> </w:t>
      </w:r>
      <w:r>
        <w:t xml:space="preserve">spuriously assigned multiple subgraphs in a given window, i.e. false-positive observations, through a false-positive rate</w:t>
      </w:r>
      <w:r>
        <w:t xml:space="preserve"> </w:t>
      </w:r>
      <m:oMath>
        <m:r>
          <m:t>ϵ</m:t>
        </m:r>
      </m:oMath>
      <w:r>
        <w:t xml:space="preserve"> </w:t>
      </w:r>
      <w:r>
        <w:t xml:space="preserve">in the model. We modeled false-positives among samples lacking multiple infection and among windows in multiply infected samples in which only a single variant was sequenced, which occurs with probability</w:t>
      </w:r>
      <w:r>
        <w:t xml:space="preserve"> </w:t>
      </w:r>
      <m:oMath>
        <m:r>
          <m:t>2</m:t>
        </m:r>
        <m:f>
          <m:fPr>
            <m:type m:val="bar"/>
          </m:fPr>
          <m:num>
            <m:r>
              <m:t>1</m:t>
            </m:r>
            <m:r>
              <m:rPr>
                <m:sty m:val="p"/>
              </m:rPr>
              <m:t>−</m:t>
            </m:r>
            <m:sSub>
              <m:e>
                <m:r>
                  <m:t>θ</m:t>
                </m:r>
              </m:e>
              <m:sub>
                <m:r>
                  <m:t>i</m:t>
                </m:r>
              </m:sub>
            </m:sSub>
          </m:num>
          <m:den>
            <m:r>
              <m:t>2</m:t>
            </m:r>
            <m:r>
              <m:rPr>
                <m:sty m:val="p"/>
              </m:rPr>
              <m:t>−</m:t>
            </m:r>
            <m:sSub>
              <m:e>
                <m:r>
                  <m:t>θ</m:t>
                </m:r>
              </m:e>
              <m:sub>
                <m:r>
                  <m:t>i</m:t>
                </m:r>
              </m:sub>
            </m:sSub>
          </m:den>
        </m:f>
      </m:oMath>
      <w:r>
        <w:t xml:space="preserve"> </w:t>
      </w:r>
      <w:r>
        <w:t xml:space="preserve">when</w:t>
      </w:r>
      <w:r>
        <w:t xml:space="preserve"> </w:t>
      </w:r>
      <m:oMath>
        <m:sSub>
          <m:e>
            <m:r>
              <m:t>N</m:t>
            </m:r>
          </m:e>
          <m:sub>
            <m:r>
              <m:t>i</m:t>
            </m:r>
            <m:r>
              <m:rPr>
                <m:sty m:val="p"/>
              </m:rPr>
              <m:t>,</m:t>
            </m:r>
            <m:r>
              <m:t>w</m:t>
            </m:r>
          </m:sub>
        </m:sSub>
        <m:r>
          <m:rPr>
            <m:sty m:val="p"/>
          </m:rPr>
          <m:t>=</m:t>
        </m:r>
        <m:r>
          <m:t>1</m:t>
        </m:r>
      </m:oMath>
      <w:r>
        <w:t xml:space="preserve">, but was spuriously assigned to two subgraphs. Note that because we did not differentiate between windows with exactly 2 and</w:t>
      </w:r>
      <w:r>
        <w:t xml:space="preserve"> </w:t>
      </w:r>
      <m:oMath>
        <m:r>
          <m:rPr>
            <m:sty m:val="p"/>
          </m:rPr>
          <m:t>&gt;</m:t>
        </m:r>
        <m:r>
          <m:t>2</m:t>
        </m:r>
      </m:oMath>
      <w:r>
        <w:t xml:space="preserve"> </w:t>
      </w:r>
      <w:r>
        <w:t xml:space="preserve">subgraphs, we do not consider the scenario where both variants are sequenced in a true multiple infection and the two sequenced variants are spuriously assigned to 3 or 4 subgraphs. Our data generating model was updated to account for false-positives and false-negatives as:</w:t>
      </w:r>
    </w:p>
    <w:p>
      <w:pPr>
        <w:pStyle w:val="BodyText"/>
      </w:pPr>
      <m:oMathPara>
        <m:oMathParaPr>
          <m:jc m:val="center"/>
        </m:oMathParaPr>
        <m:oMath>
          <m:m>
            <m:mPr>
              <m:baseJc m:val="center"/>
              <m:plcHide m:val="on"/>
              <m:mcs>
                <m:mc>
                  <m:mcPr>
                    <m:mcJc m:val="right"/>
                    <m:count m:val="1"/>
                  </m:mcPr>
                </m:mc>
                <m:mc>
                  <m:mcPr>
                    <m:mcJc m:val="left"/>
                    <m:count m:val="1"/>
                  </m:mcPr>
                </m:mc>
              </m:mcs>
            </m:mP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θ</m:t>
                            </m:r>
                          </m:e>
                          <m:sub>
                            <m:r>
                              <m:t>i</m:t>
                            </m:r>
                          </m:sub>
                        </m:sSub>
                      </m:num>
                      <m:den>
                        <m:r>
                          <m:t>2</m:t>
                        </m:r>
                        <m:r>
                          <m:rPr>
                            <m:sty m:val="p"/>
                          </m:rPr>
                          <m:t>−</m:t>
                        </m:r>
                        <m:sSub>
                          <m:e>
                            <m:r>
                              <m:t>θ</m:t>
                            </m:r>
                          </m:e>
                          <m:sub>
                            <m:r>
                              <m:t>i</m:t>
                            </m:r>
                          </m:sub>
                        </m:sSub>
                      </m:den>
                    </m:f>
                    <m:d>
                      <m:dPr>
                        <m:begChr m:val="("/>
                        <m:endChr m:val=")"/>
                        <m:sepChr m:val=""/>
                        <m:grow/>
                      </m:dPr>
                      <m:e>
                        <m:r>
                          <m:t>1</m:t>
                        </m:r>
                        <m:r>
                          <m:rPr>
                            <m:sty m:val="p"/>
                          </m:rPr>
                          <m:t>−</m:t>
                        </m:r>
                        <m:r>
                          <m:t>λ</m:t>
                        </m:r>
                      </m:e>
                    </m:d>
                    <m:r>
                      <m:rPr>
                        <m:sty m:val="p"/>
                      </m:rPr>
                      <m:t>+</m:t>
                    </m:r>
                    <m:r>
                      <m:t>2</m:t>
                    </m:r>
                    <m:r>
                      <m:t>ϵ</m:t>
                    </m:r>
                    <m:f>
                      <m:fPr>
                        <m:type m:val="bar"/>
                      </m:fPr>
                      <m:num>
                        <m:r>
                          <m:t>1</m:t>
                        </m:r>
                        <m:r>
                          <m:rPr>
                            <m:sty m:val="p"/>
                          </m:rPr>
                          <m:t>−</m:t>
                        </m:r>
                        <m:sSub>
                          <m:e>
                            <m:r>
                              <m:t>θ</m:t>
                            </m:r>
                          </m:e>
                          <m:sub>
                            <m:r>
                              <m:t>i</m:t>
                            </m:r>
                          </m:sub>
                        </m:sSub>
                      </m:num>
                      <m:den>
                        <m:r>
                          <m:t>2</m:t>
                        </m:r>
                        <m:r>
                          <m:rPr>
                            <m:sty m:val="p"/>
                          </m:rPr>
                          <m:t>−</m:t>
                        </m:r>
                        <m:sSub>
                          <m:e>
                            <m:r>
                              <m:t>θ</m:t>
                            </m:r>
                          </m:e>
                          <m:sub>
                            <m:r>
                              <m:t>i</m:t>
                            </m:r>
                          </m:sub>
                        </m:sSub>
                      </m:den>
                    </m:f>
                  </m:e>
                </m:d>
              </m:e>
            </m:mr>
            <m:mr>
              <m:e>
                <m:d>
                  <m:dPr>
                    <m:begChr m:val="("/>
                    <m:endChr m:val=")"/>
                    <m:sepChr m:val=""/>
                    <m:grow/>
                  </m:dPr>
                  <m:e>
                    <m:sSubSup>
                      <m:e>
                        <m:r>
                          <m:t>M</m:t>
                        </m:r>
                      </m:e>
                      <m:sub>
                        <m:r>
                          <m:t>i</m:t>
                        </m:r>
                      </m:sub>
                      <m:sup>
                        <m:r>
                          <m:rPr>
                            <m:nor/>
                            <m:sty m:val="p"/>
                          </m:rPr>
                          <m:t>obs</m:t>
                        </m:r>
                      </m:sup>
                    </m:sSubSup>
                    <m:r>
                      <m:rPr>
                        <m:sty m:val="p"/>
                      </m:rPr>
                      <m:t>|</m:t>
                    </m:r>
                    <m:sSubSup>
                      <m:e>
                        <m:r>
                          <m:t>N</m:t>
                        </m:r>
                      </m:e>
                      <m:sub>
                        <m:r>
                          <m:t>i</m:t>
                        </m:r>
                      </m:sub>
                      <m:sup>
                        <m:r>
                          <m:t>o</m:t>
                        </m:r>
                        <m:r>
                          <m:t>b</m:t>
                        </m:r>
                        <m:r>
                          <m:t>s</m:t>
                        </m:r>
                      </m:sup>
                    </m:sSubSup>
                    <m:r>
                      <m:rPr>
                        <m:sty m:val="p"/>
                      </m:rPr>
                      <m:t>,</m:t>
                    </m:r>
                    <m:sSub>
                      <m:e>
                        <m:r>
                          <m:t>θ</m:t>
                        </m:r>
                      </m:e>
                      <m:sub>
                        <m:r>
                          <m:t>i</m:t>
                        </m:r>
                      </m:sub>
                    </m:sSub>
                    <m:r>
                      <m:rPr>
                        <m:sty m:val="p"/>
                      </m:rPr>
                      <m:t>,</m:t>
                    </m:r>
                    <m:sSub>
                      <m:e>
                        <m:r>
                          <m:t>M</m:t>
                        </m:r>
                      </m:e>
                      <m:sub>
                        <m:r>
                          <m:t>i</m:t>
                        </m:r>
                      </m:sub>
                    </m:sSub>
                    <m:r>
                      <m:rPr>
                        <m:sty m:val="p"/>
                      </m:rPr>
                      <m:t>=</m:t>
                    </m:r>
                    <m:r>
                      <m:t>0</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r>
                      <m:t>ϵ</m:t>
                    </m:r>
                  </m:e>
                </m:d>
                <m:r>
                  <m:rPr>
                    <m:sty m:val="p"/>
                  </m:rPr>
                  <m:t>,</m:t>
                </m:r>
              </m:e>
            </m:mr>
          </m:m>
        </m:oMath>
      </m:oMathPara>
    </w:p>
    <w:p>
      <w:pPr>
        <w:pStyle w:val="FirstParagraph"/>
      </w:pPr>
      <w:r>
        <w:t xml:space="preserve">with additional prior densities</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r>
                      <m:t>λ</m:t>
                    </m:r>
                  </m:e>
                </m:d>
              </m:e>
              <m:e>
                <m:r>
                  <m:rPr>
                    <m:sty m:val="p"/>
                  </m:rPr>
                  <m:t>∼</m:t>
                </m:r>
                <m:r>
                  <m:rPr>
                    <m:nor/>
                    <m:sty m:val="p"/>
                  </m:rPr>
                  <m:t>Normal</m:t>
                </m:r>
                <m:d>
                  <m:dPr>
                    <m:begChr m:val="("/>
                    <m:endChr m:val=")"/>
                    <m:sepChr m:val=""/>
                    <m:grow/>
                  </m:dPr>
                  <m:e>
                    <m:r>
                      <m:t>0</m:t>
                    </m:r>
                    <m:r>
                      <m:rPr>
                        <m:sty m:val="p"/>
                      </m:rPr>
                      <m:t>,</m:t>
                    </m:r>
                    <m:r>
                      <m:t>1</m:t>
                    </m:r>
                  </m:e>
                </m:d>
              </m:e>
            </m:mr>
            <m:mr>
              <m:e>
                <m:r>
                  <m:rPr>
                    <m:nor/>
                    <m:sty m:val="p"/>
                  </m:rPr>
                  <m:t>logit</m:t>
                </m:r>
                <m:d>
                  <m:dPr>
                    <m:begChr m:val="("/>
                    <m:endChr m:val=")"/>
                    <m:sepChr m:val=""/>
                    <m:grow/>
                  </m:dPr>
                  <m:e>
                    <m:r>
                      <m:t>ϵ</m:t>
                    </m:r>
                  </m:e>
                </m:d>
              </m:e>
              <m:e>
                <m:r>
                  <m:rPr>
                    <m:sty m:val="p"/>
                  </m:rPr>
                  <m:t>∼</m:t>
                </m:r>
                <m:r>
                  <m:rPr>
                    <m:nor/>
                    <m:sty m:val="p"/>
                  </m:rPr>
                  <m:t>Normal</m:t>
                </m:r>
                <m:d>
                  <m:dPr>
                    <m:begChr m:val="("/>
                    <m:endChr m:val=")"/>
                    <m:sepChr m:val=""/>
                    <m:grow/>
                  </m:dPr>
                  <m:e>
                    <m:r>
                      <m:t>0</m:t>
                    </m:r>
                    <m:r>
                      <m:rPr>
                        <m:sty m:val="p"/>
                      </m:rPr>
                      <m:t>,</m:t>
                    </m:r>
                    <m:r>
                      <m:t>1</m:t>
                    </m:r>
                  </m:e>
                </m:d>
                <m:r>
                  <m:rPr>
                    <m:sty m:val="p"/>
                  </m:rPr>
                  <m:t>,</m:t>
                </m:r>
              </m:e>
            </m:mr>
          </m:m>
        </m:oMath>
      </m:oMathPara>
    </w:p>
    <w:p>
      <w:pPr>
        <w:pStyle w:val="FirstParagraph"/>
      </w:pPr>
      <w:r>
        <w:t xml:space="preserve">and all other components of the model remaining as above.</w:t>
      </w:r>
    </w:p>
    <w:bookmarkEnd w:id="29"/>
    <w:bookmarkStart w:id="30" w:name="sec:extended_model"/>
    <w:p>
      <w:pPr>
        <w:pStyle w:val="Heading3"/>
      </w:pPr>
      <w:r>
        <w:t xml:space="preserve">Estimating risk factors of multiple infection</w:t>
      </w:r>
    </w:p>
    <w:p>
      <w:pPr>
        <w:pStyle w:val="FirstParagraph"/>
      </w:pPr>
      <w:r>
        <w:t xml:space="preserve">We further extended the model described above to model the probability of multiple infection as dependent on potential clinical, behavioral, and/or epidemiological risk factors through a logistic regression approach. Specifically, we modeled the logit of the individual-level multiple infection prior probabilities as a linear predictor of fixed effects and associated Horseshoe-type shrinkage priors</w:t>
      </w:r>
      <w:r>
        <w:t xml:space="preserve">(Carvalho, Polson, and Scott 2009; Piironen and Vehtari 2017)</w:t>
      </w:r>
      <w:r>
        <w:t xml:space="preserve"> </w:t>
      </w:r>
      <w:r>
        <w:t xml:space="preserve">on the effect sizes to handle correlated individual-level covariates,</w:t>
      </w:r>
    </w:p>
    <w:p>
      <w:pPr>
        <w:pStyle w:val="BodyText"/>
      </w:pPr>
      <m:oMathPara>
        <m:oMathParaPr>
          <m:jc m:val="center"/>
        </m:oMathParaPr>
        <m:oMath>
          <m:m>
            <m:mPr>
              <m:baseJc m:val="center"/>
              <m:plcHide m:val="on"/>
              <m:mcs>
                <m:mc>
                  <m:mcPr>
                    <m:mcJc m:val="right"/>
                    <m:count m:val="1"/>
                  </m:mcPr>
                </m:mc>
                <m:mc>
                  <m:mcPr>
                    <m:mcJc m:val="left"/>
                    <m:count m:val="1"/>
                  </m:mcPr>
                </m:mc>
              </m:mcs>
            </m:mPr>
            <m:mr>
              <m:e/>
              <m:e>
                <m:r>
                  <m:rPr>
                    <m:nor/>
                    <m:sty m:val="p"/>
                  </m:rPr>
                  <m:t>logit</m:t>
                </m:r>
                <m:d>
                  <m:dPr>
                    <m:begChr m:val="("/>
                    <m:endChr m:val=")"/>
                    <m:sepChr m:val=""/>
                    <m:grow/>
                  </m:dPr>
                  <m:e>
                    <m:sSub>
                      <m:e>
                        <m:r>
                          <m:t>δ</m:t>
                        </m:r>
                      </m:e>
                      <m:sub>
                        <m:r>
                          <m:t>i</m:t>
                        </m:r>
                      </m:sub>
                    </m:sSub>
                  </m:e>
                </m:d>
                <m:r>
                  <m:rPr>
                    <m:sty m:val="p"/>
                  </m:rPr>
                  <m:t>=</m:t>
                </m:r>
                <m:sSub>
                  <m:e>
                    <m:r>
                      <m:t>δ</m:t>
                    </m:r>
                  </m:e>
                  <m:sub>
                    <m:r>
                      <m:t>0</m:t>
                    </m:r>
                  </m:sub>
                </m:sSub>
                <m:r>
                  <m:rPr>
                    <m:sty m:val="p"/>
                  </m:rPr>
                  <m:t>+</m:t>
                </m:r>
                <m:sSubSup>
                  <m:e>
                    <m:r>
                      <m:t>X</m:t>
                    </m:r>
                  </m:e>
                  <m:sub>
                    <m:r>
                      <m:t>i</m:t>
                    </m:r>
                  </m:sub>
                  <m:sup>
                    <m:r>
                      <m:rPr>
                        <m:nor/>
                        <m:sty m:val="p"/>
                      </m:rPr>
                      <m:t>risk</m:t>
                    </m:r>
                  </m:sup>
                </m:sSubSup>
                <m:r>
                  <m:t>β</m:t>
                </m:r>
              </m:e>
            </m:mr>
            <m:mr>
              <m:e/>
              <m:e>
                <m:d>
                  <m:dPr>
                    <m:begChr m:val="("/>
                    <m:endChr m:val=")"/>
                    <m:sepChr m:val=""/>
                    <m:grow/>
                  </m:dPr>
                  <m:e>
                    <m:sSub>
                      <m:e>
                        <m:r>
                          <m:t>β</m:t>
                        </m:r>
                      </m:e>
                      <m:sub>
                        <m:r>
                          <m:t>j</m:t>
                        </m:r>
                      </m:sub>
                    </m:sSub>
                    <m:r>
                      <m:rPr>
                        <m:sty m:val="p"/>
                      </m:rPr>
                      <m:t>|</m:t>
                    </m:r>
                    <m:sSub>
                      <m:e>
                        <m:r>
                          <m:t>ξ</m:t>
                        </m:r>
                      </m:e>
                      <m:sub>
                        <m:r>
                          <m:t>j</m:t>
                        </m:r>
                      </m:sub>
                    </m:sSub>
                    <m:r>
                      <m:rPr>
                        <m:sty m:val="p"/>
                      </m:rPr>
                      <m:t>,</m:t>
                    </m:r>
                    <m:r>
                      <m:t>τ</m:t>
                    </m:r>
                  </m:e>
                </m:d>
                <m:r>
                  <m:rPr>
                    <m:sty m:val="p"/>
                  </m:rPr>
                  <m:t>∼</m:t>
                </m:r>
                <m:r>
                  <m:rPr>
                    <m:nor/>
                    <m:sty m:val="p"/>
                  </m:rPr>
                  <m:t>Normal</m:t>
                </m:r>
                <m:d>
                  <m:dPr>
                    <m:begChr m:val="("/>
                    <m:endChr m:val=")"/>
                    <m:sepChr m:val=""/>
                    <m:grow/>
                  </m:dPr>
                  <m:e>
                    <m:r>
                      <m:t>0</m:t>
                    </m:r>
                    <m:r>
                      <m:rPr>
                        <m:sty m:val="p"/>
                      </m:rPr>
                      <m:t>,</m:t>
                    </m:r>
                    <m:sSubSup>
                      <m:e>
                        <m:r>
                          <m:t>ξ</m:t>
                        </m:r>
                      </m:e>
                      <m:sub>
                        <m:r>
                          <m:t>j</m:t>
                        </m:r>
                      </m:sub>
                      <m:sup>
                        <m:r>
                          <m:t>2</m:t>
                        </m:r>
                      </m:sup>
                    </m:sSubSup>
                    <m:sSup>
                      <m:e>
                        <m:r>
                          <m:t>τ</m:t>
                        </m:r>
                      </m:e>
                      <m:sup>
                        <m:r>
                          <m:t>2</m:t>
                        </m:r>
                      </m:sup>
                    </m:sSup>
                  </m:e>
                </m:d>
              </m:e>
            </m:mr>
            <m:mr>
              <m:e/>
              <m:e>
                <m:sSub>
                  <m:e>
                    <m:r>
                      <m:t>ξ</m:t>
                    </m:r>
                  </m:e>
                  <m:sub>
                    <m:r>
                      <m:t>j</m:t>
                    </m:r>
                  </m:sub>
                </m:sSub>
                <m:r>
                  <m:rPr>
                    <m:sty m:val="p"/>
                  </m:rPr>
                  <m:t>∼</m:t>
                </m:r>
                <m:r>
                  <m:rPr>
                    <m:nor/>
                    <m:sty m:val="p"/>
                  </m:rPr>
                  <m:t>Half-</m:t>
                </m:r>
                <m:sSub>
                  <m:e>
                    <m:r>
                      <m:t>t</m:t>
                    </m:r>
                  </m:e>
                  <m:sub>
                    <m:r>
                      <m:t>2</m:t>
                    </m:r>
                  </m:sub>
                </m:sSub>
                <m:d>
                  <m:dPr>
                    <m:begChr m:val="("/>
                    <m:endChr m:val=")"/>
                    <m:sepChr m:val=""/>
                    <m:grow/>
                  </m:dPr>
                  <m:e>
                    <m:r>
                      <m:t>0</m:t>
                    </m:r>
                    <m:r>
                      <m:rPr>
                        <m:sty m:val="p"/>
                      </m:rPr>
                      <m:t>,</m:t>
                    </m:r>
                    <m:r>
                      <m:t>1</m:t>
                    </m:r>
                  </m:e>
                </m:d>
              </m:e>
            </m:mr>
            <m:mr>
              <m:e/>
              <m:e>
                <m:r>
                  <m:t>τ</m:t>
                </m:r>
                <m:r>
                  <m:rPr>
                    <m:sty m:val="p"/>
                  </m:rPr>
                  <m:t>∼</m:t>
                </m:r>
                <m:r>
                  <m:rPr>
                    <m:nor/>
                    <m:sty m:val="p"/>
                  </m:rPr>
                  <m:t>Half-Cauchy</m:t>
                </m:r>
                <m:d>
                  <m:dPr>
                    <m:begChr m:val="("/>
                    <m:endChr m:val=")"/>
                    <m:sepChr m:val=""/>
                    <m:grow/>
                  </m:dPr>
                  <m:e>
                    <m:r>
                      <m:t>0</m:t>
                    </m:r>
                    <m:r>
                      <m:rPr>
                        <m:sty m:val="p"/>
                      </m:rPr>
                      <m:t>,</m:t>
                    </m:r>
                    <m:r>
                      <m:t>1</m:t>
                    </m:r>
                  </m:e>
                </m:d>
                <m:r>
                  <m:rPr>
                    <m:sty m:val="p"/>
                  </m:rPr>
                  <m:t>,</m:t>
                </m:r>
              </m:e>
            </m:mr>
          </m:m>
        </m:oMath>
      </m:oMathPara>
    </w:p>
    <w:p>
      <w:pPr>
        <w:pStyle w:val="FirstParagraph"/>
      </w:pPr>
      <w:r>
        <w:t xml:space="preserve">where</w:t>
      </w:r>
      <w:r>
        <w:t xml:space="preserve"> </w:t>
      </w:r>
      <m:oMath>
        <m:sSubSup>
          <m:e>
            <m:r>
              <m:t>X</m:t>
            </m:r>
          </m:e>
          <m:sub>
            <m:r>
              <m:t>i</m:t>
            </m:r>
          </m:sub>
          <m:sup>
            <m:r>
              <m:rPr>
                <m:nor/>
                <m:sty m:val="p"/>
              </m:rPr>
              <m:t>risk</m:t>
            </m:r>
          </m:sup>
        </m:sSubSup>
      </m:oMath>
      <w:r>
        <w:t xml:space="preserve"> </w:t>
      </w:r>
      <w:r>
        <w:t xml:space="preserve">is a</w:t>
      </w:r>
      <w:r>
        <w:t xml:space="preserve"> </w:t>
      </w:r>
      <m:oMath>
        <m:r>
          <m:t>1</m:t>
        </m:r>
        <m:r>
          <m:rPr>
            <m:sty m:val="p"/>
          </m:rPr>
          <m:t>×</m:t>
        </m:r>
        <m:r>
          <m:t>j</m:t>
        </m:r>
      </m:oMath>
      <w:r>
        <w:t xml:space="preserve"> </w:t>
      </w:r>
      <w:r>
        <w:t xml:space="preserve">dimensional row vector of multiple infection predictive covariates and</w:t>
      </w:r>
      <w:r>
        <w:t xml:space="preserve"> </w:t>
      </w:r>
      <m:oMath>
        <m:r>
          <m:t>β</m:t>
        </m:r>
      </m:oMath>
      <w:r>
        <w:t xml:space="preserve"> </w:t>
      </w:r>
      <w:r>
        <w:t xml:space="preserve">is a</w:t>
      </w:r>
      <w:r>
        <w:t xml:space="preserve"> </w:t>
      </w:r>
      <m:oMath>
        <m:r>
          <m:t>p</m:t>
        </m:r>
        <m:r>
          <m:rPr>
            <m:sty m:val="p"/>
          </m:rPr>
          <m:t>×</m:t>
        </m:r>
        <m:r>
          <m:t>1</m:t>
        </m:r>
      </m:oMath>
      <w:r>
        <w:t xml:space="preserve"> </w:t>
      </w:r>
      <w:r>
        <w:t xml:space="preserve">dimensional column vector of fixed effect coefficients. We also considered fixed effects models without variable selection in sensitivity analysis with</w:t>
      </w:r>
      <w:r>
        <w:t xml:space="preserve"> </w:t>
      </w:r>
      <m:oMath>
        <m:r>
          <m:t>β</m:t>
        </m:r>
        <m:r>
          <m:rPr>
            <m:sty m:val="p"/>
          </m:rPr>
          <m:t>∼</m:t>
        </m:r>
        <m:r>
          <m:t>N</m:t>
        </m:r>
        <m:d>
          <m:dPr>
            <m:begChr m:val="("/>
            <m:endChr m:val=")"/>
            <m:sepChr m:val=""/>
            <m:grow/>
          </m:dPr>
          <m:e>
            <m:r>
              <m:t>0</m:t>
            </m:r>
            <m:r>
              <m:rPr>
                <m:sty m:val="p"/>
              </m:rPr>
              <m:t>,</m:t>
            </m:r>
            <m:r>
              <m:t>1</m:t>
            </m:r>
          </m:e>
        </m:d>
      </m:oMath>
      <w:r>
        <w:t xml:space="preserve">.</w:t>
      </w:r>
      <w:r>
        <w:t xml:space="preserve"> </w:t>
      </w:r>
      <w:r>
        <w:t xml:space="preserve">As above, the number of lifetime sex partners included missing and ambiguous responses (e.g.</w:t>
      </w:r>
      <w:r>
        <w:t xml:space="preserve"> </w:t>
      </w:r>
      <w:r>
        <w:t xml:space="preserve">“</w:t>
      </w:r>
      <w:r>
        <w:t xml:space="preserve">3+</w:t>
      </w:r>
      <w:r>
        <w:t xml:space="preserve">”</w:t>
      </w:r>
      <w:r>
        <w:t xml:space="preserve">), and these values were estimated as additional random variables in the Bayesian inference, assuming they were missing at random within sex, age, and community type, using lognormal prior distributions specific to these strata defined by the non-missing responses (Materials and methods). Imputed values for missing responses were limited to the range [1,60] and responses of</w:t>
      </w:r>
      <w:r>
        <w:t xml:space="preserve"> </w:t>
      </w:r>
      <w:r>
        <w:t xml:space="preserve">“</w:t>
      </w:r>
      <w:r>
        <w:t xml:space="preserve">3+</w:t>
      </w:r>
      <w:r>
        <w:t xml:space="preserve">”</w:t>
      </w:r>
      <w:r>
        <w:t xml:space="preserve"> </w:t>
      </w:r>
      <w:r>
        <w:t xml:space="preserve">were limited to the range [3,60].</w:t>
      </w:r>
    </w:p>
    <w:bookmarkEnd w:id="30"/>
    <w:bookmarkStart w:id="31" w:name="parameter-estimation"/>
    <w:p>
      <w:pPr>
        <w:pStyle w:val="Heading3"/>
      </w:pPr>
      <w:r>
        <w:t xml:space="preserve">Parameter estimation</w:t>
      </w:r>
    </w:p>
    <w:p>
      <w:pPr>
        <w:pStyle w:val="FirstParagraph"/>
      </w:pPr>
      <w:r>
        <w:t xml:space="preserve">We estimated the posterior distribution of all parameters in these models using Hamiltonian Monte Carlo</w:t>
      </w:r>
      <w:r>
        <w:t xml:space="preserve"> </w:t>
      </w:r>
      <w:r>
        <w:t xml:space="preserve">(Betancourt and Girolami 2013)</w:t>
      </w:r>
      <w:r>
        <w:t xml:space="preserve"> </w:t>
      </w:r>
      <w:r>
        <w:t xml:space="preserve">with the No-U-Turn Sampler</w:t>
      </w:r>
      <w:r>
        <w:t xml:space="preserve"> </w:t>
      </w:r>
      <w:r>
        <w:t xml:space="preserve">(Hoffman and Gelman 2014)</w:t>
      </w:r>
      <w:r>
        <w:t xml:space="preserve"> </w:t>
      </w:r>
      <w:r>
        <w:t xml:space="preserve">implemented in Stan</w:t>
      </w:r>
      <w:r>
        <w:t xml:space="preserve"> </w:t>
      </w:r>
      <w:r>
        <w:t xml:space="preserve">(</w:t>
      </w:r>
      <w:r>
        <w:t xml:space="preserve">“Stan Modeling Language Users Guide and Reference Manual, Version 2.35”</w:t>
      </w:r>
      <w:r>
        <w:t xml:space="preserve"> </w:t>
      </w:r>
      <w:r>
        <w:t xml:space="preserve">2024)</w:t>
      </w:r>
      <w:r>
        <w:t xml:space="preserve"> </w:t>
      </w:r>
      <w:r>
        <w:t xml:space="preserve">and accessed through cmdStanR v.2.31.0</w:t>
      </w:r>
      <w:r>
        <w:t xml:space="preserve"> </w:t>
      </w:r>
      <w:r>
        <w:t xml:space="preserve">(Gabry, Češnovar, and Johnson 2023)</w:t>
      </w:r>
      <w:r>
        <w:t xml:space="preserve"> </w:t>
      </w:r>
      <w:r>
        <w:t xml:space="preserve">in R. For all analyses, four independent chains with 500 iterations of warm up and 2000 iterations of sampling were run. A target acceptance rate of 0.8 was used for all analyses with the exception of those that employed shrinkage priors where a target acceptance rate of 0.95 was used to avoid divergent transitions. Convergence was assessed using the</w:t>
      </w:r>
      <w:r>
        <w:t xml:space="preserve"> </w:t>
      </w:r>
      <m:oMath>
        <m:acc>
          <m:accPr>
            <m:chr m:val="̂"/>
          </m:accPr>
          <m:e>
            <m:r>
              <m:t>R</m:t>
            </m:r>
          </m:e>
        </m:acc>
      </m:oMath>
      <w:r>
        <w:t xml:space="preserve"> </w:t>
      </w:r>
      <w:r>
        <w:t xml:space="preserve">statistic, bulk and tail effective sample sizes (ESS) for each parameter</w:t>
      </w:r>
      <w:r>
        <w:t xml:space="preserve"> </w:t>
      </w:r>
      <w:r>
        <w:t xml:space="preserve">(Vehtari et al. 2021)</w:t>
      </w:r>
      <w:r>
        <w:t xml:space="preserve">, and visual inspection of trace and pairs plots (S4 File).</w:t>
      </w:r>
    </w:p>
    <w:bookmarkEnd w:id="31"/>
    <w:bookmarkStart w:id="36" w:name="generated-quantities"/>
    <w:p>
      <w:pPr>
        <w:pStyle w:val="Heading3"/>
      </w:pPr>
      <w:r>
        <w:t xml:space="preserve">Generated quantities</w:t>
      </w:r>
    </w:p>
    <w:p>
      <w:pPr>
        <w:pStyle w:val="FirstParagraph"/>
      </w:pPr>
      <w:r>
        <w:t xml:space="preserve">Based on the estimated parameter distributions of the models described above, we generated a number of quantities to aid in interpretation of our results.</w:t>
      </w:r>
    </w:p>
    <w:bookmarkStart w:id="32" w:name="X6c4d68d978bd1fb76dd5d76f4f0b41910dbd276"/>
    <w:p>
      <w:pPr>
        <w:pStyle w:val="Heading4"/>
      </w:pPr>
      <w:r>
        <w:t xml:space="preserve">Expected number of multiple subgraph windows</w:t>
      </w:r>
    </w:p>
    <w:p>
      <w:pPr>
        <w:pStyle w:val="FirstParagraph"/>
      </w:pPr>
      <w:r>
        <w:t xml:space="preserve">Under the base model definition with no false-positives or false-negatives, we calculated an expected value for</w:t>
      </w:r>
      <w:r>
        <w:t xml:space="preserve"> </w:t>
      </w:r>
      <m:oMath>
        <m:sSub>
          <m:e>
            <m:r>
              <m:t>θ</m:t>
            </m:r>
          </m:e>
          <m:sub>
            <m:r>
              <m:t>i</m:t>
            </m:r>
          </m:sub>
        </m:sSub>
      </m:oMath>
      <w:r>
        <w:t xml:space="preserve"> </w:t>
      </w:r>
      <w:r>
        <w:t xml:space="preserve">and consequently</w:t>
      </w:r>
      <w:r>
        <w:t xml:space="preserve"> </w:t>
      </w:r>
      <m:oMath>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oMath>
      <w:r>
        <w:t xml:space="preserve"> </w:t>
      </w:r>
      <w:r>
        <w:t xml:space="preserve">given an observed value for</w:t>
      </w:r>
      <w:r>
        <w:t xml:space="preserve"> </w:t>
      </w:r>
      <m:oMath>
        <m:sSubSup>
          <m:e>
            <m:r>
              <m:t>N</m:t>
            </m:r>
          </m:e>
          <m:sub>
            <m:r>
              <m:t>i</m:t>
            </m:r>
          </m:sub>
          <m:sup>
            <m:r>
              <m:t>o</m:t>
            </m:r>
            <m:r>
              <m:t>b</m:t>
            </m:r>
            <m:r>
              <m:t>s</m:t>
            </m:r>
          </m:sup>
        </m:sSubSup>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E</m:t>
                </m:r>
                <m:d>
                  <m:dPr>
                    <m:begChr m:val="["/>
                    <m:endChr m:val="]"/>
                    <m:sepChr m:val=""/>
                    <m:grow/>
                  </m:dPr>
                  <m:e>
                    <m:sSub>
                      <m:e>
                        <m:r>
                          <m:t>θ</m:t>
                        </m:r>
                      </m:e>
                      <m:sub>
                        <m:r>
                          <m:t>i</m:t>
                        </m:r>
                      </m:sub>
                    </m:sSub>
                    <m:r>
                      <m:rPr>
                        <m:sty m:val="p"/>
                      </m:rPr>
                      <m:t>|</m:t>
                    </m:r>
                    <m:sSubSup>
                      <m:e>
                        <m:r>
                          <m:t>N</m:t>
                        </m:r>
                      </m:e>
                      <m:sub>
                        <m:r>
                          <m:t>i</m:t>
                        </m:r>
                      </m:sub>
                      <m:sup>
                        <m:r>
                          <m:t>o</m:t>
                        </m:r>
                        <m:r>
                          <m:t>b</m:t>
                        </m:r>
                        <m:r>
                          <m:t>s</m:t>
                        </m:r>
                      </m:sup>
                    </m:sSubSup>
                    <m:r>
                      <m:rPr>
                        <m:sty m:val="p"/>
                      </m:rPr>
                      <m:t>,</m:t>
                    </m:r>
                    <m:sSub>
                      <m:e>
                        <m:r>
                          <m:t>M</m:t>
                        </m:r>
                      </m:e>
                      <m:sub>
                        <m:r>
                          <m:t>i</m:t>
                        </m:r>
                      </m:sub>
                    </m:sSub>
                    <m:r>
                      <m:rPr>
                        <m:sty m:val="p"/>
                      </m:rPr>
                      <m:t>=</m:t>
                    </m:r>
                    <m:r>
                      <m:t>1</m:t>
                    </m:r>
                  </m:e>
                </m:d>
              </m:e>
              <m:e>
                <m:r>
                  <m:rPr>
                    <m:sty m:val="p"/>
                  </m:rPr>
                  <m:t>=</m:t>
                </m:r>
                <m:r>
                  <m:t>1</m:t>
                </m:r>
                <m:r>
                  <m:rPr>
                    <m:sty m:val="p"/>
                  </m:rPr>
                  <m:t>−</m:t>
                </m:r>
                <m:rad>
                  <m:radPr>
                    <m:degHide m:val="on"/>
                  </m:radPr>
                  <m:deg/>
                  <m:e>
                    <m:r>
                      <m:t>1</m:t>
                    </m:r>
                    <m:r>
                      <m:rPr>
                        <m:sty m:val="p"/>
                      </m:rPr>
                      <m:t>−</m:t>
                    </m:r>
                    <m:f>
                      <m:fPr>
                        <m:type m:val="bar"/>
                      </m:fPr>
                      <m:num>
                        <m:sSubSup>
                          <m:e>
                            <m:r>
                              <m:t>N</m:t>
                            </m:r>
                          </m:e>
                          <m:sub>
                            <m:r>
                              <m:t>i</m:t>
                            </m:r>
                          </m:sub>
                          <m:sup>
                            <m:r>
                              <m:t>o</m:t>
                            </m:r>
                            <m:r>
                              <m:t>b</m:t>
                            </m:r>
                            <m:r>
                              <m:t>s</m:t>
                            </m:r>
                          </m:sup>
                        </m:sSubSup>
                      </m:num>
                      <m:den>
                        <m:sSup>
                          <m:e>
                            <m:r>
                              <m:t>n</m:t>
                            </m:r>
                          </m:e>
                          <m:sup>
                            <m:r>
                              <m:rPr>
                                <m:nor/>
                                <m:sty m:val="p"/>
                              </m:rPr>
                              <m:t>max</m:t>
                            </m:r>
                          </m:sup>
                        </m:sSup>
                      </m:den>
                    </m:f>
                  </m:e>
                </m:rad>
              </m:e>
            </m:mr>
            <m:mr>
              <m:e>
                <m:r>
                  <m:t>E</m:t>
                </m:r>
                <m:d>
                  <m:dPr>
                    <m:begChr m:val="["/>
                    <m:endChr m:val="]"/>
                    <m:sepChr m:val=""/>
                    <m:grow/>
                  </m:dPr>
                  <m:e>
                    <m:sSubSup>
                      <m:e>
                        <m:r>
                          <m:t>M</m:t>
                        </m:r>
                      </m:e>
                      <m:sub>
                        <m:r>
                          <m:t>i</m:t>
                        </m:r>
                      </m:sub>
                      <m:sup>
                        <m:r>
                          <m:rPr>
                            <m:nor/>
                            <m:sty m:val="p"/>
                          </m:rPr>
                          <m:t>obs</m:t>
                        </m:r>
                      </m:sup>
                    </m:sSubSup>
                    <m:r>
                      <m:rPr>
                        <m:sty m:val="p"/>
                      </m:rPr>
                      <m:t>|</m:t>
                    </m:r>
                    <m:sSub>
                      <m:e>
                        <m:r>
                          <m:t>θ</m:t>
                        </m:r>
                      </m:e>
                      <m:sub>
                        <m:r>
                          <m:t>i</m:t>
                        </m:r>
                      </m:sub>
                    </m:sSub>
                    <m:r>
                      <m:rPr>
                        <m:sty m:val="p"/>
                      </m:rPr>
                      <m:t>,</m:t>
                    </m:r>
                    <m:sSub>
                      <m:e>
                        <m:r>
                          <m:t>M</m:t>
                        </m:r>
                      </m:e>
                      <m:sub>
                        <m:r>
                          <m:t>i</m:t>
                        </m:r>
                      </m:sub>
                    </m:sSub>
                    <m:r>
                      <m:rPr>
                        <m:sty m:val="p"/>
                      </m:rPr>
                      <m:t>=</m:t>
                    </m:r>
                    <m:r>
                      <m:t>1</m:t>
                    </m:r>
                  </m:e>
                </m:d>
              </m:e>
              <m:e>
                <m:r>
                  <m:rPr>
                    <m:sty m:val="p"/>
                  </m:rPr>
                  <m:t>=</m:t>
                </m:r>
                <m:sSup>
                  <m:e>
                    <m:r>
                      <m:t>n</m:t>
                    </m:r>
                  </m:e>
                  <m:sup>
                    <m:r>
                      <m:rPr>
                        <m:nor/>
                        <m:sty m:val="p"/>
                      </m:rPr>
                      <m:t>max</m:t>
                    </m:r>
                  </m:sup>
                </m:sSup>
                <m:sSubSup>
                  <m:e>
                    <m:r>
                      <m:t>θ</m:t>
                    </m:r>
                  </m:e>
                  <m:sub>
                    <m:r>
                      <m:t>i</m:t>
                    </m:r>
                  </m:sub>
                  <m:sup>
                    <m:r>
                      <m:t>2</m:t>
                    </m:r>
                  </m:sup>
                </m:sSubSup>
                <m:r>
                  <m:rPr>
                    <m:sty m:val="p"/>
                  </m:rPr>
                  <m:t>.</m:t>
                </m:r>
              </m:e>
            </m:mr>
          </m:m>
        </m:oMath>
      </m:oMathPara>
    </w:p>
    <w:bookmarkEnd w:id="32"/>
    <w:bookmarkStart w:id="33" w:name="X4f0420aa1fdaabe14e9bb1d040467b747606d33"/>
    <w:p>
      <w:pPr>
        <w:pStyle w:val="Heading4"/>
      </w:pPr>
      <w:r>
        <w:t xml:space="preserve">Individual posterior probability of multiple infection</w:t>
      </w:r>
    </w:p>
    <w:p>
      <w:pPr>
        <w:pStyle w:val="FirstParagraph"/>
      </w:pPr>
      <w:r>
        <w:t xml:space="preserve">Based on the latent-class finite mixture model described above, the probability that any given sequenced participant</w:t>
      </w:r>
      <w:r>
        <w:t xml:space="preserve"> </w:t>
      </w:r>
      <m:oMath>
        <m:r>
          <m:t>i</m:t>
        </m:r>
      </m:oMath>
      <w:r>
        <w:t xml:space="preserve"> </w:t>
      </w:r>
      <w:r>
        <w:t xml:space="preserve">harbors a multiple infection conditional the observed data and all parameters is:</w:t>
      </w:r>
    </w:p>
    <w:p>
      <w:pPr>
        <w:pStyle w:val="BodyText"/>
      </w:pPr>
      <m:oMathPara>
        <m:oMathParaPr>
          <m:jc m:val="center"/>
        </m:oMathParaPr>
        <m:oMath>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r>
            <m:rPr>
              <m:sty m:val="p"/>
            </m:rPr>
            <m:t>=</m:t>
          </m:r>
          <m:f>
            <m:fPr>
              <m:type m:val="bar"/>
            </m:fPr>
            <m:num>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r>
                    <m:t>λ</m:t>
                  </m:r>
                  <m:r>
                    <m:rPr>
                      <m:sty m:val="p"/>
                    </m:rPr>
                    <m:t>,</m:t>
                  </m:r>
                  <m:r>
                    <m:t>ϵ</m:t>
                  </m:r>
                  <m:r>
                    <m:rPr>
                      <m:sty m:val="p"/>
                    </m:rPr>
                    <m:t>,</m:t>
                  </m:r>
                  <m:sSub>
                    <m:e>
                      <m:r>
                        <m:t>M</m:t>
                      </m:r>
                    </m:e>
                    <m:sub>
                      <m:r>
                        <m:t>i</m:t>
                      </m:r>
                    </m:sub>
                  </m:sSub>
                  <m:r>
                    <m:rPr>
                      <m:sty m:val="p"/>
                    </m:rPr>
                    <m:t>=</m:t>
                  </m:r>
                  <m:r>
                    <m:t>1</m:t>
                  </m:r>
                </m:e>
              </m:d>
              <m:sSub>
                <m:e>
                  <m:r>
                    <m:t>δ</m:t>
                  </m:r>
                </m:e>
                <m:sub>
                  <m:r>
                    <m:t>i</m:t>
                  </m:r>
                </m:sub>
              </m:sSub>
            </m:num>
            <m:den>
              <m:r>
                <m:t>P</m:t>
              </m:r>
              <m:d>
                <m:dPr>
                  <m:begChr m:val="("/>
                  <m:endChr m:val=")"/>
                  <m:sepChr m:val=""/>
                  <m:grow/>
                </m:dPr>
                <m:e>
                  <m:sSubSup>
                    <m:e>
                      <m:r>
                        <m:t>N</m:t>
                      </m:r>
                    </m:e>
                    <m:sub>
                      <m:r>
                        <m:t>i</m:t>
                      </m:r>
                    </m:sub>
                    <m:sup>
                      <m:r>
                        <m:t>o</m:t>
                      </m:r>
                      <m:r>
                        <m:t>b</m:t>
                      </m:r>
                      <m:r>
                        <m:t>s</m:t>
                      </m:r>
                    </m:sup>
                  </m:sSubSup>
                  <m:r>
                    <m:rPr>
                      <m:sty m:val="p"/>
                    </m:rPr>
                    <m:t>,</m:t>
                  </m:r>
                  <m:sSubSup>
                    <m:e>
                      <m:r>
                        <m:t>M</m:t>
                      </m:r>
                    </m:e>
                    <m:sub>
                      <m:r>
                        <m:t>i</m:t>
                      </m:r>
                    </m:sub>
                    <m:sup>
                      <m:r>
                        <m:rPr>
                          <m:nor/>
                          <m:sty m:val="p"/>
                        </m:rPr>
                        <m:t>obs</m:t>
                      </m:r>
                    </m:sup>
                  </m:sSubSup>
                  <m:r>
                    <m:rPr>
                      <m:sty m:val="p"/>
                    </m:rPr>
                    <m:t>,</m:t>
                  </m:r>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den>
          </m:f>
          <m:r>
            <m:rPr>
              <m:sty m:val="p"/>
            </m:rPr>
            <m:t>.</m:t>
          </m:r>
        </m:oMath>
      </m:oMathPara>
    </w:p>
    <w:p>
      <w:pPr>
        <w:pStyle w:val="FirstParagraph"/>
      </w:pPr>
      <w:r>
        <w:t xml:space="preserve">The target quantity can therefore be obtained by integrating over unknown parameters:</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e>
                </m:d>
                <m:r>
                  <m:rPr>
                    <m:sty m:val="p"/>
                  </m:rPr>
                  <m:t>=</m:t>
                </m:r>
              </m:e>
            </m:mr>
            <m:mr>
              <m:e>
                <m:r>
                  <m:rPr>
                    <m:sty m:val="p"/>
                  </m:rPr>
                  <m:t>∫</m:t>
                </m:r>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r>
                  <m:t>P</m:t>
                </m:r>
                <m:d>
                  <m:dPr>
                    <m:begChr m:val="("/>
                    <m:endChr m:val=")"/>
                    <m:sepChr m:val=""/>
                    <m:grow/>
                  </m:dPr>
                  <m:e>
                    <m:sSub>
                      <m:e>
                        <m:r>
                          <m:t>θ</m:t>
                        </m:r>
                      </m:e>
                      <m:sub>
                        <m:r>
                          <m:t>i</m:t>
                        </m:r>
                      </m:sub>
                    </m:sSub>
                    <m:r>
                      <m:rPr>
                        <m:sty m:val="p"/>
                      </m:rPr>
                      <m:t>,</m:t>
                    </m:r>
                    <m:sSub>
                      <m:e>
                        <m:r>
                          <m:t>δ</m:t>
                        </m:r>
                      </m:e>
                      <m:sub>
                        <m:r>
                          <m:t>i</m:t>
                        </m:r>
                      </m:sub>
                    </m:sSub>
                    <m:r>
                      <m:rPr>
                        <m:sty m:val="p"/>
                      </m:rPr>
                      <m:t>,</m:t>
                    </m:r>
                    <m:r>
                      <m:t>λ</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e>
                </m:d>
                <m:r>
                  <m:t>d</m:t>
                </m:r>
                <m:sSub>
                  <m:e>
                    <m:r>
                      <m:t>θ</m:t>
                    </m:r>
                  </m:e>
                  <m:sub>
                    <m:r>
                      <m:t>i</m:t>
                    </m:r>
                  </m:sub>
                </m:sSub>
                <m:r>
                  <m:t>d</m:t>
                </m:r>
                <m:sSub>
                  <m:e>
                    <m:r>
                      <m:t>δ</m:t>
                    </m:r>
                  </m:e>
                  <m:sub>
                    <m:r>
                      <m:t>i</m:t>
                    </m:r>
                  </m:sub>
                </m:sSub>
                <m:r>
                  <m:t>d</m:t>
                </m:r>
                <m:r>
                  <m:t>λ</m:t>
                </m:r>
                <m:r>
                  <m:rPr>
                    <m:sty m:val="p"/>
                  </m:rPr>
                  <m:t>,</m:t>
                </m:r>
              </m:e>
            </m:mr>
          </m:m>
        </m:oMath>
      </m:oMathPara>
    </w:p>
    <w:p>
      <w:pPr>
        <w:pStyle w:val="FirstParagraph"/>
      </w:pPr>
      <w:r>
        <w:t xml:space="preserve">which we approximated by taking Monte Carlo samples of</w:t>
      </w:r>
      <w:r>
        <w:t xml:space="preserve"> </w:t>
      </w:r>
      <m:oMath>
        <m:r>
          <m:t>P</m:t>
        </m:r>
        <m:d>
          <m:dPr>
            <m:begChr m:val="("/>
            <m:endChr m:val=")"/>
            <m:sepChr m:val=""/>
            <m:grow/>
          </m:dPr>
          <m:e>
            <m:sSub>
              <m:e>
                <m:r>
                  <m:t>M</m:t>
                </m:r>
              </m:e>
              <m:sub>
                <m:r>
                  <m:t>i</m:t>
                </m:r>
              </m:sub>
            </m:sSub>
            <m:r>
              <m:rPr>
                <m:sty m:val="p"/>
              </m:rPr>
              <m:t>=</m:t>
            </m:r>
            <m:r>
              <m:t>1</m:t>
            </m:r>
            <m:r>
              <m:rPr>
                <m:sty m:val="p"/>
              </m:rPr>
              <m:t>|</m:t>
            </m:r>
            <m:sSubSup>
              <m:e>
                <m:r>
                  <m:t>N</m:t>
                </m:r>
              </m:e>
              <m:sub>
                <m:r>
                  <m:t>i</m:t>
                </m:r>
              </m:sub>
              <m:sup>
                <m:r>
                  <m:t>o</m:t>
                </m:r>
                <m:r>
                  <m:t>b</m:t>
                </m:r>
                <m:r>
                  <m:t>s</m:t>
                </m:r>
              </m:sup>
            </m:sSubSup>
            <m:r>
              <m:rPr>
                <m:sty m:val="p"/>
              </m:rPr>
              <m:t>,</m:t>
            </m:r>
            <m:sSubSup>
              <m:e>
                <m:r>
                  <m:t>M</m:t>
                </m:r>
              </m:e>
              <m:sub>
                <m:r>
                  <m:t>i</m:t>
                </m:r>
              </m:sub>
              <m:sup>
                <m:r>
                  <m:rPr>
                    <m:nor/>
                    <m:sty m:val="p"/>
                  </m:rPr>
                  <m:t>obs</m:t>
                </m:r>
              </m:sup>
            </m:sSubSup>
            <m:r>
              <m:rPr>
                <m:sty m:val="p"/>
              </m:rPr>
              <m:t>,</m:t>
            </m:r>
            <m:sSup>
              <m:e>
                <m:r>
                  <m:t>n</m:t>
                </m:r>
              </m:e>
              <m:sup>
                <m:r>
                  <m:rPr>
                    <m:nor/>
                    <m:sty m:val="p"/>
                  </m:rPr>
                  <m:t>max</m:t>
                </m:r>
              </m:sup>
            </m:sSup>
            <m:r>
              <m:rPr>
                <m:sty m:val="p"/>
              </m:rPr>
              <m:t>,</m:t>
            </m:r>
            <m:sSub>
              <m:e>
                <m:r>
                  <m:t>θ</m:t>
                </m:r>
              </m:e>
              <m:sub>
                <m:r>
                  <m:t>i</m:t>
                </m:r>
              </m:sub>
            </m:sSub>
            <m:r>
              <m:rPr>
                <m:sty m:val="p"/>
              </m:rPr>
              <m:t>,</m:t>
            </m:r>
            <m:sSub>
              <m:e>
                <m:r>
                  <m:t>δ</m:t>
                </m:r>
              </m:e>
              <m:sub>
                <m:r>
                  <m:t>i</m:t>
                </m:r>
              </m:sub>
            </m:sSub>
            <m:r>
              <m:rPr>
                <m:sty m:val="p"/>
              </m:rPr>
              <m:t>,</m:t>
            </m:r>
            <m:r>
              <m:t>λ</m:t>
            </m:r>
            <m:r>
              <m:rPr>
                <m:sty m:val="p"/>
              </m:rPr>
              <m:t>,</m:t>
            </m:r>
            <m:r>
              <m:t>ϵ</m:t>
            </m:r>
          </m:e>
        </m:d>
      </m:oMath>
      <w:r>
        <w:t xml:space="preserve">.</w:t>
      </w:r>
    </w:p>
    <w:bookmarkEnd w:id="33"/>
    <w:bookmarkStart w:id="34" w:name="X110c16199f19acf1248ae39b386893b6b7c9a92"/>
    <w:p>
      <w:pPr>
        <w:pStyle w:val="Heading4"/>
      </w:pPr>
      <w:r>
        <w:t xml:space="preserve">Prevalence of multiple infection among sequenced participants</w:t>
      </w:r>
    </w:p>
    <w:p>
      <w:pPr>
        <w:pStyle w:val="FirstParagraph"/>
      </w:pPr>
      <w:r>
        <w:t xml:space="preserve">Under the base model, the posterior estimate of the prevalence of multiple infection in the study sample is given by:</w:t>
      </w:r>
    </w:p>
    <w:p>
      <w:pPr>
        <w:pStyle w:val="BodyText"/>
      </w:pPr>
      <m:oMathPara>
        <m:oMathParaPr>
          <m:jc m:val="center"/>
        </m:oMathParaPr>
        <m:oMath>
          <m:acc>
            <m:accPr>
              <m:chr m:val="‾"/>
            </m:accPr>
            <m:e>
              <m:r>
                <m:t>δ</m:t>
              </m:r>
            </m:e>
          </m:acc>
          <m:r>
            <m:rPr>
              <m:sty m:val="p"/>
            </m:rPr>
            <m:t>=</m:t>
          </m:r>
          <m:r>
            <m:rPr>
              <m:nor/>
              <m:sty m:val="p"/>
            </m:rPr>
            <m:t>inverse-logit</m:t>
          </m:r>
          <m:d>
            <m:dPr>
              <m:begChr m:val="("/>
              <m:endChr m:val=")"/>
              <m:sepChr m:val=""/>
              <m:grow/>
            </m:dPr>
            <m:e>
              <m:sSub>
                <m:e>
                  <m:r>
                    <m:t>δ</m:t>
                  </m:r>
                </m:e>
                <m:sub>
                  <m:r>
                    <m:t>0</m:t>
                  </m:r>
                </m:sub>
              </m:sSub>
            </m:e>
          </m:d>
          <m:r>
            <m:rPr>
              <m:sty m:val="p"/>
            </m:rPr>
            <m:t>=</m:t>
          </m:r>
          <m:f>
            <m:fPr>
              <m:type m:val="bar"/>
            </m:fPr>
            <m:num>
              <m:r>
                <m:rPr>
                  <m:sty m:val="p"/>
                </m:rPr>
                <m:t>exp</m:t>
              </m:r>
              <m:d>
                <m:dPr>
                  <m:begChr m:val="("/>
                  <m:endChr m:val=")"/>
                  <m:sepChr m:val=""/>
                  <m:grow/>
                </m:dPr>
                <m:e>
                  <m:sSub>
                    <m:e>
                      <m:r>
                        <m:t>δ</m:t>
                      </m:r>
                    </m:e>
                    <m:sub>
                      <m:r>
                        <m:t>0</m:t>
                      </m:r>
                    </m:sub>
                  </m:sSub>
                </m:e>
              </m:d>
            </m:num>
            <m:den>
              <m:r>
                <m:t>1</m:t>
              </m:r>
              <m:r>
                <m:rPr>
                  <m:sty m:val="p"/>
                </m:rPr>
                <m:t>+</m:t>
              </m:r>
              <m:r>
                <m:rPr>
                  <m:sty m:val="p"/>
                </m:rPr>
                <m:t>exp</m:t>
              </m:r>
              <m:d>
                <m:dPr>
                  <m:begChr m:val="("/>
                  <m:endChr m:val=")"/>
                  <m:sepChr m:val=""/>
                  <m:grow/>
                </m:dPr>
                <m:e>
                  <m:sSub>
                    <m:e>
                      <m:r>
                        <m:t>δ</m:t>
                      </m:r>
                    </m:e>
                    <m:sub>
                      <m:r>
                        <m:t>0</m:t>
                      </m:r>
                    </m:sub>
                  </m:sSub>
                </m:e>
              </m:d>
            </m:den>
          </m:f>
          <m:r>
            <m:rPr>
              <m:sty m:val="p"/>
            </m:rPr>
            <m:t>.</m:t>
          </m:r>
        </m:oMath>
      </m:oMathPara>
    </w:p>
    <w:p>
      <w:pPr>
        <w:pStyle w:val="FirstParagraph"/>
      </w:pPr>
      <w:r>
        <w:t xml:space="preserve">In the presence of modeled risk factors, the prevalence of multiple infections among sequenced participants will vary based on sub-groups</w:t>
      </w:r>
      <w:r>
        <w:t xml:space="preserve"> </w:t>
      </w:r>
      <m:oMath>
        <m:r>
          <m:t>s</m:t>
        </m:r>
      </m:oMath>
      <w:r>
        <w:t xml:space="preserve"> </w:t>
      </w:r>
      <w:r>
        <w:t xml:space="preserve">defined by</w:t>
      </w:r>
      <w:r>
        <w:t xml:space="preserve"> </w:t>
      </w:r>
      <m:oMath>
        <m:sSup>
          <m:e>
            <m:r>
              <m:t>X</m:t>
            </m:r>
          </m:e>
          <m:sup>
            <m:r>
              <m:rPr>
                <m:nor/>
                <m:sty m:val="p"/>
              </m:rPr>
              <m:t>risk</m:t>
            </m:r>
          </m:sup>
        </m:sSup>
      </m:oMath>
      <w:r>
        <w:t xml:space="preserve">:</w:t>
      </w:r>
    </w:p>
    <w:p>
      <w:pPr>
        <w:pStyle w:val="BodyText"/>
      </w:pPr>
      <m:oMathPara>
        <m:oMathParaPr>
          <m:jc m:val="center"/>
        </m:oMathParaPr>
        <m:oMath>
          <m:acc>
            <m:accPr>
              <m:chr m:val="‾"/>
            </m:accPr>
            <m:e>
              <m:sSub>
                <m:e>
                  <m:r>
                    <m:t>δ</m:t>
                  </m:r>
                </m:e>
                <m:sub>
                  <m:r>
                    <m:t>i</m:t>
                  </m:r>
                  <m:r>
                    <m:rPr>
                      <m:sty m:val="p"/>
                    </m:rPr>
                    <m:t>∈</m:t>
                  </m:r>
                  <m:r>
                    <m:t>s</m:t>
                  </m:r>
                </m:sub>
              </m:sSub>
            </m:e>
          </m:acc>
          <m:r>
            <m:rPr>
              <m:sty m:val="p"/>
            </m:rPr>
            <m:t>=</m:t>
          </m:r>
          <m:r>
            <m:rPr>
              <m:nor/>
              <m:sty m:val="p"/>
            </m:rPr>
            <m:t>inverse-logit</m:t>
          </m:r>
          <m:d>
            <m:dPr>
              <m:begChr m:val="("/>
              <m:endChr m:val=")"/>
              <m:sepChr m:val=""/>
              <m:grow/>
            </m:dPr>
            <m:e>
              <m:sSub>
                <m:e>
                  <m:r>
                    <m:t>δ</m:t>
                  </m:r>
                </m:e>
                <m:sub>
                  <m:r>
                    <m:t>0</m:t>
                  </m:r>
                </m:sub>
              </m:sSub>
              <m:r>
                <m:rPr>
                  <m:sty m:val="p"/>
                </m:rPr>
                <m:t>+</m:t>
              </m:r>
              <m:sSubSup>
                <m:e>
                  <m:r>
                    <m:t>X</m:t>
                  </m:r>
                </m:e>
                <m:sub>
                  <m:r>
                    <m:t>i</m:t>
                  </m:r>
                  <m:r>
                    <m:rPr>
                      <m:sty m:val="p"/>
                    </m:rPr>
                    <m:t>∈</m:t>
                  </m:r>
                  <m:r>
                    <m:t>s</m:t>
                  </m:r>
                </m:sub>
                <m:sup>
                  <m:r>
                    <m:rPr>
                      <m:nor/>
                      <m:sty m:val="p"/>
                    </m:rPr>
                    <m:t>risk</m:t>
                  </m:r>
                </m:sup>
              </m:sSubSup>
              <m:r>
                <m:t>β</m:t>
              </m:r>
            </m:e>
          </m:d>
          <m:r>
            <m:rPr>
              <m:sty m:val="p"/>
            </m:rPr>
            <m:t>.</m:t>
          </m:r>
        </m:oMath>
      </m:oMathPara>
    </w:p>
    <w:bookmarkEnd w:id="34"/>
    <w:bookmarkStart w:id="35" w:name="Xb30ea9e7e58a3c39c89d8787fc74b6e1d49fe1e"/>
    <w:p>
      <w:pPr>
        <w:pStyle w:val="Heading4"/>
      </w:pPr>
      <w:r>
        <w:t xml:space="preserve">Risk ratio of harboring multiple infection associated with epidemiological covariates</w:t>
      </w:r>
    </w:p>
    <w:p>
      <w:pPr>
        <w:pStyle w:val="FirstParagraph"/>
      </w:pPr>
      <w:r>
        <w:t xml:space="preserve">Finally, we calculated the risk ratio for harboring a multiple infection associated with being in epidemiological strata</w:t>
      </w:r>
      <w:r>
        <w:t xml:space="preserve"> </w:t>
      </w:r>
      <m:oMath>
        <m:r>
          <m:t>s</m:t>
        </m:r>
        <m:r>
          <m:rPr>
            <m:sty m:val="p"/>
          </m:rPr>
          <m:t>=</m:t>
        </m:r>
        <m:sSup>
          <m:e>
            <m:r>
              <m:t>S</m:t>
            </m:r>
          </m:e>
          <m:sup>
            <m:r>
              <m:rPr>
                <m:sty m:val="p"/>
              </m:rPr>
              <m:t>*</m:t>
            </m:r>
          </m:sup>
        </m:sSup>
      </m:oMath>
      <w:r>
        <w:t xml:space="preserve"> </w:t>
      </w:r>
      <w:r>
        <w:t xml:space="preserve">as compared to strata</w:t>
      </w:r>
      <w:r>
        <w:t xml:space="preserve"> </w:t>
      </w:r>
      <m:oMath>
        <m:r>
          <m:t>s</m:t>
        </m:r>
        <m:r>
          <m:rPr>
            <m:sty m:val="p"/>
          </m:rPr>
          <m:t>=</m:t>
        </m:r>
        <m:r>
          <m:t>S</m:t>
        </m:r>
      </m:oMath>
      <w:r>
        <w:t xml:space="preserve"> </w:t>
      </w:r>
      <w:r>
        <w:t xml:space="preserve">by first calculating the risk of multiple infection in</w:t>
      </w:r>
      <w:r>
        <w:t xml:space="preserve"> </w:t>
      </w:r>
      <m:oMath>
        <m:sSup>
          <m:e>
            <m:r>
              <m:t>S</m:t>
            </m:r>
          </m:e>
          <m:sup>
            <m:r>
              <m:rPr>
                <m:sty m:val="p"/>
              </m:rPr>
              <m:t>*</m:t>
            </m:r>
          </m:sup>
        </m:sSup>
      </m:oMath>
      <w:r>
        <w:t xml:space="preserve"> </w:t>
      </w:r>
      <w:r>
        <w:t xml:space="preserve">and</w:t>
      </w:r>
      <w:r>
        <w:t xml:space="preserve"> </w:t>
      </w:r>
      <m:oMath>
        <m:r>
          <m:t>S</m:t>
        </m:r>
      </m:oMath>
      <w:r>
        <w:t xml:space="preserve"> </w:t>
      </w:r>
      <w:r>
        <w:t xml:space="preserve">(</w:t>
      </w:r>
      <m:oMath>
        <m:acc>
          <m:accPr>
            <m:chr m:val="‾"/>
          </m:accPr>
          <m:e>
            <m:sSub>
              <m:e>
                <m:r>
                  <m:t>δ</m:t>
                </m:r>
              </m:e>
              <m:sub>
                <m:r>
                  <m:t>S</m:t>
                </m:r>
              </m:sub>
            </m:sSub>
          </m:e>
        </m:acc>
      </m:oMath>
      <w:r>
        <w:t xml:space="preserve"> </w:t>
      </w:r>
      <w:r>
        <w:t xml:space="preserve">and</w:t>
      </w:r>
      <w:r>
        <w:t xml:space="preserve"> </w:t>
      </w:r>
      <m:oMath>
        <m:acc>
          <m:accPr>
            <m:chr m:val="‾"/>
          </m:accPr>
          <m:e>
            <m:sSubSup>
              <m:e>
                <m:r>
                  <m:t>δ</m:t>
                </m:r>
              </m:e>
              <m:sub>
                <m:r>
                  <m:t>S</m:t>
                </m:r>
              </m:sub>
              <m:sup>
                <m:r>
                  <m:rPr>
                    <m:sty m:val="p"/>
                  </m:rPr>
                  <m:t>*</m:t>
                </m:r>
              </m:sup>
            </m:sSubSup>
          </m:e>
        </m:acc>
      </m:oMath>
      <w:r>
        <w:t xml:space="preserve">, respectively) as above. The risk ratio was therefore calculated as:</w:t>
      </w:r>
    </w:p>
    <w:p>
      <w:pPr>
        <w:pStyle w:val="BodyText"/>
      </w:pPr>
      <m:oMathPara>
        <m:oMathParaPr>
          <m:jc m:val="center"/>
        </m:oMathParaPr>
        <m:oMath>
          <m:sSup>
            <m:e>
              <m:r>
                <m:rPr>
                  <m:nor/>
                  <m:sty m:val="p"/>
                </m:rPr>
                <m:t>RR</m:t>
              </m:r>
            </m:e>
            <m:sup>
              <m:sSup>
                <m:e>
                  <m:r>
                    <m:t>S</m:t>
                  </m:r>
                </m:e>
                <m:sup>
                  <m:r>
                    <m:rPr>
                      <m:sty m:val="p"/>
                    </m:rPr>
                    <m:t>*</m:t>
                  </m:r>
                </m:sup>
              </m:sSup>
              <m:r>
                <m:rPr>
                  <m:sty m:val="p"/>
                </m:rPr>
                <m:t>,</m:t>
              </m:r>
              <m:r>
                <m:t>S</m:t>
              </m:r>
            </m:sup>
          </m:sSup>
          <m:r>
            <m:rPr>
              <m:sty m:val="p"/>
            </m:rPr>
            <m:t>=</m:t>
          </m:r>
          <m:f>
            <m:fPr>
              <m:type m:val="bar"/>
            </m:fPr>
            <m:num>
              <m:sSub>
                <m:e>
                  <m:acc>
                    <m:accPr>
                      <m:chr m:val="‾"/>
                    </m:accPr>
                    <m:e>
                      <m:r>
                        <m:t>δ</m:t>
                      </m:r>
                    </m:e>
                  </m:acc>
                </m:e>
                <m:sub>
                  <m:r>
                    <m:t>i</m:t>
                  </m:r>
                  <m:r>
                    <m:rPr>
                      <m:sty m:val="p"/>
                    </m:rPr>
                    <m:t>∈</m:t>
                  </m:r>
                  <m:sSup>
                    <m:e>
                      <m:r>
                        <m:t>S</m:t>
                      </m:r>
                    </m:e>
                    <m:sup>
                      <m:r>
                        <m:rPr>
                          <m:sty m:val="p"/>
                        </m:rPr>
                        <m:t>*</m:t>
                      </m:r>
                    </m:sup>
                  </m:sSup>
                </m:sub>
              </m:sSub>
            </m:num>
            <m:den>
              <m:sSub>
                <m:e>
                  <m:acc>
                    <m:accPr>
                      <m:chr m:val="‾"/>
                    </m:accPr>
                    <m:e>
                      <m:r>
                        <m:t>δ</m:t>
                      </m:r>
                    </m:e>
                  </m:acc>
                </m:e>
                <m:sub>
                  <m:r>
                    <m:t>i</m:t>
                  </m:r>
                  <m:r>
                    <m:rPr>
                      <m:sty m:val="p"/>
                    </m:rPr>
                    <m:t>∈</m:t>
                  </m:r>
                  <m:r>
                    <m:t>S</m:t>
                  </m:r>
                </m:sub>
              </m:sSub>
            </m:den>
          </m:f>
          <m:r>
            <m:rPr>
              <m:sty m:val="p"/>
            </m:rPr>
            <m:t>.</m:t>
          </m:r>
        </m:oMath>
      </m:oMathPara>
    </w:p>
    <w:p>
      <w:pPr>
        <w:pStyle w:val="FirstParagraph"/>
      </w:pPr>
      <w:r>
        <w:t xml:space="preserve">.</w:t>
      </w:r>
    </w:p>
    <w:bookmarkEnd w:id="35"/>
    <w:bookmarkEnd w:id="36"/>
    <w:bookmarkEnd w:id="37"/>
    <w:bookmarkStart w:id="41" w:name="simulation-study"/>
    <w:p>
      <w:pPr>
        <w:pStyle w:val="Heading2"/>
      </w:pPr>
      <w:r>
        <w:t xml:space="preserve">Simulation study</w:t>
      </w:r>
    </w:p>
    <w:p>
      <w:pPr>
        <w:pStyle w:val="FirstParagraph"/>
      </w:pPr>
      <w:r>
        <w:t xml:space="preserve">We used simulations to validate our inference model. For all simulations, we simulated data for</w:t>
      </w:r>
      <w:r>
        <w:t xml:space="preserve"> </w:t>
      </w:r>
      <m:oMath>
        <m:sSup>
          <m:e>
            <m:r>
              <m:t>n</m:t>
            </m:r>
          </m:e>
          <m:sup>
            <m:r>
              <m:rPr>
                <m:nor/>
                <m:sty m:val="p"/>
              </m:rPr>
              <m:t>max</m:t>
            </m:r>
          </m:sup>
        </m:sSup>
        <m:r>
          <m:rPr>
            <m:sty m:val="p"/>
          </m:rPr>
          <m:t>=</m:t>
        </m:r>
        <m:r>
          <m:t>29</m:t>
        </m:r>
      </m:oMath>
      <w:r>
        <w:t xml:space="preserve"> </w:t>
      </w:r>
      <w:r>
        <w:t xml:space="preserve">genome windows in</w:t>
      </w:r>
      <w:r>
        <w:t xml:space="preserve"> </w:t>
      </w:r>
      <m:oMath>
        <m:r>
          <m:t>N</m:t>
        </m:r>
        <m:r>
          <m:rPr>
            <m:sty m:val="p"/>
          </m:rPr>
          <m:t>=</m:t>
        </m:r>
        <m:r>
          <m:t>2</m:t>
        </m:r>
        <m:r>
          <m:rPr>
            <m:sty m:val="p"/>
          </m:rPr>
          <m:t>,</m:t>
        </m:r>
        <m:r>
          <m:t>000</m:t>
        </m:r>
      </m:oMath>
      <w:r>
        <w:t xml:space="preserve"> </w:t>
      </w:r>
      <w:r>
        <w:t xml:space="preserve">samples which were assigned a normalized log</w:t>
      </w:r>
      <w:r>
        <w:rPr>
          <w:vertAlign w:val="subscript"/>
        </w:rPr>
        <w:t xml:space="preserve">10</w:t>
      </w:r>
      <w:r>
        <w:t xml:space="preserve"> </w:t>
      </w:r>
      <w:r>
        <w:t xml:space="preserve">viral load (</w:t>
      </w:r>
      <m:oMath>
        <m:sSub>
          <m:e>
            <m:r>
              <m:t>V</m:t>
            </m:r>
          </m:e>
          <m:sub>
            <m:r>
              <m:t>i</m:t>
            </m:r>
          </m:sub>
        </m:sSub>
      </m:oMath>
      <w:r>
        <w:t xml:space="preserve">) with random draws from a</w:t>
      </w:r>
      <w:r>
        <w:t xml:space="preserve"> </w:t>
      </w:r>
      <m:oMath>
        <m:r>
          <m:t>N</m:t>
        </m:r>
        <m:d>
          <m:dPr>
            <m:begChr m:val="("/>
            <m:endChr m:val=")"/>
            <m:sepChr m:val=""/>
            <m:grow/>
          </m:dPr>
          <m:e>
            <m:r>
              <m:t>0</m:t>
            </m:r>
            <m:r>
              <m:rPr>
                <m:sty m:val="p"/>
              </m:rPr>
              <m:t>,</m:t>
            </m:r>
            <m:r>
              <m:t>1</m:t>
            </m:r>
          </m:e>
        </m:d>
      </m:oMath>
      <w:r>
        <w:t xml:space="preserve"> </w:t>
      </w:r>
      <w:r>
        <w:t xml:space="preserve">distribution. For all samples,</w:t>
      </w:r>
      <w:r>
        <w:t xml:space="preserve"> </w:t>
      </w:r>
      <m:oMath>
        <m:sSub>
          <m:e>
            <m:r>
              <m:t>α</m:t>
            </m:r>
          </m:e>
          <m:sub>
            <m:r>
              <m:t>i</m:t>
            </m:r>
          </m:sub>
        </m:sSub>
      </m:oMath>
      <w:r>
        <w:t xml:space="preserve"> </w:t>
      </w:r>
      <w:r>
        <w:t xml:space="preserve">was drawn from a</w:t>
      </w:r>
      <w:r>
        <w:t xml:space="preserve"> </w:t>
      </w:r>
      <m:oMath>
        <m:r>
          <m:t>N</m:t>
        </m:r>
        <m:d>
          <m:dPr>
            <m:begChr m:val="("/>
            <m:endChr m:val=")"/>
            <m:sepChr m:val=""/>
            <m:grow/>
          </m:dPr>
          <m:e>
            <m:r>
              <m:t>0</m:t>
            </m:r>
            <m:r>
              <m:rPr>
                <m:sty m:val="p"/>
              </m:rPr>
              <m:t>,</m:t>
            </m:r>
            <m:r>
              <m:t>1</m:t>
            </m:r>
          </m:e>
        </m:d>
      </m:oMath>
      <w:r>
        <w:t xml:space="preserve"> </w:t>
      </w:r>
      <w:r>
        <w:t xml:space="preserve">distribution and</w:t>
      </w:r>
      <w:r>
        <w:t xml:space="preserve"> </w:t>
      </w:r>
      <m:oMath>
        <m:sSub>
          <m:e>
            <m:r>
              <m:t>θ</m:t>
            </m:r>
          </m:e>
          <m:sub>
            <m:r>
              <m:t>i</m:t>
            </m:r>
          </m:sub>
        </m:sSub>
      </m:oMath>
      <w:r>
        <w:t xml:space="preserve"> </w:t>
      </w:r>
      <w:r>
        <w:t xml:space="preserve">calculated as</w:t>
      </w:r>
      <w:r>
        <w:t xml:space="preserve"> </w:t>
      </w:r>
      <m:oMath>
        <m:sSub>
          <m:e>
            <m:r>
              <m:t>α</m:t>
            </m:r>
          </m:e>
          <m:sub>
            <m:r>
              <m:t>0</m:t>
            </m:r>
          </m:sub>
        </m:sSub>
        <m:r>
          <m:rPr>
            <m:sty m:val="p"/>
          </m:rPr>
          <m:t>+</m:t>
        </m:r>
        <m:sSub>
          <m:e>
            <m:r>
              <m:t>α</m:t>
            </m:r>
          </m:e>
          <m:sub>
            <m:r>
              <m:t>1</m:t>
            </m:r>
          </m:sub>
        </m:sSub>
        <m:sSub>
          <m:e>
            <m:r>
              <m:t>V</m:t>
            </m:r>
          </m:e>
          <m:sub>
            <m:r>
              <m:t>i</m:t>
            </m:r>
          </m:sub>
        </m:sSub>
        <m:r>
          <m:rPr>
            <m:sty m:val="p"/>
          </m:rPr>
          <m:t>+</m:t>
        </m:r>
        <m:sSub>
          <m:e>
            <m:r>
              <m:t>α</m:t>
            </m:r>
          </m:e>
          <m:sub>
            <m:r>
              <m:t>i</m:t>
            </m:r>
          </m:sub>
        </m:sSub>
      </m:oMath>
      <w:r>
        <w:t xml:space="preserve"> </w:t>
      </w:r>
      <w:r>
        <w:t xml:space="preserve">with</w:t>
      </w:r>
      <w:r>
        <w:t xml:space="preserve"> </w:t>
      </w:r>
      <m:oMath>
        <m:sSub>
          <m:e>
            <m:r>
              <m:t>α</m:t>
            </m:r>
          </m:e>
          <m:sub>
            <m:r>
              <m:t>0</m:t>
            </m:r>
          </m:sub>
        </m:sSub>
        <m:r>
          <m:rPr>
            <m:sty m:val="p"/>
          </m:rPr>
          <m:t>=</m:t>
        </m:r>
        <m:r>
          <m:t>2</m:t>
        </m:r>
      </m:oMath>
      <w:r>
        <w:t xml:space="preserve"> </w:t>
      </w:r>
      <w:r>
        <w:t xml:space="preserve">and</w:t>
      </w:r>
      <w:r>
        <w:t xml:space="preserve"> </w:t>
      </w:r>
      <m:oMath>
        <m:sSub>
          <m:e>
            <m:r>
              <m:t>α</m:t>
            </m:r>
          </m:e>
          <m:sub>
            <m:r>
              <m:t>1</m:t>
            </m:r>
          </m:sub>
        </m:sSub>
        <m:r>
          <m:rPr>
            <m:sty m:val="p"/>
          </m:rPr>
          <m:t>=</m:t>
        </m:r>
        <m:r>
          <m:t>2</m:t>
        </m:r>
      </m:oMath>
      <w:r>
        <w:t xml:space="preserve">. Under these parameters, we generated three simulated data sets as described below.</w:t>
      </w:r>
    </w:p>
    <w:bookmarkStart w:id="38" w:name="sec:base_simulation"/>
    <w:p>
      <w:pPr>
        <w:pStyle w:val="Heading3"/>
      </w:pPr>
      <w:r>
        <w:t xml:space="preserve">Base simulation</w:t>
      </w:r>
    </w:p>
    <w:p>
      <w:pPr>
        <w:pStyle w:val="FirstParagraph"/>
      </w:pPr>
      <m:oMathPara>
        <m:oMathParaPr>
          <m:jc m:val="center"/>
        </m:oMathParaPr>
        <m:oMath>
          <m:m>
            <m:mPr>
              <m:baseJc m:val="center"/>
              <m:plcHide m:val="on"/>
              <m:mcs>
                <m:mc>
                  <m:mcPr>
                    <m:mcJc m:val="right"/>
                    <m:count m:val="1"/>
                  </m:mcPr>
                </m:mc>
                <m:mc>
                  <m:mcPr>
                    <m:mcJc m:val="left"/>
                    <m:count m:val="1"/>
                  </m:mcPr>
                </m:mc>
              </m:mcs>
            </m:mPr>
            <m:mr>
              <m:e>
                <m:sSub>
                  <m:e>
                    <m:r>
                      <m:t>M</m:t>
                    </m:r>
                  </m:e>
                  <m:sub>
                    <m:r>
                      <m:t>i</m:t>
                    </m:r>
                  </m:sub>
                </m:sSub>
              </m:e>
              <m:e>
                <m:r>
                  <m:rPr>
                    <m:sty m:val="p"/>
                  </m:rPr>
                  <m:t>=</m:t>
                </m:r>
                <m:d>
                  <m:dPr>
                    <m:begChr m:val="["/>
                    <m:endChr m:val="]"/>
                    <m:sepChr m:val=""/>
                    <m:grow/>
                  </m:dPr>
                  <m:e>
                    <m:sSub>
                      <m:e>
                        <m:r>
                          <m:t>1</m:t>
                        </m:r>
                      </m:e>
                      <m:sub>
                        <m:r>
                          <m:rPr>
                            <m:sty m:val="p"/>
                          </m:rPr>
                          <m:t>×</m:t>
                        </m:r>
                        <m:r>
                          <m:t>100</m:t>
                        </m:r>
                      </m:sub>
                    </m:sSub>
                  </m:e>
                </m:d>
                <m:r>
                  <m:rPr>
                    <m:sty m:val="p"/>
                  </m:rPr>
                  <m:t>⊕</m:t>
                </m:r>
                <m:d>
                  <m:dPr>
                    <m:begChr m:val="["/>
                    <m:endChr m:val="]"/>
                    <m:sepChr m:val=""/>
                    <m:grow/>
                  </m:dPr>
                  <m:e>
                    <m:sSub>
                      <m:e>
                        <m:r>
                          <m:t>0</m:t>
                        </m:r>
                      </m:e>
                      <m:sub>
                        <m:r>
                          <m:rPr>
                            <m:sty m:val="p"/>
                          </m:rPr>
                          <m:t>×</m:t>
                        </m:r>
                        <m:r>
                          <m:t>1900</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r>
                      <m:t>29</m:t>
                    </m:r>
                    <m:r>
                      <m:rPr>
                        <m:sty m:val="p"/>
                      </m:rPr>
                      <m:t>,</m:t>
                    </m:r>
                    <m:sSub>
                      <m:e>
                        <m:r>
                          <m:t>ϕ</m:t>
                        </m:r>
                      </m:e>
                      <m:sub>
                        <m:r>
                          <m:t>i</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r>
                  <m:rPr>
                    <m:sty m:val="p"/>
                  </m:rPr>
                  <m:t>(</m:t>
                </m:r>
                <m:r>
                  <m:t>29</m:t>
                </m:r>
                <m:r>
                  <m:rPr>
                    <m:sty m:val="p"/>
                  </m:rPr>
                  <m:t>,</m:t>
                </m:r>
                <m:d>
                  <m:dPr>
                    <m:begChr m:val="("/>
                    <m:endChr m:val=")"/>
                    <m:sepChr m:val=""/>
                    <m:grow/>
                  </m:dPr>
                  <m:e>
                    <m:r>
                      <m:t>1</m:t>
                    </m:r>
                    <m:r>
                      <m:rPr>
                        <m:sty m:val="p"/>
                      </m:rPr>
                      <m:t>−</m:t>
                    </m:r>
                    <m:sSup>
                      <m:e>
                        <m:d>
                          <m:dPr>
                            <m:begChr m:val="("/>
                            <m:endChr m:val=")"/>
                            <m:sepChr m:val=""/>
                            <m:grow/>
                          </m:dPr>
                          <m:e>
                            <m:r>
                              <m:t>1</m:t>
                            </m:r>
                            <m:r>
                              <m:rPr>
                                <m:sty m:val="p"/>
                              </m:rPr>
                              <m:t>−</m:t>
                            </m:r>
                            <m:sSub>
                              <m:e>
                                <m:r>
                                  <m:t>ϕ</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0</m:t>
                    </m:r>
                  </m:e>
                </m:d>
              </m:e>
              <m:e>
                <m:r>
                  <m:rPr>
                    <m:sty m:val="p"/>
                  </m:rPr>
                  <m:t>∼</m:t>
                </m:r>
                <m:r>
                  <m:rPr>
                    <m:nor/>
                    <m:sty m:val="p"/>
                  </m:rPr>
                  <m:t>Binom</m:t>
                </m:r>
                <m:d>
                  <m:dPr>
                    <m:begChr m:val="("/>
                    <m:endChr m:val=")"/>
                    <m:sepChr m:val=""/>
                    <m:grow/>
                  </m:dPr>
                  <m:e>
                    <m:sSubSup>
                      <m:e>
                        <m:r>
                          <m:t>N</m:t>
                        </m:r>
                      </m:e>
                      <m:sub>
                        <m:r>
                          <m:t>i</m:t>
                        </m:r>
                      </m:sub>
                      <m:sup>
                        <m:r>
                          <m:t>o</m:t>
                        </m:r>
                        <m:r>
                          <m:t>b</m:t>
                        </m:r>
                        <m:r>
                          <m:t>s</m:t>
                        </m:r>
                      </m:sup>
                    </m:sSubSup>
                    <m:r>
                      <m:rPr>
                        <m:sty m:val="p"/>
                      </m:rPr>
                      <m:t>,</m:t>
                    </m:r>
                    <m:r>
                      <m:t>0</m:t>
                    </m:r>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ϕ</m:t>
                            </m:r>
                          </m:e>
                          <m:sub>
                            <m:r>
                              <m:t>i</m:t>
                            </m:r>
                          </m:sub>
                        </m:sSub>
                      </m:num>
                      <m:den>
                        <m:r>
                          <m:t>2</m:t>
                        </m:r>
                        <m:r>
                          <m:rPr>
                            <m:sty m:val="p"/>
                          </m:rPr>
                          <m:t>−</m:t>
                        </m:r>
                        <m:sSub>
                          <m:e>
                            <m:r>
                              <m:t>ϕ</m:t>
                            </m:r>
                          </m:e>
                          <m:sub>
                            <m:r>
                              <m:t>i</m:t>
                            </m:r>
                          </m:sub>
                        </m:sSub>
                      </m:den>
                    </m:f>
                  </m:e>
                </m:d>
                <m:r>
                  <m:rPr>
                    <m:sty m:val="p"/>
                  </m:rPr>
                  <m:t>,</m:t>
                </m:r>
              </m:e>
            </m:mr>
          </m:m>
        </m:oMath>
      </m:oMathPara>
    </w:p>
    <w:p>
      <w:pPr>
        <w:pStyle w:val="FirstParagraph"/>
      </w:pPr>
      <w:r>
        <w:t xml:space="preserve">where</w:t>
      </w:r>
      <w:r>
        <w:t xml:space="preserve"> </w:t>
      </w:r>
      <m:oMath>
        <m:d>
          <m:dPr>
            <m:begChr m:val="["/>
            <m:endChr m:val="]"/>
            <m:sepChr m:val=""/>
            <m:grow/>
          </m:dPr>
          <m:e>
            <m:sSub>
              <m:e>
                <m:r>
                  <m:t>x</m:t>
                </m:r>
              </m:e>
              <m:sub>
                <m:r>
                  <m:rPr>
                    <m:sty m:val="p"/>
                  </m:rPr>
                  <m:t>×</m:t>
                </m:r>
                <m:r>
                  <m:t>n</m:t>
                </m:r>
              </m:sub>
            </m:sSub>
          </m:e>
        </m:d>
      </m:oMath>
      <w:r>
        <w:t xml:space="preserve"> </w:t>
      </w:r>
      <w:r>
        <w:t xml:space="preserve">represents a vector of</w:t>
      </w:r>
      <w:r>
        <w:t xml:space="preserve"> </w:t>
      </w:r>
      <m:oMath>
        <m:r>
          <m:t>x</m:t>
        </m:r>
      </m:oMath>
      <w:r>
        <w:t xml:space="preserve"> </w:t>
      </w:r>
      <w:r>
        <w:t xml:space="preserve">repeated</w:t>
      </w:r>
      <w:r>
        <w:t xml:space="preserve"> </w:t>
      </w:r>
      <m:oMath>
        <m:r>
          <m:t>n</m:t>
        </m:r>
      </m:oMath>
      <w:r>
        <w:t xml:space="preserve"> </w:t>
      </w:r>
      <w:r>
        <w:t xml:space="preserve">times and</w:t>
      </w:r>
      <w:r>
        <w:t xml:space="preserve"> </w:t>
      </w:r>
      <m:oMath>
        <m:r>
          <m:rPr>
            <m:sty m:val="p"/>
          </m:rPr>
          <m:t>⊕</m:t>
        </m:r>
      </m:oMath>
      <w:r>
        <w:t xml:space="preserve"> </w:t>
      </w:r>
      <w:r>
        <w:t xml:space="preserve">represents concatenation of two vectors.</w:t>
      </w:r>
    </w:p>
    <w:bookmarkEnd w:id="38"/>
    <w:bookmarkStart w:id="39" w:name="sec:full_simulation"/>
    <w:p>
      <w:pPr>
        <w:pStyle w:val="Heading3"/>
      </w:pPr>
      <w:r>
        <w:t xml:space="preserve">Full simulation</w:t>
      </w:r>
    </w:p>
    <w:p>
      <w:pPr>
        <w:pStyle w:val="FirstParagraph"/>
      </w:pPr>
      <m:oMathPara>
        <m:oMathParaPr>
          <m:jc m:val="center"/>
        </m:oMathParaPr>
        <m:oMath>
          <m:m>
            <m:mPr>
              <m:baseJc m:val="center"/>
              <m:plcHide m:val="on"/>
              <m:mcs>
                <m:mc>
                  <m:mcPr>
                    <m:mcJc m:val="right"/>
                    <m:count m:val="1"/>
                  </m:mcPr>
                </m:mc>
                <m:mc>
                  <m:mcPr>
                    <m:mcJc m:val="left"/>
                    <m:count m:val="1"/>
                  </m:mcPr>
                </m:mc>
              </m:mcs>
            </m:mPr>
            <m:mr>
              <m:e>
                <m:sSub>
                  <m:e>
                    <m:r>
                      <m:t>M</m:t>
                    </m:r>
                  </m:e>
                  <m:sub>
                    <m:r>
                      <m:t>i</m:t>
                    </m:r>
                  </m:sub>
                </m:sSub>
              </m:e>
              <m:e>
                <m:r>
                  <m:rPr>
                    <m:sty m:val="p"/>
                  </m:rPr>
                  <m:t>=</m:t>
                </m:r>
                <m:d>
                  <m:dPr>
                    <m:begChr m:val="["/>
                    <m:endChr m:val="]"/>
                    <m:sepChr m:val=""/>
                    <m:grow/>
                  </m:dPr>
                  <m:e>
                    <m:sSub>
                      <m:e>
                        <m:r>
                          <m:t>1</m:t>
                        </m:r>
                      </m:e>
                      <m:sub>
                        <m:r>
                          <m:rPr>
                            <m:sty m:val="p"/>
                          </m:rPr>
                          <m:t>×</m:t>
                        </m:r>
                        <m:r>
                          <m:t>100</m:t>
                        </m:r>
                      </m:sub>
                    </m:sSub>
                  </m:e>
                </m:d>
                <m:r>
                  <m:rPr>
                    <m:sty m:val="p"/>
                  </m:rPr>
                  <m:t>⊕</m:t>
                </m:r>
                <m:d>
                  <m:dPr>
                    <m:begChr m:val="["/>
                    <m:endChr m:val="]"/>
                    <m:sepChr m:val=""/>
                    <m:grow/>
                  </m:dPr>
                  <m:e>
                    <m:sSub>
                      <m:e>
                        <m:r>
                          <m:t>0</m:t>
                        </m:r>
                      </m:e>
                      <m:sub>
                        <m:r>
                          <m:rPr>
                            <m:sty m:val="p"/>
                          </m:rPr>
                          <m:t>×</m:t>
                        </m:r>
                        <m:r>
                          <m:t>2000</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r>
                      <m:t>29</m:t>
                    </m:r>
                    <m:r>
                      <m:rPr>
                        <m:sty m:val="p"/>
                      </m:rPr>
                      <m:t>,</m:t>
                    </m:r>
                    <m:sSub>
                      <m:e>
                        <m:r>
                          <m:t>ϕ</m:t>
                        </m:r>
                      </m:e>
                      <m:sub>
                        <m:r>
                          <m:t>i</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r>
                  <m:rPr>
                    <m:sty m:val="p"/>
                  </m:rPr>
                  <m:t>(</m:t>
                </m:r>
                <m:r>
                  <m:t>29</m:t>
                </m:r>
                <m:r>
                  <m:rPr>
                    <m:sty m:val="p"/>
                  </m:rPr>
                  <m:t>,</m:t>
                </m:r>
                <m:d>
                  <m:dPr>
                    <m:begChr m:val="("/>
                    <m:endChr m:val=")"/>
                    <m:sepChr m:val=""/>
                    <m:grow/>
                  </m:dPr>
                  <m:e>
                    <m:r>
                      <m:t>1</m:t>
                    </m:r>
                    <m:r>
                      <m:rPr>
                        <m:sty m:val="p"/>
                      </m:rPr>
                      <m:t>−</m:t>
                    </m:r>
                    <m:sSup>
                      <m:e>
                        <m:d>
                          <m:dPr>
                            <m:begChr m:val="("/>
                            <m:endChr m:val=")"/>
                            <m:sepChr m:val=""/>
                            <m:grow/>
                          </m:dPr>
                          <m:e>
                            <m:r>
                              <m:t>1</m:t>
                            </m:r>
                            <m:r>
                              <m:rPr>
                                <m:sty m:val="p"/>
                              </m:rPr>
                              <m:t>−</m:t>
                            </m:r>
                            <m:sSub>
                              <m:e>
                                <m:r>
                                  <m:t>ϕ</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0</m:t>
                    </m:r>
                  </m:e>
                </m:d>
              </m:e>
              <m:e>
                <m:r>
                  <m:rPr>
                    <m:sty m:val="p"/>
                  </m:rPr>
                  <m:t>∼</m:t>
                </m:r>
                <m:r>
                  <m:rPr>
                    <m:nor/>
                    <m:sty m:val="p"/>
                  </m:rPr>
                  <m:t>Binom</m:t>
                </m:r>
                <m:d>
                  <m:dPr>
                    <m:begChr m:val="("/>
                    <m:endChr m:val=")"/>
                    <m:sepChr m:val=""/>
                    <m:grow/>
                  </m:dPr>
                  <m:e>
                    <m:sSubSup>
                      <m:e>
                        <m:r>
                          <m:t>N</m:t>
                        </m:r>
                      </m:e>
                      <m:sub>
                        <m:r>
                          <m:t>i</m:t>
                        </m:r>
                      </m:sub>
                      <m:sup>
                        <m:r>
                          <m:t>o</m:t>
                        </m:r>
                        <m:r>
                          <m:t>b</m:t>
                        </m:r>
                        <m:r>
                          <m:t>s</m:t>
                        </m:r>
                      </m:sup>
                    </m:sSubSup>
                    <m:r>
                      <m:rPr>
                        <m:sty m:val="p"/>
                      </m:rPr>
                      <m:t>,</m:t>
                    </m:r>
                    <m:r>
                      <m:t>ϵ</m:t>
                    </m:r>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e>
              <m:e>
                <m:r>
                  <m:rPr>
                    <m:sty m:val="p"/>
                  </m:rPr>
                  <m:t>∼</m:t>
                </m:r>
                <m:r>
                  <m:rPr>
                    <m:nor/>
                    <m:sty m:val="p"/>
                  </m:rPr>
                  <m:t>Binom</m:t>
                </m:r>
                <m:d>
                  <m:dPr>
                    <m:begChr m:val="("/>
                    <m:endChr m:val=")"/>
                    <m:sepChr m:val=""/>
                    <m:grow/>
                  </m:dPr>
                  <m:e>
                    <m:sSubSup>
                      <m:e>
                        <m:r>
                          <m:t>N</m:t>
                        </m:r>
                      </m:e>
                      <m:sub>
                        <m:r>
                          <m:t>i</m:t>
                        </m:r>
                      </m:sub>
                      <m:sup>
                        <m:r>
                          <m:t>o</m:t>
                        </m:r>
                        <m:r>
                          <m:t>b</m:t>
                        </m:r>
                        <m:r>
                          <m:t>s</m:t>
                        </m:r>
                      </m:sup>
                    </m:sSubSup>
                    <m:r>
                      <m:rPr>
                        <m:sty m:val="p"/>
                      </m:rPr>
                      <m:t>,</m:t>
                    </m:r>
                    <m:f>
                      <m:fPr>
                        <m:type m:val="bar"/>
                      </m:fPr>
                      <m:num>
                        <m:sSub>
                          <m:e>
                            <m:r>
                              <m:t>ϕ</m:t>
                            </m:r>
                          </m:e>
                          <m:sub>
                            <m:r>
                              <m:t>i</m:t>
                            </m:r>
                          </m:sub>
                        </m:sSub>
                      </m:num>
                      <m:den>
                        <m:r>
                          <m:t>2</m:t>
                        </m:r>
                        <m:r>
                          <m:rPr>
                            <m:sty m:val="p"/>
                          </m:rPr>
                          <m:t>−</m:t>
                        </m:r>
                        <m:sSub>
                          <m:e>
                            <m:r>
                              <m:t>ϕ</m:t>
                            </m:r>
                          </m:e>
                          <m:sub>
                            <m:r>
                              <m:t>i</m:t>
                            </m:r>
                          </m:sub>
                        </m:sSub>
                      </m:den>
                    </m:f>
                    <m:d>
                      <m:dPr>
                        <m:begChr m:val="("/>
                        <m:endChr m:val=")"/>
                        <m:sepChr m:val=""/>
                        <m:grow/>
                      </m:dPr>
                      <m:e>
                        <m:r>
                          <m:t>1</m:t>
                        </m:r>
                        <m:r>
                          <m:rPr>
                            <m:sty m:val="p"/>
                          </m:rPr>
                          <m:t>−</m:t>
                        </m:r>
                        <m:r>
                          <m:t>λ</m:t>
                        </m:r>
                      </m:e>
                    </m:d>
                    <m:r>
                      <m:rPr>
                        <m:sty m:val="p"/>
                      </m:rPr>
                      <m:t>+</m:t>
                    </m:r>
                    <m:r>
                      <m:t>2</m:t>
                    </m:r>
                    <m:r>
                      <m:t>ϵ</m:t>
                    </m:r>
                    <m:f>
                      <m:fPr>
                        <m:type m:val="bar"/>
                      </m:fPr>
                      <m:num>
                        <m:r>
                          <m:t>1</m:t>
                        </m:r>
                        <m:r>
                          <m:rPr>
                            <m:sty m:val="p"/>
                          </m:rPr>
                          <m:t>−</m:t>
                        </m:r>
                        <m:sSub>
                          <m:e>
                            <m:r>
                              <m:t>ϕ</m:t>
                            </m:r>
                          </m:e>
                          <m:sub>
                            <m:r>
                              <m:t>i</m:t>
                            </m:r>
                          </m:sub>
                        </m:sSub>
                      </m:num>
                      <m:den>
                        <m:r>
                          <m:t>2</m:t>
                        </m:r>
                        <m:r>
                          <m:rPr>
                            <m:sty m:val="p"/>
                          </m:rPr>
                          <m:t>−</m:t>
                        </m:r>
                        <m:sSub>
                          <m:e>
                            <m:r>
                              <m:t>ϕ</m:t>
                            </m:r>
                          </m:e>
                          <m:sub>
                            <m:r>
                              <m:t>i</m:t>
                            </m:r>
                          </m:sub>
                        </m:sSub>
                      </m:den>
                    </m:f>
                  </m:e>
                </m:d>
              </m:e>
            </m:mr>
            <m:mr>
              <m:e>
                <m:r>
                  <m:t>λ</m:t>
                </m:r>
              </m:e>
              <m:e>
                <m:r>
                  <m:rPr>
                    <m:sty m:val="p"/>
                  </m:rPr>
                  <m:t>=</m:t>
                </m:r>
                <m:r>
                  <m:t>0.30</m:t>
                </m:r>
              </m:e>
            </m:mr>
            <m:mr>
              <m:e>
                <m:r>
                  <m:t>ϵ</m:t>
                </m:r>
              </m:e>
              <m:e>
                <m:r>
                  <m:rPr>
                    <m:sty m:val="p"/>
                  </m:rPr>
                  <m:t>=</m:t>
                </m:r>
                <m:r>
                  <m:t>0.01</m:t>
                </m:r>
                <m:r>
                  <m:rPr>
                    <m:sty m:val="p"/>
                  </m:rPr>
                  <m:t>.</m:t>
                </m:r>
              </m:e>
            </m:mr>
          </m:m>
        </m:oMath>
      </m:oMathPara>
    </w:p>
    <w:p>
      <w:pPr>
        <w:pStyle w:val="FirstParagraph"/>
      </w:pPr>
      <w:r>
        <w:t xml:space="preserve">Additional simulations from this simulation model were generated with all other parameters held constant except (A):</w:t>
      </w:r>
      <w:r>
        <w:t xml:space="preserve"> </w:t>
      </w:r>
      <m:oMath>
        <m:nary>
          <m:naryPr>
            <m:chr m:val="∑"/>
            <m:limLoc m:val="undOvr"/>
            <m:subHide m:val="off"/>
            <m:supHide m:val="off"/>
          </m:naryPr>
          <m:sub>
            <m:r>
              <m:t>i</m:t>
            </m:r>
          </m:sub>
          <m:sup>
            <m:r>
              <m:t>n</m:t>
            </m:r>
          </m:sup>
          <m:e>
            <m:sSub>
              <m:e>
                <m:r>
                  <m:t>M</m:t>
                </m:r>
              </m:e>
              <m:sub>
                <m:r>
                  <m:t>i</m:t>
                </m:r>
              </m:sub>
            </m:sSub>
          </m:e>
        </m:nary>
        <m:r>
          <m:rPr>
            <m:sty m:val="p"/>
          </m:rPr>
          <m:t>=</m:t>
        </m:r>
        <m:r>
          <m:t>0</m:t>
        </m:r>
        <m:r>
          <m:rPr>
            <m:sty m:val="p"/>
          </m:rPr>
          <m:t>,</m:t>
        </m:r>
        <m:r>
          <m:t>300</m:t>
        </m:r>
        <m:r>
          <m:rPr>
            <m:sty m:val="p"/>
          </m:rPr>
          <m:t>,</m:t>
        </m:r>
        <m:r>
          <m:t>600</m:t>
        </m:r>
      </m:oMath>
      <w:r>
        <w:t xml:space="preserve">, (B):</w:t>
      </w:r>
      <w:r>
        <w:t xml:space="preserve"> </w:t>
      </w:r>
      <m:oMath>
        <m:r>
          <m:t>λ</m:t>
        </m:r>
        <m:r>
          <m:rPr>
            <m:sty m:val="p"/>
          </m:rPr>
          <m:t>=</m:t>
        </m:r>
        <m:r>
          <m:t>0.10</m:t>
        </m:r>
        <m:r>
          <m:rPr>
            <m:sty m:val="p"/>
          </m:rPr>
          <m:t>,</m:t>
        </m:r>
        <m:r>
          <m:t>0.20</m:t>
        </m:r>
        <m:r>
          <m:rPr>
            <m:sty m:val="p"/>
          </m:rPr>
          <m:t>,</m:t>
        </m:r>
        <m:r>
          <m:t>0.40</m:t>
        </m:r>
      </m:oMath>
      <w:r>
        <w:t xml:space="preserve">, and (C):</w:t>
      </w:r>
      <w:r>
        <w:t xml:space="preserve"> </w:t>
      </w:r>
      <m:oMath>
        <m:r>
          <m:t>ϵ</m:t>
        </m:r>
        <m:r>
          <m:rPr>
            <m:sty m:val="p"/>
          </m:rPr>
          <m:t>=</m:t>
        </m:r>
        <m:r>
          <m:t>0</m:t>
        </m:r>
        <m:r>
          <m:rPr>
            <m:sty m:val="p"/>
          </m:rPr>
          <m:t>,</m:t>
        </m:r>
        <m:r>
          <m:t>0.005</m:t>
        </m:r>
        <m:r>
          <m:rPr>
            <m:sty m:val="p"/>
          </m:rPr>
          <m:t>,</m:t>
        </m:r>
        <m:r>
          <m:t>0.05</m:t>
        </m:r>
      </m:oMath>
      <w:r>
        <w:t xml:space="preserve">.</w:t>
      </w:r>
    </w:p>
    <w:bookmarkEnd w:id="39"/>
    <w:bookmarkStart w:id="40" w:name="sec:extended_simulation"/>
    <w:p>
      <w:pPr>
        <w:pStyle w:val="Heading3"/>
      </w:pPr>
      <w:r>
        <w:t xml:space="preserve">Extended simulation</w:t>
      </w:r>
    </w:p>
    <w:p>
      <w:pPr>
        <w:pStyle w:val="FirstParagraph"/>
      </w:pPr>
      <m:oMathPara>
        <m:oMathParaPr>
          <m:jc m:val="center"/>
        </m:oMathParaPr>
        <m:oMath>
          <m:m>
            <m:mPr>
              <m:baseJc m:val="center"/>
              <m:plcHide m:val="on"/>
              <m:mcs>
                <m:mc>
                  <m:mcPr>
                    <m:mcJc m:val="right"/>
                    <m:count m:val="1"/>
                  </m:mcPr>
                </m:mc>
                <m:mc>
                  <m:mcPr>
                    <m:mcJc m:val="left"/>
                    <m:count m:val="1"/>
                  </m:mcPr>
                </m:mc>
              </m:mcs>
            </m:mPr>
            <m:mr>
              <m:e>
                <m:sSub>
                  <m:e>
                    <m:r>
                      <m:t>M</m:t>
                    </m:r>
                  </m:e>
                  <m:sub>
                    <m:r>
                      <m:t>i</m:t>
                    </m:r>
                  </m:sub>
                </m:sSub>
              </m:e>
              <m:e>
                <m:r>
                  <m:rPr>
                    <m:sty m:val="p"/>
                  </m:rPr>
                  <m:t>=</m:t>
                </m:r>
                <m:d>
                  <m:dPr>
                    <m:begChr m:val="["/>
                    <m:endChr m:val="]"/>
                    <m:sepChr m:val=""/>
                    <m:grow/>
                  </m:dPr>
                  <m:e>
                    <m:sSub>
                      <m:e>
                        <m:r>
                          <m:t>1</m:t>
                        </m:r>
                      </m:e>
                      <m:sub>
                        <m:r>
                          <m:rPr>
                            <m:sty m:val="p"/>
                          </m:rPr>
                          <m:t>×</m:t>
                        </m:r>
                        <m:r>
                          <m:t>150</m:t>
                        </m:r>
                      </m:sub>
                    </m:sSub>
                  </m:e>
                </m:d>
                <m:r>
                  <m:rPr>
                    <m:sty m:val="p"/>
                  </m:rPr>
                  <m:t>⊕</m:t>
                </m:r>
                <m:d>
                  <m:dPr>
                    <m:begChr m:val="["/>
                    <m:endChr m:val="]"/>
                    <m:sepChr m:val=""/>
                    <m:grow/>
                  </m:dPr>
                  <m:e>
                    <m:sSub>
                      <m:e>
                        <m:r>
                          <m:t>0</m:t>
                        </m:r>
                      </m:e>
                      <m:sub>
                        <m:r>
                          <m:rPr>
                            <m:sty m:val="p"/>
                          </m:rPr>
                          <m:t>×</m:t>
                        </m:r>
                        <m:r>
                          <m:t>1850</m:t>
                        </m:r>
                      </m:sub>
                    </m:sSub>
                  </m:e>
                </m:d>
              </m:e>
            </m:mr>
            <m:mr>
              <m:e>
                <m:sSub>
                  <m:e>
                    <m:r>
                      <m:t>X</m:t>
                    </m:r>
                  </m:e>
                  <m:sub>
                    <m:r>
                      <m:rPr>
                        <m:sty m:val="p"/>
                      </m:rPr>
                      <m:t>,</m:t>
                    </m:r>
                    <m:r>
                      <m:t>1</m:t>
                    </m:r>
                  </m:sub>
                </m:sSub>
              </m:e>
              <m:e>
                <m:r>
                  <m:rPr>
                    <m:sty m:val="p"/>
                  </m:rPr>
                  <m:t>=</m:t>
                </m:r>
                <m:d>
                  <m:dPr>
                    <m:begChr m:val="["/>
                    <m:endChr m:val="]"/>
                    <m:sepChr m:val=""/>
                    <m:grow/>
                  </m:dPr>
                  <m:e>
                    <m:sSub>
                      <m:e>
                        <m:r>
                          <m:t>1</m:t>
                        </m:r>
                      </m:e>
                      <m:sub>
                        <m:r>
                          <m:rPr>
                            <m:sty m:val="p"/>
                          </m:rPr>
                          <m:t>×</m:t>
                        </m:r>
                        <m:r>
                          <m:t>100</m:t>
                        </m:r>
                      </m:sub>
                    </m:sSub>
                  </m:e>
                </m:d>
                <m:r>
                  <m:rPr>
                    <m:sty m:val="p"/>
                  </m:rPr>
                  <m:t>⊕</m:t>
                </m:r>
                <m:d>
                  <m:dPr>
                    <m:begChr m:val="["/>
                    <m:endChr m:val="]"/>
                    <m:sepChr m:val=""/>
                    <m:grow/>
                  </m:dPr>
                  <m:e>
                    <m:sSub>
                      <m:e>
                        <m:r>
                          <m:t>0</m:t>
                        </m:r>
                      </m:e>
                      <m:sub>
                        <m:r>
                          <m:rPr>
                            <m:sty m:val="p"/>
                          </m:rPr>
                          <m:t>×</m:t>
                        </m:r>
                        <m:r>
                          <m:t>50</m:t>
                        </m:r>
                      </m:sub>
                    </m:sSub>
                  </m:e>
                </m:d>
                <m:r>
                  <m:rPr>
                    <m:sty m:val="p"/>
                  </m:rPr>
                  <m:t>⊕</m:t>
                </m:r>
                <m:d>
                  <m:dPr>
                    <m:begChr m:val="["/>
                    <m:endChr m:val="]"/>
                    <m:sepChr m:val=""/>
                    <m:grow/>
                  </m:dPr>
                  <m:e>
                    <m:sSub>
                      <m:e>
                        <m:r>
                          <m:t>1</m:t>
                        </m:r>
                      </m:e>
                      <m:sub>
                        <m:r>
                          <m:rPr>
                            <m:sty m:val="p"/>
                          </m:rPr>
                          <m:t>×</m:t>
                        </m:r>
                        <m:r>
                          <m:t>900</m:t>
                        </m:r>
                      </m:sub>
                    </m:sSub>
                  </m:e>
                </m:d>
                <m:r>
                  <m:rPr>
                    <m:sty m:val="p"/>
                  </m:rPr>
                  <m:t>⊕</m:t>
                </m:r>
                <m:d>
                  <m:dPr>
                    <m:begChr m:val="["/>
                    <m:endChr m:val="]"/>
                    <m:sepChr m:val=""/>
                    <m:grow/>
                  </m:dPr>
                  <m:e>
                    <m:sSub>
                      <m:e>
                        <m:r>
                          <m:t>0</m:t>
                        </m:r>
                      </m:e>
                      <m:sub>
                        <m:r>
                          <m:rPr>
                            <m:sty m:val="p"/>
                          </m:rPr>
                          <m:t>×</m:t>
                        </m:r>
                        <m:r>
                          <m:t>950</m:t>
                        </m:r>
                      </m:sub>
                    </m:sSub>
                  </m:e>
                </m:d>
              </m:e>
            </m:mr>
            <m:mr>
              <m:e>
                <m:sSubSup>
                  <m:e>
                    <m:r>
                      <m:t>X</m:t>
                    </m:r>
                  </m:e>
                  <m:sub>
                    <m:r>
                      <m:t>i</m:t>
                    </m:r>
                    <m:r>
                      <m:rPr>
                        <m:sty m:val="p"/>
                      </m:rPr>
                      <m:t>,</m:t>
                    </m:r>
                    <m:r>
                      <m:t>2</m:t>
                    </m:r>
                    <m:r>
                      <m:rPr>
                        <m:sty m:val="p"/>
                      </m:rPr>
                      <m:t>−</m:t>
                    </m:r>
                    <m:r>
                      <m:t>5</m:t>
                    </m:r>
                  </m:sub>
                  <m:sup>
                    <m:r>
                      <m:rPr>
                        <m:nor/>
                        <m:sty m:val="p"/>
                      </m:rPr>
                      <m:t>risk</m:t>
                    </m:r>
                  </m:sup>
                </m:sSubSup>
              </m:e>
              <m:e>
                <m:r>
                  <m:rPr>
                    <m:sty m:val="p"/>
                  </m:rPr>
                  <m:t>∼</m:t>
                </m:r>
                <m:r>
                  <m:rPr>
                    <m:nor/>
                    <m:sty m:val="p"/>
                  </m:rPr>
                  <m:t>shuffle</m:t>
                </m:r>
                <m:d>
                  <m:dPr>
                    <m:begChr m:val="("/>
                    <m:endChr m:val=")"/>
                    <m:sepChr m:val=""/>
                    <m:grow/>
                  </m:dPr>
                  <m:e>
                    <m:d>
                      <m:dPr>
                        <m:begChr m:val="["/>
                        <m:endChr m:val="]"/>
                        <m:sepChr m:val=""/>
                        <m:grow/>
                      </m:dPr>
                      <m:e>
                        <m:sSub>
                          <m:e>
                            <m:r>
                              <m:t>1</m:t>
                            </m:r>
                          </m:e>
                          <m:sub>
                            <m:r>
                              <m:rPr>
                                <m:sty m:val="p"/>
                              </m:rPr>
                              <m:t>×</m:t>
                            </m:r>
                            <m:r>
                              <m:t>1000</m:t>
                            </m:r>
                          </m:sub>
                        </m:sSub>
                      </m:e>
                    </m:d>
                    <m:r>
                      <m:rPr>
                        <m:sty m:val="p"/>
                      </m:rPr>
                      <m:t>⊕</m:t>
                    </m:r>
                    <m:d>
                      <m:dPr>
                        <m:begChr m:val="["/>
                        <m:endChr m:val="]"/>
                        <m:sepChr m:val=""/>
                        <m:grow/>
                      </m:dPr>
                      <m:e>
                        <m:sSub>
                          <m:e>
                            <m:r>
                              <m:t>0</m:t>
                            </m:r>
                          </m:e>
                          <m:sub>
                            <m:r>
                              <m:rPr>
                                <m:sty m:val="p"/>
                              </m:rPr>
                              <m:t>×</m:t>
                            </m:r>
                            <m:r>
                              <m:t>1000</m:t>
                            </m:r>
                          </m:sub>
                        </m:sSub>
                      </m:e>
                    </m:d>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0</m:t>
                    </m:r>
                  </m:e>
                </m:d>
              </m:e>
              <m:e>
                <m:r>
                  <m:rPr>
                    <m:sty m:val="p"/>
                  </m:rPr>
                  <m:t>∼</m:t>
                </m:r>
                <m:sSup>
                  <m:e>
                    <m:r>
                      <m:rPr>
                        <m:nor/>
                        <m:sty m:val="p"/>
                      </m:rPr>
                      <m:t>Binomial</m:t>
                    </m:r>
                  </m:e>
                  <m:sup>
                    <m:r>
                      <m:t>1</m:t>
                    </m:r>
                    <m:r>
                      <m:rPr>
                        <m:sty m:val="p"/>
                      </m:rPr>
                      <m:t>+</m:t>
                    </m:r>
                  </m:sup>
                </m:sSup>
                <m:d>
                  <m:dPr>
                    <m:begChr m:val="("/>
                    <m:endChr m:val=")"/>
                    <m:sepChr m:val=""/>
                    <m:grow/>
                  </m:dPr>
                  <m:e>
                    <m:r>
                      <m:t>29</m:t>
                    </m:r>
                    <m:r>
                      <m:rPr>
                        <m:sty m:val="p"/>
                      </m:rPr>
                      <m:t>,</m:t>
                    </m:r>
                    <m:sSub>
                      <m:e>
                        <m:r>
                          <m:t>ϕ</m:t>
                        </m:r>
                      </m:e>
                      <m:sub>
                        <m:r>
                          <m:t>i</m:t>
                        </m:r>
                      </m:sub>
                    </m:sSub>
                  </m:e>
                </m:d>
              </m:e>
            </m:mr>
            <m:mr>
              <m:e>
                <m:d>
                  <m:dPr>
                    <m:begChr m:val="("/>
                    <m:endChr m:val=")"/>
                    <m:sepChr m:val=""/>
                    <m:grow/>
                  </m:dPr>
                  <m:e>
                    <m:sSubSup>
                      <m:e>
                        <m:r>
                          <m:t>N</m:t>
                        </m:r>
                      </m:e>
                      <m:sub>
                        <m:r>
                          <m:t>i</m:t>
                        </m:r>
                      </m:sub>
                      <m:sup>
                        <m:r>
                          <m:t>o</m:t>
                        </m:r>
                        <m:r>
                          <m:t>b</m:t>
                        </m:r>
                        <m:r>
                          <m:t>s</m:t>
                        </m:r>
                      </m:sup>
                    </m:sSubSup>
                    <m:r>
                      <m:rPr>
                        <m:sty m:val="p"/>
                      </m:rPr>
                      <m:t>|</m:t>
                    </m:r>
                    <m:sSub>
                      <m:e>
                        <m:r>
                          <m:t>M</m:t>
                        </m:r>
                      </m:e>
                      <m:sub>
                        <m:r>
                          <m:t>i</m:t>
                        </m:r>
                      </m:sub>
                    </m:sSub>
                    <m:r>
                      <m:rPr>
                        <m:sty m:val="p"/>
                      </m:rPr>
                      <m:t>=</m:t>
                    </m:r>
                    <m:r>
                      <m:t>1</m:t>
                    </m:r>
                  </m:e>
                </m:d>
              </m:e>
              <m:e>
                <m:r>
                  <m:rPr>
                    <m:sty m:val="p"/>
                  </m:rPr>
                  <m:t>∼</m:t>
                </m:r>
                <m:sSup>
                  <m:e>
                    <m:r>
                      <m:rPr>
                        <m:nor/>
                        <m:sty m:val="p"/>
                      </m:rPr>
                      <m:t>Binomial</m:t>
                    </m:r>
                  </m:e>
                  <m:sup>
                    <m:r>
                      <m:t>1</m:t>
                    </m:r>
                    <m:r>
                      <m:rPr>
                        <m:sty m:val="p"/>
                      </m:rPr>
                      <m:t>+</m:t>
                    </m:r>
                  </m:sup>
                </m:sSup>
                <m:d>
                  <m:dPr>
                    <m:begChr m:val="("/>
                    <m:endChr m:val=")"/>
                    <m:sepChr m:val=""/>
                    <m:grow/>
                  </m:dPr>
                  <m:e>
                    <m:r>
                      <m:t>29</m:t>
                    </m:r>
                    <m:r>
                      <m:rPr>
                        <m:sty m:val="p"/>
                      </m:rPr>
                      <m:t>,</m:t>
                    </m:r>
                    <m:r>
                      <m:rPr>
                        <m:sty m:val="p"/>
                      </m:rPr>
                      <m:t>(</m:t>
                    </m:r>
                    <m:r>
                      <m:t>1</m:t>
                    </m:r>
                    <m:r>
                      <m:rPr>
                        <m:sty m:val="p"/>
                      </m:rPr>
                      <m:t>−</m:t>
                    </m:r>
                    <m:sSup>
                      <m:e>
                        <m:d>
                          <m:dPr>
                            <m:begChr m:val="("/>
                            <m:endChr m:val=")"/>
                            <m:sepChr m:val=""/>
                            <m:grow/>
                          </m:dPr>
                          <m:e>
                            <m:r>
                              <m:t>1</m:t>
                            </m:r>
                            <m:r>
                              <m:rPr>
                                <m:sty m:val="p"/>
                              </m:rPr>
                              <m:t>−</m:t>
                            </m:r>
                            <m:sSub>
                              <m:e>
                                <m:r>
                                  <m:t>ϕ</m:t>
                                </m:r>
                              </m:e>
                              <m:sub>
                                <m:r>
                                  <m:t>i</m:t>
                                </m:r>
                              </m:sub>
                            </m:sSub>
                          </m:e>
                        </m:d>
                      </m:e>
                      <m:sup>
                        <m:r>
                          <m:t>2</m:t>
                        </m:r>
                      </m:sup>
                    </m:sSup>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0</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r>
                      <m:t>ϵ</m:t>
                    </m:r>
                  </m:e>
                </m:d>
              </m:e>
            </m:mr>
            <m:mr>
              <m:e>
                <m:d>
                  <m:dPr>
                    <m:begChr m:val="("/>
                    <m:endChr m:val=")"/>
                    <m:sepChr m:val=""/>
                    <m:grow/>
                  </m:dPr>
                  <m:e>
                    <m:sSubSup>
                      <m:e>
                        <m:r>
                          <m:t>M</m:t>
                        </m:r>
                      </m:e>
                      <m:sub>
                        <m:r>
                          <m:t>i</m:t>
                        </m:r>
                      </m:sub>
                      <m:sup>
                        <m:r>
                          <m:rPr>
                            <m:nor/>
                            <m:sty m:val="p"/>
                          </m:rPr>
                          <m:t>obs</m:t>
                        </m:r>
                      </m:sup>
                    </m:sSubSup>
                    <m:r>
                      <m:rPr>
                        <m:sty m:val="p"/>
                      </m:rPr>
                      <m:t>|</m:t>
                    </m:r>
                    <m:sSub>
                      <m:e>
                        <m:r>
                          <m:t>M</m:t>
                        </m:r>
                      </m:e>
                      <m:sub>
                        <m:r>
                          <m:t>i</m:t>
                        </m:r>
                      </m:sub>
                    </m:sSub>
                    <m:r>
                      <m:rPr>
                        <m:sty m:val="p"/>
                      </m:rPr>
                      <m:t>=</m:t>
                    </m:r>
                    <m:r>
                      <m:t>1</m:t>
                    </m:r>
                  </m:e>
                </m:d>
              </m:e>
              <m:e>
                <m:r>
                  <m:rPr>
                    <m:sty m:val="p"/>
                  </m:rPr>
                  <m:t>∼</m:t>
                </m:r>
                <m:r>
                  <m:rPr>
                    <m:nor/>
                    <m:sty m:val="p"/>
                  </m:rPr>
                  <m:t>Binomial</m:t>
                </m:r>
                <m:d>
                  <m:dPr>
                    <m:begChr m:val="("/>
                    <m:endChr m:val=")"/>
                    <m:sepChr m:val=""/>
                    <m:grow/>
                  </m:dPr>
                  <m:e>
                    <m:sSubSup>
                      <m:e>
                        <m:r>
                          <m:t>N</m:t>
                        </m:r>
                      </m:e>
                      <m:sub>
                        <m:r>
                          <m:t>i</m:t>
                        </m:r>
                      </m:sub>
                      <m:sup>
                        <m:r>
                          <m:t>o</m:t>
                        </m:r>
                        <m:r>
                          <m:t>b</m:t>
                        </m:r>
                        <m:r>
                          <m:t>s</m:t>
                        </m:r>
                      </m:sup>
                    </m:sSubSup>
                    <m:r>
                      <m:rPr>
                        <m:sty m:val="p"/>
                      </m:rPr>
                      <m:t>,</m:t>
                    </m:r>
                    <m:f>
                      <m:fPr>
                        <m:type m:val="bar"/>
                      </m:fPr>
                      <m:num>
                        <m:sSub>
                          <m:e>
                            <m:r>
                              <m:t>ϕ</m:t>
                            </m:r>
                          </m:e>
                          <m:sub>
                            <m:r>
                              <m:t>i</m:t>
                            </m:r>
                          </m:sub>
                        </m:sSub>
                      </m:num>
                      <m:den>
                        <m:r>
                          <m:t>2</m:t>
                        </m:r>
                        <m:r>
                          <m:rPr>
                            <m:sty m:val="p"/>
                          </m:rPr>
                          <m:t>−</m:t>
                        </m:r>
                        <m:sSub>
                          <m:e>
                            <m:r>
                              <m:t>ϕ</m:t>
                            </m:r>
                          </m:e>
                          <m:sub>
                            <m:r>
                              <m:t>i</m:t>
                            </m:r>
                          </m:sub>
                        </m:sSub>
                      </m:den>
                    </m:f>
                    <m:d>
                      <m:dPr>
                        <m:begChr m:val="("/>
                        <m:endChr m:val=")"/>
                        <m:sepChr m:val=""/>
                        <m:grow/>
                      </m:dPr>
                      <m:e>
                        <m:r>
                          <m:t>1</m:t>
                        </m:r>
                        <m:r>
                          <m:rPr>
                            <m:sty m:val="p"/>
                          </m:rPr>
                          <m:t>−</m:t>
                        </m:r>
                        <m:r>
                          <m:t>λ</m:t>
                        </m:r>
                      </m:e>
                    </m:d>
                    <m:r>
                      <m:rPr>
                        <m:sty m:val="p"/>
                      </m:rPr>
                      <m:t>+</m:t>
                    </m:r>
                    <m:r>
                      <m:t>2</m:t>
                    </m:r>
                    <m:r>
                      <m:t>ϵ</m:t>
                    </m:r>
                    <m:f>
                      <m:fPr>
                        <m:type m:val="bar"/>
                      </m:fPr>
                      <m:num>
                        <m:r>
                          <m:t>1</m:t>
                        </m:r>
                        <m:r>
                          <m:rPr>
                            <m:sty m:val="p"/>
                          </m:rPr>
                          <m:t>−</m:t>
                        </m:r>
                        <m:sSub>
                          <m:e>
                            <m:r>
                              <m:t>ϕ</m:t>
                            </m:r>
                          </m:e>
                          <m:sub>
                            <m:r>
                              <m:t>i</m:t>
                            </m:r>
                          </m:sub>
                        </m:sSub>
                      </m:num>
                      <m:den>
                        <m:r>
                          <m:t>2</m:t>
                        </m:r>
                        <m:r>
                          <m:rPr>
                            <m:sty m:val="p"/>
                          </m:rPr>
                          <m:t>−</m:t>
                        </m:r>
                        <m:sSub>
                          <m:e>
                            <m:r>
                              <m:t>ϕ</m:t>
                            </m:r>
                          </m:e>
                          <m:sub>
                            <m:r>
                              <m:t>i</m:t>
                            </m:r>
                          </m:sub>
                        </m:sSub>
                      </m:den>
                    </m:f>
                  </m:e>
                </m:d>
                <m:r>
                  <m:rPr>
                    <m:sty m:val="p"/>
                  </m:rPr>
                  <m:t>,</m:t>
                </m:r>
              </m:e>
            </m:mr>
          </m:m>
        </m:oMath>
      </m:oMathPara>
    </w:p>
    <w:p>
      <w:pPr>
        <w:pStyle w:val="FirstParagraph"/>
      </w:pPr>
      <w:r>
        <w:t xml:space="preserve">where</w:t>
      </w:r>
      <w:r>
        <w:t xml:space="preserve"> </w:t>
      </w:r>
      <m:oMath>
        <m:sSubSup>
          <m:e>
            <m:r>
              <m:t>X</m:t>
            </m:r>
          </m:e>
          <m:sub>
            <m:r>
              <m:t>i</m:t>
            </m:r>
            <m:r>
              <m:rPr>
                <m:sty m:val="p"/>
              </m:rPr>
              <m:t>,</m:t>
            </m:r>
            <m:r>
              <m:t>j</m:t>
            </m:r>
          </m:sub>
          <m:sup>
            <m:r>
              <m:rPr>
                <m:nor/>
                <m:sty m:val="p"/>
              </m:rPr>
              <m:t>risk</m:t>
            </m:r>
          </m:sup>
        </m:sSubSup>
      </m:oMath>
      <w:r>
        <w:t xml:space="preserve"> </w:t>
      </w:r>
      <w:r>
        <w:t xml:space="preserve">represents the entry in the</w:t>
      </w:r>
      <w:r>
        <w:t xml:space="preserve"> </w:t>
      </w:r>
      <w:r>
        <w:rPr>
          <w:i/>
          <w:iCs/>
        </w:rPr>
        <w:t xml:space="preserve">ith</w:t>
      </w:r>
      <w:r>
        <w:t xml:space="preserve"> </w:t>
      </w:r>
      <w:r>
        <w:t xml:space="preserve">row and</w:t>
      </w:r>
      <w:r>
        <w:t xml:space="preserve"> </w:t>
      </w:r>
      <w:r>
        <w:rPr>
          <w:i/>
          <w:iCs/>
        </w:rPr>
        <w:t xml:space="preserve">jth</w:t>
      </w:r>
      <w:r>
        <w:t xml:space="preserve"> </w:t>
      </w:r>
      <w:r>
        <w:t xml:space="preserve">column of the design matrix</w:t>
      </w:r>
      <w:r>
        <w:t xml:space="preserve"> </w:t>
      </w:r>
      <m:oMath>
        <m:sSup>
          <m:e>
            <m:r>
              <m:t>X</m:t>
            </m:r>
          </m:e>
          <m:sup>
            <m:r>
              <m:rPr>
                <m:nor/>
                <m:sty m:val="p"/>
              </m:rPr>
              <m:t>risk</m:t>
            </m:r>
          </m:sup>
        </m:sSup>
      </m:oMath>
      <w:r>
        <w:t xml:space="preserve"> </w:t>
      </w:r>
      <w:r>
        <w:t xml:space="preserve">and shuffle(</w:t>
      </w:r>
      <m:oMath>
        <m:r>
          <m:t>v</m:t>
        </m:r>
      </m:oMath>
      <w:r>
        <w:t xml:space="preserve">) denotes shuffling the elements of</w:t>
      </w:r>
      <w:r>
        <w:t xml:space="preserve"> </w:t>
      </w:r>
      <m:oMath>
        <m:r>
          <m:t>v</m:t>
        </m:r>
      </m:oMath>
      <w:r>
        <w:t xml:space="preserve">.</w:t>
      </w:r>
    </w:p>
    <w:bookmarkEnd w:id="40"/>
    <w:bookmarkEnd w:id="41"/>
    <w:bookmarkStart w:id="42" w:name="data-analysis-and-visualization"/>
    <w:p>
      <w:pPr>
        <w:pStyle w:val="Heading2"/>
      </w:pPr>
      <w:r>
        <w:t xml:space="preserve">Data analysis and visualization</w:t>
      </w:r>
    </w:p>
    <w:p>
      <w:pPr>
        <w:pStyle w:val="FirstParagraph"/>
      </w:pPr>
      <w:r>
        <w:t xml:space="preserve">All data analysis was conducted in R v.4.4.1</w:t>
      </w:r>
      <w:r>
        <w:t xml:space="preserve"> </w:t>
      </w:r>
      <w:r>
        <w:t xml:space="preserve">(R Core Team 2023)</w:t>
      </w:r>
      <w:r>
        <w:t xml:space="preserve"> </w:t>
      </w:r>
      <w:r>
        <w:t xml:space="preserve">using the tidyverse </w:t>
      </w:r>
      <w:r>
        <w:t xml:space="preserve">(Wickham et al. 2019)</w:t>
      </w:r>
      <w:r>
        <w:t xml:space="preserve"> </w:t>
      </w:r>
      <w:r>
        <w:t xml:space="preserve">with dplyr v.1.1.4 </w:t>
      </w:r>
      <w:r>
        <w:t xml:space="preserve">(Wickham et al. 2023)</w:t>
      </w:r>
      <w:r>
        <w:t xml:space="preserve">, tibble v.3.2.1 </w:t>
      </w:r>
      <w:r>
        <w:t xml:space="preserve">(Müller and Wickham 2023)</w:t>
      </w:r>
      <w:r>
        <w:t xml:space="preserve">, and tidyr v.1.3.1 </w:t>
      </w:r>
      <w:r>
        <w:t xml:space="preserve">(Wickham, Vaughan, and Girlich 2024)</w:t>
      </w:r>
      <w:r>
        <w:t xml:space="preserve">. Haven v.2.5.4 </w:t>
      </w:r>
      <w:r>
        <w:t xml:space="preserve">(Wickham, Miller, and Smith 2023)</w:t>
      </w:r>
      <w:r>
        <w:t xml:space="preserve"> </w:t>
      </w:r>
      <w:r>
        <w:t xml:space="preserve">was used to parse a subset of input data files. Visualization of data and results was done using ggplot2 v.3.5.1 </w:t>
      </w:r>
      <w:r>
        <w:t xml:space="preserve">(Wickham 2016)</w:t>
      </w:r>
      <w:r>
        <w:t xml:space="preserve"> </w:t>
      </w:r>
      <w:r>
        <w:t xml:space="preserve">with bayesplot v.1.11.1 </w:t>
      </w:r>
      <w:r>
        <w:t xml:space="preserve">(Gabry and Mahr 2024; Gabry et al. 2019)</w:t>
      </w:r>
      <w:r>
        <w:t xml:space="preserve">, cowplot v.1.1.3 </w:t>
      </w:r>
      <w:r>
        <w:t xml:space="preserve">(Wilke 2024)</w:t>
      </w:r>
      <w:r>
        <w:t xml:space="preserve">, and patchwork v.1.2.0. </w:t>
      </w:r>
      <w:r>
        <w:t xml:space="preserve">(Pedersen 2024)</w:t>
      </w:r>
      <w:r>
        <w:t xml:space="preserve">. Phylogenetic trees were manipulated and visualized using ape v.5.8 </w:t>
      </w:r>
      <w:r>
        <w:t xml:space="preserve">(Paradis and Schliep 2019)</w:t>
      </w:r>
      <w:r>
        <w:t xml:space="preserve">, ggtree v.3.12.0 </w:t>
      </w:r>
      <w:r>
        <w:t xml:space="preserve">(Yu 2022, 2020; Xu et al. 2022; Yu et al. 2018, 2017)</w:t>
      </w:r>
      <w:r>
        <w:t xml:space="preserve">, phytools v.2.1.-1 </w:t>
      </w:r>
      <w:r>
        <w:t xml:space="preserve">(Revell 2024)</w:t>
      </w:r>
      <w:r>
        <w:t xml:space="preserve">, and tidytree v.0.4.6 </w:t>
      </w:r>
      <w:r>
        <w:t xml:space="preserve">(Yu 2022)</w:t>
      </w:r>
      <w:r>
        <w:t xml:space="preserve">. Highest posterior density intervals were calculated with HDInterval v.0.2.4 </w:t>
      </w:r>
      <w:r>
        <w:t xml:space="preserve">(Meredith and Kruschke 2022)</w:t>
      </w:r>
      <w:r>
        <w:t xml:space="preserve"> </w:t>
      </w:r>
      <w:r>
        <w:t xml:space="preserve">and convergence statistics were assessed with posterior v.1.6.0 </w:t>
      </w:r>
      <w:r>
        <w:t xml:space="preserve">(Bürkner et al. 2023)</w:t>
      </w:r>
      <w:r>
        <w:t xml:space="preserve">. Preliminary analyses and model fitting was performed using fitdistrplus v.1.1-11 </w:t>
      </w:r>
      <w:r>
        <w:t xml:space="preserve">(Delignette-Muller and Dutang 2015)</w:t>
      </w:r>
      <w:r>
        <w:t xml:space="preserve">.</w:t>
      </w:r>
    </w:p>
    <w:bookmarkEnd w:id="42"/>
    <w:bookmarkStart w:id="50" w:name="data-and-code-availability"/>
    <w:p>
      <w:pPr>
        <w:pStyle w:val="Heading2"/>
      </w:pPr>
      <w:r>
        <w:t xml:space="preserve">Data and code availability</w:t>
      </w:r>
    </w:p>
    <w:p>
      <w:pPr>
        <w:pStyle w:val="FirstParagraph"/>
      </w:pPr>
      <w:r>
        <w:t xml:space="preserve">Processed</w:t>
      </w:r>
      <w:r>
        <w:t xml:space="preserve"> </w:t>
      </w:r>
      <w:r>
        <w:rPr>
          <w:i/>
          <w:iCs/>
        </w:rPr>
        <w:t xml:space="preserve">phyloscanner</w:t>
      </w:r>
      <w:r>
        <w:t xml:space="preserve"> </w:t>
      </w:r>
      <w:r>
        <w:t xml:space="preserve">output, de-identified epidemiological metadata, and all analysis and visualization code is available at</w:t>
      </w:r>
      <w:r>
        <w:t xml:space="preserve"> </w:t>
      </w:r>
      <w:hyperlink r:id="rId43">
        <w:r>
          <w:rPr>
            <w:rStyle w:val="Hyperlink"/>
          </w:rPr>
          <w:t xml:space="preserve">https://github.com/m-a-martin/rccs_hiv_moi</w:t>
        </w:r>
      </w:hyperlink>
      <w:r>
        <w:t xml:space="preserve">.</w:t>
      </w:r>
      <w:r>
        <w:t xml:space="preserve"> </w:t>
      </w:r>
      <w:r>
        <w:t xml:space="preserve">HIV consensus sequences are available from Zenodo (</w:t>
      </w:r>
      <w:hyperlink r:id="rId44">
        <w:r>
          <w:rPr>
            <w:rStyle w:val="Hyperlink"/>
          </w:rPr>
          <w:t xml:space="preserve">https://doi.org/10.5281/zenodo.10075814</w:t>
        </w:r>
      </w:hyperlink>
      <w:r>
        <w:t xml:space="preserve">) and the PANGEA-HIV sequence repository (</w:t>
      </w:r>
      <w:hyperlink r:id="rId45">
        <w:r>
          <w:rPr>
            <w:rStyle w:val="Hyperlink"/>
          </w:rPr>
          <w:t xml:space="preserve">https://github.com/PANGEA-HIV/PANGEA-Sequences</w:t>
        </w:r>
      </w:hyperlink>
      <w:r>
        <w:t xml:space="preserve">) as open-access dataset under the CC-BY-4.0 license</w:t>
      </w:r>
      <w:r>
        <w:t xml:space="preserve"> </w:t>
      </w:r>
      <w:r>
        <w:t xml:space="preserve">(</w:t>
      </w:r>
      <w:r>
        <w:t xml:space="preserve">“</w:t>
      </w:r>
      <w:r>
        <w:t xml:space="preserve">PANGEA-HIV/PANGEA-Sequences: Latest Version Release</w:t>
      </w:r>
      <w:r>
        <w:t xml:space="preserve">”</w:t>
      </w:r>
      <w:r>
        <w:t xml:space="preserve"> </w:t>
      </w:r>
      <w:r>
        <w:t xml:space="preserve">2024)</w:t>
      </w:r>
      <w:r>
        <w:t xml:space="preserve">.</w:t>
      </w:r>
    </w:p>
    <w:p>
      <w:pPr>
        <w:pStyle w:val="BodyText"/>
      </w:pPr>
      <w:r>
        <w:t xml:space="preserve">HIV-1 deep-sequence reads can be requested from PANGEA-HIV under a managed access policy due to privacy and ethical reasons, which aligns with UNAIDS ethical guidelines. The process for accessing data, the PANGEA-HIV data sharing policy and a detailed description of what data are available is described at</w:t>
      </w:r>
      <w:r>
        <w:t xml:space="preserve"> </w:t>
      </w:r>
      <w:hyperlink r:id="rId46">
        <w:r>
          <w:rPr>
            <w:rStyle w:val="Hyperlink"/>
          </w:rPr>
          <w:t xml:space="preserve">https://www.pangea-hiv.org/join-us</w:t>
        </w:r>
      </w:hyperlink>
      <w:r>
        <w:t xml:space="preserve">. For more information contact PANGEA project manager Lucie Abeler-Dörner (</w:t>
      </w:r>
      <w:hyperlink r:id="rId47">
        <w:r>
          <w:rPr>
            <w:rStyle w:val="Hyperlink"/>
          </w:rPr>
          <w:t xml:space="preserve">lucie.abeler-dorner@ndm.ox.ac.uk</w:t>
        </w:r>
      </w:hyperlink>
      <w:r>
        <w:t xml:space="preserve">). The time frame for a response to requests is 2–4 weeks.</w:t>
      </w:r>
    </w:p>
    <w:p>
      <w:pPr>
        <w:pStyle w:val="BodyText"/>
      </w:pPr>
      <w:r>
        <w:t xml:space="preserve">Additional cohort data can be requested from RHSP. Because of privacy and ethical reasons, RHSP maintains a controlled access data policy for corresponding epidemiological metadata and corresponding data collection tools. In brief, RHSP policy requires individuals to submit an RHSP data request form (available upon request from</w:t>
      </w:r>
      <w:r>
        <w:t xml:space="preserve"> </w:t>
      </w:r>
      <w:hyperlink r:id="rId48">
        <w:r>
          <w:rPr>
            <w:rStyle w:val="Hyperlink"/>
          </w:rPr>
          <w:t xml:space="preserve">info@rhsp.org</w:t>
        </w:r>
      </w:hyperlink>
      <w:r>
        <w:t xml:space="preserve"> </w:t>
      </w:r>
      <w:r>
        <w:t xml:space="preserve">or</w:t>
      </w:r>
      <w:r>
        <w:t xml:space="preserve"> </w:t>
      </w:r>
      <w:hyperlink r:id="rId49">
        <w:r>
          <w:rPr>
            <w:rStyle w:val="Hyperlink"/>
          </w:rPr>
          <w:t xml:space="preserve">gkigozi@rhsp.org</w:t>
        </w:r>
      </w:hyperlink>
      <w:r>
        <w:t xml:space="preserve">) and a brief concept note (one or two pages) detailing their research questions and methods. In addition, researchers are asked to provide a curriculum vitae/resume along with proof of human subjects research training. The time frame for a response to requests is 2–4 weeks.</w:t>
      </w:r>
    </w:p>
    <w:bookmarkEnd w:id="50"/>
    <w:bookmarkEnd w:id="51"/>
    <w:bookmarkStart w:id="58" w:name="results"/>
    <w:p>
      <w:pPr>
        <w:pStyle w:val="Heading1"/>
      </w:pPr>
      <w:r>
        <w:t xml:space="preserve">Results</w:t>
      </w:r>
    </w:p>
    <w:bookmarkStart w:id="54" w:name="X0598d6a23b18232016c619e0f14ec213e267625"/>
    <w:p>
      <w:pPr>
        <w:pStyle w:val="Heading2"/>
      </w:pPr>
      <w:r>
        <w:t xml:space="preserve">Phylogenetic signatures of multiple infection in population-based pathogen surveillance</w:t>
      </w:r>
    </w:p>
    <w:p>
      <w:pPr>
        <w:pStyle w:val="FirstParagraph"/>
      </w:pPr>
      <w:r>
        <w:t xml:space="preserve">Between 2010 and 2020, 50,967 participants contributed to the RCCS in 109,608 visits over six survey rounds. Overall, 8,841 participants were HIV seropositive and 3,586 were viremic (plasma viral load</w:t>
      </w:r>
      <w:r>
        <w:t xml:space="preserve"> </w:t>
      </w:r>
      <m:oMath>
        <m:r>
          <m:rPr>
            <m:sty m:val="p"/>
          </m:rPr>
          <m:t>≥</m:t>
        </m:r>
      </m:oMath>
      <w:r>
        <w:t xml:space="preserve"> </w:t>
      </w:r>
      <w:r>
        <w:t xml:space="preserve">1,000 copies/mL) at one of their visits. Among these participants with viremic HIV, 2,029 sampled between October 2010 and May 2019 had available HIV deep-sequence data at minimum quality criteria for deep-sequence phylogenetic analysis and were identified as a member of a putative transmission network (Table </w:t>
      </w:r>
      <w:hyperlink w:anchor="seq_table">
        <w:r>
          <w:rPr>
            <w:rStyle w:val="Hyperlink"/>
          </w:rPr>
          <w:t xml:space="preserve">1</w:t>
        </w:r>
      </w:hyperlink>
      <w:r>
        <w:t xml:space="preserve"> </w:t>
      </w:r>
      <w:r>
        <w:t xml:space="preserve">and S1 File). Availability of sequence data among viremic participants was generally higher</w:t>
      </w:r>
      <w:r>
        <w:t xml:space="preserve"> </w:t>
      </w:r>
      <w:r>
        <w:t xml:space="preserve">among men, from residents of fishing communities, and from participants aged 25-34 years.</w:t>
      </w:r>
    </w:p>
    <w:p>
      <w:pPr>
        <w:pStyle w:val="BodyText"/>
      </w:pPr>
      <w:r>
        <w:t xml:space="preserve">We next inferred within-host phylogenies from deep-sequencing reads in twenty-nine 250 bp non-overlapping genomic windows using</w:t>
      </w:r>
      <w:r>
        <w:t xml:space="preserve"> </w:t>
      </w:r>
      <w:r>
        <w:rPr>
          <w:i/>
          <w:iCs/>
        </w:rPr>
        <w:t xml:space="preserve">phyloscanner</w:t>
      </w:r>
      <w:r>
        <w:t xml:space="preserve"> </w:t>
      </w:r>
      <w:r>
        <w:t xml:space="preserve">(S5 File), which captured evolutionary relationships of HIV variants within individual participants. Sequencing coverage varied significantly between samples (median [interquartile range (IQR)]: 5000 [4250] bp, S1 FigA) but was generally higher among bait capture sequenced samples and samples with higher viral load. Across the genome, sequencing success was highest in</w:t>
      </w:r>
      <w:r>
        <w:t xml:space="preserve"> </w:t>
      </w:r>
      <w:r>
        <w:rPr>
          <w:i/>
          <w:iCs/>
        </w:rPr>
        <w:t xml:space="preserve">gag</w:t>
      </w:r>
      <w:r>
        <w:t xml:space="preserve"> </w:t>
      </w:r>
      <w:r>
        <w:t xml:space="preserve">(Fig </w:t>
      </w:r>
      <w:hyperlink w:anchor="empirical_data_sum">
        <w:r>
          <w:rPr>
            <w:rStyle w:val="Hyperlink"/>
          </w:rPr>
          <w:t xml:space="preserve">1</w:t>
        </w:r>
      </w:hyperlink>
      <w:r>
        <w:t xml:space="preserve">F, S1 FigB), likely due to differential amplification efficiency of the primers used in the amplicon sequencing approach</w:t>
      </w:r>
      <w:r>
        <w:t xml:space="preserve"> </w:t>
      </w:r>
      <w:r>
        <w:t xml:space="preserve">(Ratmann et al. 2017)</w:t>
      </w:r>
      <w:r>
        <w:t xml:space="preserve">.</w:t>
      </w:r>
    </w:p>
    <w:bookmarkStart w:id="52" w:name="seq_table"/>
    <w:p>
      <w:pPr>
        <w:pStyle w:val="TableCaption"/>
      </w:pPr>
      <w:r>
        <w:rPr>
          <w:b/>
          <w:bCs/>
        </w:rPr>
        <w:t xml:space="preserve">Characteristics of the study sample obtained from population-level HIV deep-sequence surveillance in the Rakai Community Cohort Study, -, stratified by availability of deep-sequence data.</w:t>
      </w:r>
    </w:p>
    <w:tbl>
      <w:tblPr>
        <w:tblStyle w:val="Table"/>
        <w:tblW w:type="auto" w:w="0"/>
        <w:tblLook w:firstRow="0" w:lastRow="0" w:firstColumn="0" w:lastColumn="0" w:noHBand="0" w:noVBand="0" w:val="0000"/>
        <w:tblCaption w:val="Characteristics of the study sample obtained from population-level HIV deep-sequence surveillance in the Rakai Community Cohort Study, -, stratified by availability of deep-sequence data."/>
      </w:tblPr>
      <w:tblGrid>
        <w:gridCol w:w="1584"/>
        <w:gridCol w:w="1584"/>
        <w:gridCol w:w="1584"/>
        <w:gridCol w:w="1584"/>
        <w:gridCol w:w="1584"/>
      </w:tblGrid>
      <w:tr>
        <w:tc>
          <w:tcPr/>
          <w:p>
            <w:pPr>
              <w:pStyle w:val="Compact"/>
            </w:pPr>
          </w:p>
        </w:tc>
        <w:tc>
          <w:tcPr>
            <w:gridSpan w:val="4"/>
          </w:tcPr>
          <w:p>
            <w:pPr>
              <w:pStyle w:val="Compact"/>
              <w:jc w:val="center"/>
            </w:pPr>
            <w:r>
              <w:t xml:space="preserve">Participants living with HIV</w:t>
            </w:r>
          </w:p>
        </w:tc>
      </w:tr>
      <w:tr>
        <w:tc>
          <w:tcPr/>
          <w:p>
            <w:pPr>
              <w:pStyle w:val="Compact"/>
            </w:pPr>
          </w:p>
        </w:tc>
        <w:tc>
          <w:tcPr/>
          <w:p>
            <w:pPr>
              <w:pStyle w:val="Compact"/>
            </w:pPr>
          </w:p>
        </w:tc>
        <w:tc>
          <w:tcPr/>
          <w:p>
            <w:pPr>
              <w:pStyle w:val="Compact"/>
            </w:pPr>
          </w:p>
        </w:tc>
        <w:tc>
          <w:tcPr>
            <w:gridSpan w:val="2"/>
          </w:tcPr>
          <w:p>
            <w:pPr>
              <w:pStyle w:val="Compact"/>
              <w:jc w:val="center"/>
            </w:pPr>
            <w:r>
              <w:t xml:space="preserve">Processed w/ PHSC</w:t>
            </w:r>
          </w:p>
        </w:tc>
      </w:tr>
      <w:tr>
        <w:tc>
          <w:tcPr/>
          <w:p>
            <w:pPr>
              <w:pStyle w:val="Compact"/>
            </w:pPr>
          </w:p>
        </w:tc>
        <w:tc>
          <w:tcPr/>
          <w:p>
            <w:pPr>
              <w:pStyle w:val="Compact"/>
              <w:jc w:val="center"/>
            </w:pPr>
            <w:r>
              <w:t xml:space="preserve">All</w:t>
            </w:r>
          </w:p>
        </w:tc>
        <w:tc>
          <w:tcPr/>
          <w:p>
            <w:pPr>
              <w:pStyle w:val="Compact"/>
              <w:jc w:val="center"/>
            </w:pPr>
            <w:r>
              <w:t xml:space="preserve">Viremic</w:t>
            </w:r>
          </w:p>
        </w:tc>
        <w:tc>
          <w:tcPr/>
          <w:p>
            <w:pPr>
              <w:pStyle w:val="Compact"/>
              <w:jc w:val="center"/>
            </w:pPr>
            <m:oMath>
              <m:r>
                <m:t>n</m:t>
              </m:r>
            </m:oMath>
            <w:r>
              <w:t xml:space="preserve"> </w:t>
            </w:r>
            <w:r>
              <w:t xml:space="preserve">(%)</w:t>
            </w:r>
          </w:p>
        </w:tc>
        <w:tc>
          <w:tcPr/>
          <w:p>
            <w:pPr>
              <w:pStyle w:val="Compact"/>
              <w:jc w:val="center"/>
            </w:pPr>
            <w:r>
              <w:t xml:space="preserve">% of viremic (95% CI)</w:t>
            </w:r>
          </w:p>
        </w:tc>
      </w:tr>
      <w:tr>
        <w:tc>
          <w:tcPr/>
          <w:p>
            <w:pPr>
              <w:pStyle w:val="Compact"/>
              <w:jc w:val="left"/>
            </w:pPr>
            <w:r>
              <w:t xml:space="preserve">Overall</w:t>
            </w:r>
          </w:p>
        </w:tc>
        <w:tc>
          <w:tcPr/>
          <w:p>
            <w:pPr>
              <w:pStyle w:val="Compact"/>
              <w:jc w:val="center"/>
            </w:pPr>
            <w:r>
              <w:t xml:space="preserve">8,841</w:t>
            </w:r>
          </w:p>
        </w:tc>
        <w:tc>
          <w:tcPr/>
          <w:p>
            <w:pPr>
              <w:pStyle w:val="Compact"/>
              <w:jc w:val="center"/>
            </w:pPr>
            <w:r>
              <w:t xml:space="preserve">3,586</w:t>
            </w:r>
          </w:p>
        </w:tc>
        <w:tc>
          <w:tcPr/>
          <w:p>
            <w:pPr>
              <w:pStyle w:val="Compact"/>
              <w:jc w:val="center"/>
            </w:pPr>
            <w:r>
              <w:t xml:space="preserve">2,029</w:t>
            </w:r>
          </w:p>
        </w:tc>
        <w:tc>
          <w:tcPr/>
          <w:p>
            <w:pPr>
              <w:pStyle w:val="Compact"/>
            </w:pPr>
          </w:p>
        </w:tc>
      </w:tr>
      <w:tr>
        <w:tc>
          <w:tcPr/>
          <w:p>
            <w:pPr>
              <w:pStyle w:val="Compact"/>
              <w:jc w:val="left"/>
            </w:pPr>
            <w:r>
              <w:t xml:space="preserve">Survey Round</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2010</w:t>
            </w:r>
          </w:p>
        </w:tc>
        <w:tc>
          <w:tcPr/>
          <w:p>
            <w:pPr>
              <w:pStyle w:val="Compact"/>
              <w:jc w:val="center"/>
            </w:pPr>
            <w:r>
              <w:t xml:space="preserve">1,812 (21.72%)</w:t>
            </w:r>
          </w:p>
        </w:tc>
        <w:tc>
          <w:tcPr/>
          <w:p>
            <w:pPr>
              <w:pStyle w:val="Compact"/>
              <w:jc w:val="center"/>
            </w:pPr>
            <w:r>
              <w:t xml:space="preserve">35 (1.11%)</w:t>
            </w:r>
          </w:p>
        </w:tc>
        <w:tc>
          <w:tcPr/>
          <w:p>
            <w:pPr>
              <w:pStyle w:val="Compact"/>
              <w:jc w:val="center"/>
            </w:pPr>
            <w:r>
              <w:t xml:space="preserve">16 (0.79%)</w:t>
            </w:r>
          </w:p>
        </w:tc>
        <w:tc>
          <w:tcPr/>
          <w:p>
            <w:pPr>
              <w:pStyle w:val="Compact"/>
              <w:jc w:val="center"/>
            </w:pPr>
            <w:r>
              <w:t xml:space="preserve">45.71% (30.46% - 61.82%)</w:t>
            </w:r>
          </w:p>
        </w:tc>
      </w:tr>
      <w:tr>
        <w:tc>
          <w:tcPr/>
          <w:p>
            <w:pPr>
              <w:pStyle w:val="Compact"/>
              <w:jc w:val="left"/>
            </w:pPr>
            <w:r>
              <w:t xml:space="preserve">2012</w:t>
            </w:r>
          </w:p>
        </w:tc>
        <w:tc>
          <w:tcPr/>
          <w:p>
            <w:pPr>
              <w:pStyle w:val="Compact"/>
              <w:jc w:val="center"/>
            </w:pPr>
            <w:r>
              <w:t xml:space="preserve">2,202 (26.4%)</w:t>
            </w:r>
          </w:p>
        </w:tc>
        <w:tc>
          <w:tcPr/>
          <w:p>
            <w:pPr>
              <w:pStyle w:val="Compact"/>
              <w:jc w:val="center"/>
            </w:pPr>
            <w:r>
              <w:t xml:space="preserve">992 (31.58%)</w:t>
            </w:r>
          </w:p>
        </w:tc>
        <w:tc>
          <w:tcPr/>
          <w:p>
            <w:pPr>
              <w:pStyle w:val="Compact"/>
              <w:jc w:val="center"/>
            </w:pPr>
            <w:r>
              <w:t xml:space="preserve">749 (36.91%)</w:t>
            </w:r>
          </w:p>
        </w:tc>
        <w:tc>
          <w:tcPr/>
          <w:p>
            <w:pPr>
              <w:pStyle w:val="Compact"/>
              <w:jc w:val="center"/>
            </w:pPr>
            <w:r>
              <w:t xml:space="preserve">75.5% (72.73% - 78.08%)</w:t>
            </w:r>
          </w:p>
        </w:tc>
      </w:tr>
      <w:tr>
        <w:tc>
          <w:tcPr/>
          <w:p>
            <w:pPr>
              <w:pStyle w:val="Compact"/>
              <w:jc w:val="left"/>
            </w:pPr>
            <w:r>
              <w:t xml:space="preserve">2014</w:t>
            </w:r>
          </w:p>
        </w:tc>
        <w:tc>
          <w:tcPr/>
          <w:p>
            <w:pPr>
              <w:pStyle w:val="Compact"/>
              <w:jc w:val="center"/>
            </w:pPr>
            <w:r>
              <w:t xml:space="preserve">1,170 (14.03%)</w:t>
            </w:r>
          </w:p>
        </w:tc>
        <w:tc>
          <w:tcPr/>
          <w:p>
            <w:pPr>
              <w:pStyle w:val="Compact"/>
              <w:jc w:val="center"/>
            </w:pPr>
            <w:r>
              <w:t xml:space="preserve">653 (20.79%)</w:t>
            </w:r>
          </w:p>
        </w:tc>
        <w:tc>
          <w:tcPr/>
          <w:p>
            <w:pPr>
              <w:pStyle w:val="Compact"/>
              <w:jc w:val="center"/>
            </w:pPr>
            <w:r>
              <w:t xml:space="preserve">346 (17.05%)</w:t>
            </w:r>
          </w:p>
        </w:tc>
        <w:tc>
          <w:tcPr/>
          <w:p>
            <w:pPr>
              <w:pStyle w:val="Compact"/>
              <w:jc w:val="center"/>
            </w:pPr>
            <w:r>
              <w:t xml:space="preserve">52.99% (49.15% - 56.79%)</w:t>
            </w:r>
          </w:p>
        </w:tc>
      </w:tr>
      <w:tr>
        <w:tc>
          <w:tcPr/>
          <w:p>
            <w:pPr>
              <w:pStyle w:val="Compact"/>
              <w:jc w:val="left"/>
            </w:pPr>
            <w:r>
              <w:t xml:space="preserve">2015</w:t>
            </w:r>
          </w:p>
        </w:tc>
        <w:tc>
          <w:tcPr/>
          <w:p>
            <w:pPr>
              <w:pStyle w:val="Compact"/>
              <w:jc w:val="center"/>
            </w:pPr>
            <w:r>
              <w:t xml:space="preserve">1,292 (15.49%)</w:t>
            </w:r>
          </w:p>
        </w:tc>
        <w:tc>
          <w:tcPr/>
          <w:p>
            <w:pPr>
              <w:pStyle w:val="Compact"/>
              <w:jc w:val="center"/>
            </w:pPr>
            <w:r>
              <w:t xml:space="preserve">727 (23.15%)</w:t>
            </w:r>
          </w:p>
        </w:tc>
        <w:tc>
          <w:tcPr/>
          <w:p>
            <w:pPr>
              <w:pStyle w:val="Compact"/>
              <w:jc w:val="center"/>
            </w:pPr>
            <w:r>
              <w:t xml:space="preserve">523 (25.78%)</w:t>
            </w:r>
          </w:p>
        </w:tc>
        <w:tc>
          <w:tcPr/>
          <w:p>
            <w:pPr>
              <w:pStyle w:val="Compact"/>
              <w:jc w:val="center"/>
            </w:pPr>
            <w:r>
              <w:t xml:space="preserve">71.94% (68.56% - 75.09%)</w:t>
            </w:r>
          </w:p>
        </w:tc>
      </w:tr>
      <w:tr>
        <w:tc>
          <w:tcPr/>
          <w:p>
            <w:pPr>
              <w:pStyle w:val="Compact"/>
              <w:jc w:val="left"/>
            </w:pPr>
            <w:r>
              <w:t xml:space="preserve">2017</w:t>
            </w:r>
          </w:p>
        </w:tc>
        <w:tc>
          <w:tcPr/>
          <w:p>
            <w:pPr>
              <w:pStyle w:val="Compact"/>
              <w:jc w:val="center"/>
            </w:pPr>
            <w:r>
              <w:t xml:space="preserve">1,080 (12.95%)</w:t>
            </w:r>
          </w:p>
        </w:tc>
        <w:tc>
          <w:tcPr/>
          <w:p>
            <w:pPr>
              <w:pStyle w:val="Compact"/>
              <w:jc w:val="center"/>
            </w:pPr>
            <w:r>
              <w:t xml:space="preserve">511 (16.27%)</w:t>
            </w:r>
          </w:p>
        </w:tc>
        <w:tc>
          <w:tcPr/>
          <w:p>
            <w:pPr>
              <w:pStyle w:val="Compact"/>
              <w:jc w:val="center"/>
            </w:pPr>
            <w:r>
              <w:t xml:space="preserve">328 (16.17%)</w:t>
            </w:r>
          </w:p>
        </w:tc>
        <w:tc>
          <w:tcPr/>
          <w:p>
            <w:pPr>
              <w:pStyle w:val="Compact"/>
              <w:jc w:val="center"/>
            </w:pPr>
            <w:r>
              <w:t xml:space="preserve">64.19% (59.94% - 68.23%)</w:t>
            </w:r>
          </w:p>
        </w:tc>
      </w:tr>
      <w:tr>
        <w:tc>
          <w:tcPr/>
          <w:p>
            <w:pPr>
              <w:pStyle w:val="Compact"/>
              <w:jc w:val="left"/>
            </w:pPr>
            <w:r>
              <w:t xml:space="preserve">2019</w:t>
            </w:r>
          </w:p>
        </w:tc>
        <w:tc>
          <w:tcPr/>
          <w:p>
            <w:pPr>
              <w:pStyle w:val="Compact"/>
              <w:jc w:val="center"/>
            </w:pPr>
            <w:r>
              <w:t xml:space="preserve">786 (9.42%)</w:t>
            </w:r>
          </w:p>
        </w:tc>
        <w:tc>
          <w:tcPr/>
          <w:p>
            <w:pPr>
              <w:pStyle w:val="Compact"/>
              <w:jc w:val="center"/>
            </w:pPr>
            <w:r>
              <w:t xml:space="preserve">223 (7.1%)</w:t>
            </w:r>
          </w:p>
        </w:tc>
        <w:tc>
          <w:tcPr/>
          <w:p>
            <w:pPr>
              <w:pStyle w:val="Compact"/>
              <w:jc w:val="center"/>
            </w:pPr>
            <w:r>
              <w:t xml:space="preserve">67 (3.3%)</w:t>
            </w:r>
          </w:p>
        </w:tc>
        <w:tc>
          <w:tcPr/>
          <w:p>
            <w:pPr>
              <w:pStyle w:val="Compact"/>
              <w:jc w:val="center"/>
            </w:pPr>
            <w:r>
              <w:t xml:space="preserve">30.04% (24.4% - 36.37%)</w:t>
            </w:r>
          </w:p>
        </w:tc>
      </w:tr>
      <w:tr>
        <w:tc>
          <w:tcPr/>
          <w:p>
            <w:pPr>
              <w:pStyle w:val="Compact"/>
              <w:jc w:val="left"/>
            </w:pPr>
            <w:r>
              <w:t xml:space="preserve">Sex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Female</w:t>
            </w:r>
          </w:p>
        </w:tc>
        <w:tc>
          <w:tcPr/>
          <w:p>
            <w:pPr>
              <w:pStyle w:val="Compact"/>
              <w:jc w:val="center"/>
            </w:pPr>
            <w:r>
              <w:t xml:space="preserve">5,315 (63.71%)</w:t>
            </w:r>
          </w:p>
        </w:tc>
        <w:tc>
          <w:tcPr/>
          <w:p>
            <w:pPr>
              <w:pStyle w:val="Compact"/>
              <w:jc w:val="center"/>
            </w:pPr>
            <w:r>
              <w:t xml:space="preserve">1,685 (53.65%)</w:t>
            </w:r>
          </w:p>
        </w:tc>
        <w:tc>
          <w:tcPr/>
          <w:p>
            <w:pPr>
              <w:pStyle w:val="Compact"/>
              <w:jc w:val="center"/>
            </w:pPr>
            <w:r>
              <w:t xml:space="preserve">1,032 (50.86%)</w:t>
            </w:r>
          </w:p>
        </w:tc>
        <w:tc>
          <w:tcPr/>
          <w:p>
            <w:pPr>
              <w:pStyle w:val="Compact"/>
              <w:jc w:val="center"/>
            </w:pPr>
            <w:r>
              <w:t xml:space="preserve">61.25% (58.9% - 63.54%)</w:t>
            </w:r>
          </w:p>
        </w:tc>
      </w:tr>
      <w:tr>
        <w:tc>
          <w:tcPr/>
          <w:p>
            <w:pPr>
              <w:pStyle w:val="Compact"/>
              <w:jc w:val="left"/>
            </w:pPr>
            <w:r>
              <w:t xml:space="preserve">Male</w:t>
            </w:r>
          </w:p>
        </w:tc>
        <w:tc>
          <w:tcPr/>
          <w:p>
            <w:pPr>
              <w:pStyle w:val="Compact"/>
              <w:jc w:val="center"/>
            </w:pPr>
            <w:r>
              <w:t xml:space="preserve">3,027 (36.29%)</w:t>
            </w:r>
          </w:p>
        </w:tc>
        <w:tc>
          <w:tcPr/>
          <w:p>
            <w:pPr>
              <w:pStyle w:val="Compact"/>
              <w:jc w:val="center"/>
            </w:pPr>
            <w:r>
              <w:t xml:space="preserve">1,456 (46.35%)</w:t>
            </w:r>
          </w:p>
        </w:tc>
        <w:tc>
          <w:tcPr/>
          <w:p>
            <w:pPr>
              <w:pStyle w:val="Compact"/>
              <w:jc w:val="center"/>
            </w:pPr>
            <w:r>
              <w:t xml:space="preserve">997 (49.14%)</w:t>
            </w:r>
          </w:p>
        </w:tc>
        <w:tc>
          <w:tcPr/>
          <w:p>
            <w:pPr>
              <w:pStyle w:val="Compact"/>
              <w:jc w:val="center"/>
            </w:pPr>
            <w:r>
              <w:t xml:space="preserve">68.48% (66.04% - 70.81%)</w:t>
            </w:r>
          </w:p>
        </w:tc>
      </w:tr>
      <w:tr>
        <w:tc>
          <w:tcPr/>
          <w:p>
            <w:pPr>
              <w:pStyle w:val="Compact"/>
              <w:jc w:val="left"/>
            </w:pPr>
            <w:r>
              <w:t xml:space="preserve">Commiunity type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Inland</w:t>
            </w:r>
          </w:p>
        </w:tc>
        <w:tc>
          <w:tcPr/>
          <w:p>
            <w:pPr>
              <w:pStyle w:val="Compact"/>
              <w:jc w:val="center"/>
            </w:pPr>
            <w:r>
              <w:t xml:space="preserve">4,974 (59.63%)</w:t>
            </w:r>
          </w:p>
        </w:tc>
        <w:tc>
          <w:tcPr/>
          <w:p>
            <w:pPr>
              <w:pStyle w:val="Compact"/>
              <w:jc w:val="center"/>
            </w:pPr>
            <w:r>
              <w:t xml:space="preserve">1,212 (38.59%)</w:t>
            </w:r>
          </w:p>
        </w:tc>
        <w:tc>
          <w:tcPr/>
          <w:p>
            <w:pPr>
              <w:pStyle w:val="Compact"/>
              <w:jc w:val="center"/>
            </w:pPr>
            <w:r>
              <w:t xml:space="preserve">742 (36.57%)</w:t>
            </w:r>
          </w:p>
        </w:tc>
        <w:tc>
          <w:tcPr/>
          <w:p>
            <w:pPr>
              <w:pStyle w:val="Compact"/>
              <w:jc w:val="center"/>
            </w:pPr>
            <w:r>
              <w:t xml:space="preserve">61.22% (58.45% - 63.92%)</w:t>
            </w:r>
          </w:p>
        </w:tc>
      </w:tr>
      <w:tr>
        <w:tc>
          <w:tcPr/>
          <w:p>
            <w:pPr>
              <w:pStyle w:val="Compact"/>
              <w:jc w:val="left"/>
            </w:pPr>
            <w:r>
              <w:t xml:space="preserve">Fishing</w:t>
            </w:r>
          </w:p>
        </w:tc>
        <w:tc>
          <w:tcPr/>
          <w:p>
            <w:pPr>
              <w:pStyle w:val="Compact"/>
              <w:jc w:val="center"/>
            </w:pPr>
            <w:r>
              <w:t xml:space="preserve">3,368(40.37%)</w:t>
            </w:r>
          </w:p>
        </w:tc>
        <w:tc>
          <w:tcPr/>
          <w:p>
            <w:pPr>
              <w:pStyle w:val="Compact"/>
              <w:jc w:val="center"/>
            </w:pPr>
            <w:r>
              <w:t xml:space="preserve">1,929(61.41%)</w:t>
            </w:r>
          </w:p>
        </w:tc>
        <w:tc>
          <w:tcPr/>
          <w:p>
            <w:pPr>
              <w:pStyle w:val="Compact"/>
              <w:jc w:val="center"/>
            </w:pPr>
            <w:r>
              <w:t xml:space="preserve">1,287 (63.43%)</w:t>
            </w:r>
          </w:p>
        </w:tc>
        <w:tc>
          <w:tcPr/>
          <w:p>
            <w:pPr>
              <w:pStyle w:val="Compact"/>
              <w:jc w:val="center"/>
            </w:pPr>
            <w:r>
              <w:t xml:space="preserve">66.72% (64.58% - 68.79%)</w:t>
            </w:r>
          </w:p>
        </w:tc>
      </w:tr>
      <w:tr>
        <w:tc>
          <w:tcPr/>
          <w:p>
            <w:pPr>
              <w:pStyle w:val="Compact"/>
              <w:jc w:val="left"/>
            </w:pPr>
            <w:r>
              <w:t xml:space="preserve">Age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(14, 24]</w:t>
            </w:r>
          </w:p>
        </w:tc>
        <w:tc>
          <w:tcPr/>
          <w:p>
            <w:pPr>
              <w:pStyle w:val="Compact"/>
              <w:jc w:val="center"/>
            </w:pPr>
            <w:r>
              <w:t xml:space="preserve">1,472 (17.65%)</w:t>
            </w:r>
          </w:p>
        </w:tc>
        <w:tc>
          <w:tcPr/>
          <w:p>
            <w:pPr>
              <w:pStyle w:val="Compact"/>
              <w:jc w:val="center"/>
            </w:pPr>
            <w:r>
              <w:t xml:space="preserve">678 (21.59%)</w:t>
            </w:r>
          </w:p>
        </w:tc>
        <w:tc>
          <w:tcPr/>
          <w:p>
            <w:pPr>
              <w:pStyle w:val="Compact"/>
              <w:jc w:val="center"/>
            </w:pPr>
            <w:r>
              <w:t xml:space="preserve">431 (21.24%)</w:t>
            </w:r>
          </w:p>
        </w:tc>
        <w:tc>
          <w:tcPr/>
          <w:p>
            <w:pPr>
              <w:pStyle w:val="Compact"/>
              <w:jc w:val="center"/>
            </w:pPr>
            <w:r>
              <w:t xml:space="preserve">63.57% (59.88% - 67.11%)</w:t>
            </w:r>
          </w:p>
        </w:tc>
      </w:tr>
      <w:tr>
        <w:tc>
          <w:tcPr/>
          <w:p>
            <w:pPr>
              <w:pStyle w:val="Compact"/>
              <w:jc w:val="left"/>
            </w:pPr>
            <w:r>
              <w:t xml:space="preserve">(24, 34]</w:t>
            </w:r>
          </w:p>
        </w:tc>
        <w:tc>
          <w:tcPr/>
          <w:p>
            <w:pPr>
              <w:pStyle w:val="Compact"/>
              <w:jc w:val="center"/>
            </w:pPr>
            <w:r>
              <w:t xml:space="preserve">1,472 (46.45%)</w:t>
            </w:r>
          </w:p>
        </w:tc>
        <w:tc>
          <w:tcPr/>
          <w:p>
            <w:pPr>
              <w:pStyle w:val="Compact"/>
              <w:jc w:val="center"/>
            </w:pPr>
            <w:r>
              <w:t xml:space="preserve">678 (50.21%)</w:t>
            </w:r>
          </w:p>
        </w:tc>
        <w:tc>
          <w:tcPr/>
          <w:p>
            <w:pPr>
              <w:pStyle w:val="Compact"/>
              <w:jc w:val="center"/>
            </w:pPr>
            <w:r>
              <w:t xml:space="preserve">1,052 (51.85%)</w:t>
            </w:r>
          </w:p>
        </w:tc>
        <w:tc>
          <w:tcPr/>
          <w:p>
            <w:pPr>
              <w:pStyle w:val="Compact"/>
              <w:jc w:val="center"/>
            </w:pPr>
            <w:r>
              <w:t xml:space="preserve">66.71% (64.34% - 68.99%)</w:t>
            </w:r>
          </w:p>
        </w:tc>
      </w:tr>
      <w:tr>
        <w:tc>
          <w:tcPr/>
          <w:p>
            <w:pPr>
              <w:pStyle w:val="Compact"/>
              <w:jc w:val="left"/>
            </w:pPr>
            <w:r>
              <w:t xml:space="preserve">(34, 49]</w:t>
            </w:r>
          </w:p>
        </w:tc>
        <w:tc>
          <w:tcPr/>
          <w:p>
            <w:pPr>
              <w:pStyle w:val="Compact"/>
              <w:jc w:val="center"/>
            </w:pPr>
            <w:r>
              <w:t xml:space="preserve">2,995 (35.9%)</w:t>
            </w:r>
          </w:p>
        </w:tc>
        <w:tc>
          <w:tcPr/>
          <w:p>
            <w:pPr>
              <w:pStyle w:val="Compact"/>
              <w:jc w:val="center"/>
            </w:pPr>
            <w:r>
              <w:t xml:space="preserve">886 (28.21%)</w:t>
            </w:r>
          </w:p>
        </w:tc>
        <w:tc>
          <w:tcPr/>
          <w:p>
            <w:pPr>
              <w:pStyle w:val="Compact"/>
              <w:jc w:val="center"/>
            </w:pPr>
            <w:r>
              <w:t xml:space="preserve">546 (26.91%)</w:t>
            </w:r>
          </w:p>
        </w:tc>
        <w:tc>
          <w:tcPr/>
          <w:p>
            <w:pPr>
              <w:pStyle w:val="Compact"/>
              <w:jc w:val="center"/>
            </w:pPr>
            <w:r>
              <w:t xml:space="preserve">61.63% (58.38% - 64.77%)</w:t>
            </w:r>
          </w:p>
        </w:tc>
      </w:tr>
      <w:tr>
        <w:tc>
          <w:tcPr/>
          <w:p>
            <w:pPr>
              <w:pStyle w:val="Compact"/>
              <w:jc w:val="left"/>
            </w:pPr>
            <w:r>
              <w:t xml:space="preserve">Viral load (log</w:t>
            </w:r>
            <w:r>
              <w:rPr>
                <w:vertAlign w:val="subscript"/>
              </w:rPr>
              <w:t xml:space="preserve">10</w:t>
            </w:r>
            <w:r>
              <w:t xml:space="preserve"> </w:t>
            </w:r>
            <w:r>
              <w:t xml:space="preserve">copies/mL)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 3.5]</w:t>
            </w:r>
          </w:p>
        </w:tc>
        <w:tc>
          <w:tcPr/>
          <w:p>
            <w:pPr>
              <w:pStyle w:val="Compact"/>
            </w:pPr>
          </w:p>
        </w:tc>
        <w:tc>
          <w:tcPr/>
          <w:p>
            <w:pPr>
              <w:pStyle w:val="Compact"/>
              <w:jc w:val="center"/>
            </w:pPr>
            <w:r>
              <w:t xml:space="preserve">466 (14.84%)</w:t>
            </w:r>
          </w:p>
        </w:tc>
        <w:tc>
          <w:tcPr/>
          <w:p>
            <w:pPr>
              <w:pStyle w:val="Compact"/>
              <w:jc w:val="center"/>
            </w:pPr>
            <w:r>
              <w:t xml:space="preserve">275 (13.55%)</w:t>
            </w:r>
          </w:p>
        </w:tc>
        <w:tc>
          <w:tcPr/>
          <w:p>
            <w:pPr>
              <w:pStyle w:val="Compact"/>
              <w:jc w:val="center"/>
            </w:pPr>
            <w:r>
              <w:t xml:space="preserve">59.01% (54.49% - 63.39%)</w:t>
            </w:r>
          </w:p>
        </w:tc>
      </w:tr>
      <w:tr>
        <w:tc>
          <w:tcPr/>
          <w:p>
            <w:pPr>
              <w:pStyle w:val="Compact"/>
              <w:jc w:val="left"/>
            </w:pPr>
            <w:r>
              <w:t xml:space="preserve">(3.5, 4]</w:t>
            </w:r>
          </w:p>
        </w:tc>
        <w:tc>
          <w:tcPr/>
          <w:p>
            <w:pPr>
              <w:pStyle w:val="Compact"/>
            </w:pPr>
          </w:p>
        </w:tc>
        <w:tc>
          <w:tcPr/>
          <w:p>
            <w:pPr>
              <w:pStyle w:val="Compact"/>
              <w:jc w:val="center"/>
            </w:pPr>
            <w:r>
              <w:t xml:space="preserve">803 (25.57%)</w:t>
            </w:r>
          </w:p>
        </w:tc>
        <w:tc>
          <w:tcPr/>
          <w:p>
            <w:pPr>
              <w:pStyle w:val="Compact"/>
              <w:jc w:val="center"/>
            </w:pPr>
            <w:r>
              <w:t xml:space="preserve">522 (25.73%)</w:t>
            </w:r>
          </w:p>
        </w:tc>
        <w:tc>
          <w:tcPr/>
          <w:p>
            <w:pPr>
              <w:pStyle w:val="Compact"/>
              <w:jc w:val="center"/>
            </w:pPr>
            <w:r>
              <w:t xml:space="preserve">65.01% (61.64% - 68.23%)</w:t>
            </w:r>
          </w:p>
        </w:tc>
      </w:tr>
      <w:tr>
        <w:tc>
          <w:tcPr/>
          <w:p>
            <w:pPr>
              <w:pStyle w:val="Compact"/>
              <w:jc w:val="left"/>
            </w:pPr>
            <w:r>
              <w:t xml:space="preserve">(4, 4.5]</w:t>
            </w:r>
          </w:p>
        </w:tc>
        <w:tc>
          <w:tcPr/>
          <w:p>
            <w:pPr>
              <w:pStyle w:val="Compact"/>
            </w:pPr>
          </w:p>
        </w:tc>
        <w:tc>
          <w:tcPr/>
          <w:p>
            <w:pPr>
              <w:pStyle w:val="Compact"/>
              <w:jc w:val="center"/>
            </w:pPr>
            <w:r>
              <w:t xml:space="preserve">806 (25.66%)</w:t>
            </w:r>
          </w:p>
        </w:tc>
        <w:tc>
          <w:tcPr/>
          <w:p>
            <w:pPr>
              <w:pStyle w:val="Compact"/>
              <w:jc w:val="center"/>
            </w:pPr>
            <w:r>
              <w:t xml:space="preserve">521 (25.68%)</w:t>
            </w:r>
          </w:p>
        </w:tc>
        <w:tc>
          <w:tcPr/>
          <w:p>
            <w:pPr>
              <w:pStyle w:val="Compact"/>
              <w:jc w:val="center"/>
            </w:pPr>
            <w:r>
              <w:t xml:space="preserve">64.64% (61.28% - 67.86%)</w:t>
            </w:r>
          </w:p>
        </w:tc>
      </w:tr>
      <w:tr>
        <w:tc>
          <w:tcPr/>
          <w:p>
            <w:pPr>
              <w:pStyle w:val="Compact"/>
              <w:jc w:val="left"/>
            </w:pPr>
            <w:r>
              <w:t xml:space="preserve">(4.5, 5]</w:t>
            </w:r>
          </w:p>
        </w:tc>
        <w:tc>
          <w:tcPr/>
          <w:p>
            <w:pPr>
              <w:pStyle w:val="Compact"/>
            </w:pPr>
          </w:p>
        </w:tc>
        <w:tc>
          <w:tcPr/>
          <w:p>
            <w:pPr>
              <w:pStyle w:val="Compact"/>
              <w:jc w:val="center"/>
            </w:pPr>
            <w:r>
              <w:t xml:space="preserve">661 (21.04%)</w:t>
            </w:r>
          </w:p>
        </w:tc>
        <w:tc>
          <w:tcPr/>
          <w:p>
            <w:pPr>
              <w:pStyle w:val="Compact"/>
              <w:jc w:val="center"/>
            </w:pPr>
            <w:r>
              <w:t xml:space="preserve">447 (22.03%)</w:t>
            </w:r>
          </w:p>
        </w:tc>
        <w:tc>
          <w:tcPr/>
          <w:p>
            <w:pPr>
              <w:pStyle w:val="Compact"/>
              <w:jc w:val="center"/>
            </w:pPr>
            <w:r>
              <w:t xml:space="preserve">67.62% (63.96% - 71.08%)</w:t>
            </w:r>
          </w:p>
        </w:tc>
      </w:tr>
      <w:tr>
        <w:tc>
          <w:tcPr/>
          <w:p>
            <w:pPr>
              <w:pStyle w:val="Compact"/>
              <w:jc w:val="left"/>
            </w:pPr>
            <w:r>
              <w:t xml:space="preserve">(5,</w:t>
            </w:r>
            <w:r>
              <w:t xml:space="preserve"> </w:t>
            </w:r>
            <m:oMath>
              <m:r>
                <m:rPr>
                  <m:sty m:val="p"/>
                </m:rPr>
                <m:t>∞</m:t>
              </m:r>
            </m:oMath>
            <w:r>
              <w:t xml:space="preserve">]</w:t>
            </w:r>
          </w:p>
        </w:tc>
        <w:tc>
          <w:tcPr/>
          <w:p>
            <w:pPr>
              <w:pStyle w:val="Compact"/>
            </w:pPr>
          </w:p>
        </w:tc>
        <w:tc>
          <w:tcPr/>
          <w:p>
            <w:pPr>
              <w:pStyle w:val="Compact"/>
              <w:jc w:val="center"/>
            </w:pPr>
            <w:r>
              <w:t xml:space="preserve">405 (12.89%)</w:t>
            </w:r>
          </w:p>
        </w:tc>
        <w:tc>
          <w:tcPr/>
          <w:p>
            <w:pPr>
              <w:pStyle w:val="Compact"/>
              <w:jc w:val="center"/>
            </w:pPr>
            <w:r>
              <w:t xml:space="preserve">264 (13.01%)</w:t>
            </w:r>
          </w:p>
        </w:tc>
        <w:tc>
          <w:tcPr/>
          <w:p>
            <w:pPr>
              <w:pStyle w:val="Compact"/>
              <w:jc w:val="center"/>
            </w:pPr>
            <w:r>
              <w:t xml:space="preserve">65.19% (60.42% - 69.66%)</w:t>
            </w:r>
          </w:p>
        </w:tc>
      </w:tr>
    </w:tbl>
    <w:bookmarkEnd w:id="52"/>
    <w:p>
      <w:pPr>
        <w:pStyle w:val="BodyText"/>
      </w:pPr>
      <w:r>
        <w:t xml:space="preserve">For each participant, includes data from the participant-visit processed with PHSC if applicable or the participant-visit with the highest viral load, using the first visit in the case of ties or for people not living with HIV. Viremic participants excludes individuals living with HIV with suppressed viral load or missing viral load data. Viral load testing was not routinely conducted in earlier study rounds and was available for % of participant-visits contributed by people living with HIV in the and rounds. In recent rounds, viral load testing is routinely conducted and is available for % of participant-visits contributed by people living with HIV in the - surveys. Percentages represent the row percentages within each category.</w:t>
      </w:r>
      <w:r>
        <w:t xml:space="preserve"> </w:t>
      </w:r>
      <w:r>
        <w:t xml:space="preserve">Binomial confidence intervals were calculated using the Agresti–Coull method. PHSC = phyloscanner.</w:t>
      </w:r>
    </w:p>
    <w:p>
      <w:pPr>
        <w:pStyle w:val="BodyText"/>
      </w:pPr>
      <w:bookmarkStart w:id="53" w:name="seq_table"/>
      <w:bookmarkEnd w:id="53"/>
    </w:p>
    <w:tbl>
      <w:tblPr>
        <w:tblStyle w:val="FigureTable"/>
        <w:tblW w:type="auto" w:w="0"/>
        <w:jc w:val="center"/>
        <w:tblLook w:firstRow="0" w:lastRow="0" w:firstColumn="0" w:lastColumn="0"/>
      </w:tblPr>
      <w:tblGrid/>
    </w:tbl>
    <w:p>
      <w:pPr>
        <w:pStyle w:val="ImageCaption"/>
      </w:pPr>
      <w:r>
        <w:rPr>
          <w:b/>
          <w:bCs/>
        </w:rPr>
        <w:t xml:space="preserve">Empiric phylogenetic multiple infection signatures from ,029 samples from people with viremic HIV in the Rakai Community Cohort Study, -.</w:t>
      </w:r>
      <w:r>
        <w:t xml:space="preserve"> </w:t>
      </w:r>
      <w:r>
        <w:t xml:space="preserve">(A) Representative within-host phylogenetic tree lacking evidence of multiple phylogenetic subgraphs. (B) Representative within-host phylogenetic tree with two subgraphs as indicated by the green and blue shading of the tips. (C) Distribution of branch length distance between the MRCAs of the two subgraphs with the most sequencing reads in all genome windows windows with</w:t>
      </w:r>
      <w:r>
        <w:t xml:space="preserve"> </w:t>
      </w:r>
      <m:oMath>
        <m:r>
          <m:rPr>
            <m:sty m:val="p"/>
          </m:rPr>
          <m:t>≥</m:t>
        </m:r>
        <m:r>
          <m:t>2</m:t>
        </m:r>
      </m:oMath>
      <w:r>
        <w:t xml:space="preserve"> </w:t>
      </w:r>
      <w:r>
        <w:t xml:space="preserve">subgraphs from all samples. Bins are shaded according to the 95th and 50th percentile. Vertical dotted line indicates median value. Binwidth is calculated such that there are approximately 50 bins across the range of observed values. (D) Per-sample number of non-overlapping genome windows with sequence data versus the number of non-overlapping genome windows with multiple subgraphs. Samples with at least one window with multiple subgraphs are shown in purple. Points have been jittered along both the X and Y axes for visual clarity. Dotted line shows modeled prediction in the absence of false-positive or false-negative multiple subgraph windows. Marginal densities are shown at right and above the scatter-plot. (E) Schematic of the HIV genome based on the coordinates from HXB2 (Genbank: K03455.1). (F) Number of samples with sequence data in each of the 29 non-overlapping genome windows. (G) Number of samples with evidence of multiple subgraphs in each of the non-overlapping genome-windows.</w:t>
      </w:r>
    </w:p>
    <w:p>
      <w:pPr>
        <w:pStyle w:val="BodyText"/>
      </w:pPr>
      <w:r>
        <w:t xml:space="preserve">To characterise phylogenetic signatures of multiple infection,</w:t>
      </w:r>
      <w:r>
        <w:t xml:space="preserve"> </w:t>
      </w:r>
      <w:r>
        <w:rPr>
          <w:i/>
          <w:iCs/>
        </w:rPr>
        <w:t xml:space="preserve">phyloscanner</w:t>
      </w:r>
      <w:r>
        <w:t xml:space="preserve"> </w:t>
      </w:r>
      <w:r>
        <w:t xml:space="preserve">was used to identify distinct co-circulating variants among participants with viremic HIV (Materials and methods and Fig </w:t>
      </w:r>
      <w:hyperlink w:anchor="empirical_data_sum">
        <w:r>
          <w:rPr>
            <w:rStyle w:val="Hyperlink"/>
          </w:rPr>
          <w:t xml:space="preserve">1</w:t>
        </w:r>
      </w:hyperlink>
      <w:r>
        <w:t xml:space="preserve">A,B).</w:t>
      </w:r>
      <w:r>
        <w:t xml:space="preserve"> </w:t>
      </w:r>
      <w:r>
        <w:t xml:space="preserve">We tabulated the number (</w:t>
      </w:r>
      <m:oMath>
        <m:sSubSup>
          <m:e>
            <m:r>
              <m:t>M</m:t>
            </m:r>
          </m:e>
          <m:sub>
            <m:r>
              <m:t>i</m:t>
            </m:r>
          </m:sub>
          <m:sup>
            <m:r>
              <m:rPr>
                <m:nor/>
                <m:sty m:val="p"/>
              </m:rPr>
              <m:t>obs</m:t>
            </m:r>
          </m:sup>
        </m:sSubSup>
      </m:oMath>
      <w:r>
        <w:t xml:space="preserve">) of genome windows in which distinct phylogenetic lineages (phylogenetic subgraphs) were observed. The median genetic distance between the most recent common ancestors of subgraphs in genome windows with multiple subgraphs was 0.19 [IQR: 0.17] substitutions/site (Fig </w:t>
      </w:r>
      <w:hyperlink w:anchor="empirical_data_sum">
        <w:r>
          <w:rPr>
            <w:rStyle w:val="Hyperlink"/>
          </w:rPr>
          <w:t xml:space="preserve">1</w:t>
        </w:r>
      </w:hyperlink>
      <w:r>
        <w:t xml:space="preserve">C), which is consistent with the circulating genetic diversity within Rakai</w:t>
      </w:r>
      <w:r>
        <w:t xml:space="preserve"> </w:t>
      </w:r>
      <w:r>
        <w:t xml:space="preserve">(Kim et al. 2024; Ratmann et al. 2019)</w:t>
      </w:r>
      <w:r>
        <w:t xml:space="preserve"> </w:t>
      </w:r>
      <w:r>
        <w:t xml:space="preserve">and comparable to HIV inter-subtype genetic distances</w:t>
      </w:r>
      <w:r>
        <w:t xml:space="preserve"> </w:t>
      </w:r>
      <w:r>
        <w:t xml:space="preserve">(Désiré et al. 2018)</w:t>
      </w:r>
      <w:r>
        <w:t xml:space="preserve">.</w:t>
      </w:r>
      <w:r>
        <w:t xml:space="preserve"> </w:t>
      </w:r>
      <w:r>
        <w:t xml:space="preserve">In total, 180 (8.87%) samples had multiple subgraphs in at least one of the 29 non-overlapping windows (Fig </w:t>
      </w:r>
      <w:hyperlink w:anchor="empirical_data_sum">
        <w:r>
          <w:rPr>
            <w:rStyle w:val="Hyperlink"/>
          </w:rPr>
          <w:t xml:space="preserve">1</w:t>
        </w:r>
      </w:hyperlink>
      <w:r>
        <w:t xml:space="preserve">D). Among these, the proportion of sequenced windows in which multiple subgraphs were observed varied considerably, but was generally relatively rare (median [IQR] 11.11 [19.14]%, 2 [3] windows). We further observed a clear dependence of the ability to identify multiple subgraphs on sequencing success as quantified by genome coverage in the</w:t>
      </w:r>
      <w:r>
        <w:t xml:space="preserve"> </w:t>
      </w:r>
      <w:r>
        <w:rPr>
          <w:i/>
          <w:iCs/>
        </w:rPr>
        <w:t xml:space="preserve">phyloscanner</w:t>
      </w:r>
      <w:r>
        <w:t xml:space="preserve"> </w:t>
      </w:r>
      <w:r>
        <w:t xml:space="preserve">output. Of those samples with sequence data in all genome windows, 12.26% (52/424) had at least one window with multiple subgraphs compared to 7.98% (128 / 1605) among the remaining samples. Multiple subgraph windows were more common in the genome windows corresponding to</w:t>
      </w:r>
      <w:r>
        <w:t xml:space="preserve"> </w:t>
      </w:r>
      <w:r>
        <w:rPr>
          <w:i/>
          <w:iCs/>
        </w:rPr>
        <w:t xml:space="preserve">gag</w:t>
      </w:r>
      <w:r>
        <w:t xml:space="preserve">,</w:t>
      </w:r>
      <w:r>
        <w:t xml:space="preserve"> </w:t>
      </w:r>
      <w:r>
        <w:rPr>
          <w:i/>
          <w:iCs/>
        </w:rPr>
        <w:t xml:space="preserve">env</w:t>
      </w:r>
      <w:r>
        <w:t xml:space="preserve">, and</w:t>
      </w:r>
      <w:r>
        <w:t xml:space="preserve"> </w:t>
      </w:r>
      <w:r>
        <w:rPr>
          <w:i/>
          <w:iCs/>
        </w:rPr>
        <w:t xml:space="preserve">nef</w:t>
      </w:r>
      <w:r>
        <w:t xml:space="preserve">, likely reflecting circulating genetic diversity in these regions with higher substitution rates</w:t>
      </w:r>
      <w:r>
        <w:t xml:space="preserve"> </w:t>
      </w:r>
      <w:r>
        <w:t xml:space="preserve">(Patiño-Galindo and González-Candelas 2017)</w:t>
      </w:r>
      <w:r>
        <w:t xml:space="preserve">.</w:t>
      </w:r>
    </w:p>
    <w:bookmarkEnd w:id="54"/>
    <w:bookmarkStart w:id="55" w:name="X11b8f51a2cb1fce03fd9ada641c25b6738281e4"/>
    <w:p>
      <w:pPr>
        <w:pStyle w:val="Heading2"/>
      </w:pPr>
      <w:r>
        <w:t xml:space="preserve">Bayesian model to identify multiple infections from pathogen deep-sequence data</w:t>
      </w:r>
    </w:p>
    <w:p>
      <w:pPr>
        <w:pStyle w:val="FirstParagraph"/>
      </w:pPr>
      <w:r>
        <w:t xml:space="preserve">The observed dependence between phylogenetically identified samples with multiple infection and successful genome sequencing implies it is difficult to deduce the underlying prevalence of multiple infections from the empirical data without a statistical model that accounts for partial sequencing success, false-positive multiple subgraphs, and false-negative unique subgraphs within hosts. Specifically, because identification of multiple infection requires successful sequencing of both variants and genetic divergence between those variants, there is inherently more uncertainty in multiple infection status when sequencing success is poor or when infecting variants are genetically related in the sequenced region of the genome. Further, contamination or sequencing errors giving rise to spurious within-host genetic diversity will inflate estimates rates of multiple infection.</w:t>
      </w:r>
    </w:p>
    <w:p>
      <w:pPr>
        <w:pStyle w:val="BodyText"/>
      </w:pPr>
      <w:r>
        <w:t xml:space="preserve">Therefore, we constructed a Bayesian model accounting for partial sequencing success to estimate the probabilities that each individual harbors a multiple infection, prevalence of multiple infection among deep-sequenced viremic participants, and risk factors for multiple infection (Materials and methods). We first verified that we were able to accurately estimate model parameters on simulated test data in the presence of incomplete sequencing success (S4 Table). Next, we investigated the impact of false-positive and false-negative observations, as empiric analyses of RCCS deep-sequence data indicated that false-negative rates were likely substantial in that among samples with</w:t>
      </w:r>
      <w:r>
        <w:t xml:space="preserve"> </w:t>
      </w:r>
      <m:oMath>
        <m:sSubSup>
          <m:e>
            <m:r>
              <m:t>M</m:t>
            </m:r>
          </m:e>
          <m:sub>
            <m:r>
              <m:t>i</m:t>
            </m:r>
          </m:sub>
          <m:sup>
            <m:r>
              <m:rPr>
                <m:nor/>
                <m:sty m:val="p"/>
              </m:rPr>
              <m:t>obs</m:t>
            </m:r>
          </m:sup>
        </m:sSubSup>
        <m:r>
          <m:rPr>
            <m:sty m:val="p"/>
          </m:rPr>
          <m:t>&gt;</m:t>
        </m:r>
        <m:r>
          <m:t>0</m:t>
        </m:r>
      </m:oMath>
      <w:r>
        <w:t xml:space="preserve">, the observed</w:t>
      </w:r>
      <w:r>
        <w:t xml:space="preserve"> </w:t>
      </w:r>
      <m:oMath>
        <m:sSubSup>
          <m:e>
            <m:r>
              <m:t>M</m:t>
            </m:r>
          </m:e>
          <m:sub>
            <m:r>
              <m:t>i</m:t>
            </m:r>
          </m:sub>
          <m:sup>
            <m:r>
              <m:rPr>
                <m:nor/>
                <m:sty m:val="p"/>
              </m:rPr>
              <m:t>obs</m:t>
            </m:r>
          </m:sup>
        </m:sSubSup>
      </m:oMath>
      <w:r>
        <w:t xml:space="preserve"> </w:t>
      </w:r>
      <w:r>
        <w:t xml:space="preserve">values for a given number of sequenced windows (</w:t>
      </w:r>
      <m:oMath>
        <m:sSubSup>
          <m:e>
            <m:r>
              <m:t>N</m:t>
            </m:r>
          </m:e>
          <m:sub>
            <m:r>
              <m:t>i</m:t>
            </m:r>
          </m:sub>
          <m:sup>
            <m:r>
              <m:t>o</m:t>
            </m:r>
            <m:r>
              <m:t>b</m:t>
            </m:r>
            <m:r>
              <m:t>s</m:t>
            </m:r>
          </m:sup>
        </m:sSubSup>
      </m:oMath>
      <w:r>
        <w:t xml:space="preserve">) was less than expected based on our model. We found that failing to account for these errors led to an overestimation of the prevalence of multiple infections on simulated data (Fig </w:t>
      </w:r>
      <w:hyperlink w:anchor="full_simulation_full_fit">
        <w:r>
          <w:rPr>
            <w:rStyle w:val="Hyperlink"/>
          </w:rPr>
          <w:t xml:space="preserve">2</w:t>
        </w:r>
      </w:hyperlink>
      <w:r>
        <w:t xml:space="preserve">A and S5 Table). This prompted us to explicitly include false-positive and false-negative detection rates in our model as free parameters. With this, we found that model parameters could be accurately estimated on simulated data (Fig </w:t>
      </w:r>
      <w:hyperlink w:anchor="full_simulation_full_fit">
        <w:r>
          <w:rPr>
            <w:rStyle w:val="Hyperlink"/>
          </w:rPr>
          <w:t xml:space="preserve">2</w:t>
        </w:r>
      </w:hyperlink>
      <w:r>
        <w:t xml:space="preserve">B-H and S6 Table). Model performance was robust across simulations covering a range of reasonable values of the prevalence of multiple infections as well as false-positive and false-negative rates of multiple subgraph observation(S2 Fig, S3 Fig, and S4 Fig).</w:t>
      </w:r>
    </w:p>
    <w:tbl>
      <w:tblPr>
        <w:tblStyle w:val="FigureTable"/>
        <w:tblW w:type="auto" w:w="0"/>
        <w:jc w:val="center"/>
        <w:tblLook w:firstRow="0" w:lastRow="0" w:firstColumn="0" w:lastColumn="0"/>
      </w:tblPr>
      <w:tblGrid/>
    </w:tbl>
    <w:p>
      <w:pPr>
        <w:pStyle w:val="ImageCaption"/>
      </w:pPr>
      <w:r>
        <w:rPr>
          <w:b/>
          <w:bCs/>
        </w:rPr>
        <w:t xml:space="preserve">Verification of model accuracy for estimating multiple infection prevalence on simulated data with incomplete sequencing success and false-negative and false-positive observations.</w:t>
      </w:r>
      <w:r>
        <w:t xml:space="preserve"> </w:t>
      </w:r>
      <w:r>
        <w:t xml:space="preserve">(A) Number of windows with sequence data (x-axis) v. number of windows with multiple subgraphs (y-axis) for each simulated sample. Data from multiply infected samples is highlighted in red. Marginal distributions are shown at right and above. (B) Estimated posterior probability of multiple infection for each sample. Confidence bounds represent the 95% highest posterior density. Data for each sample is shaded as in (A). (C-H) Posterior distributions of the baseline sequencing success (</w:t>
      </w:r>
      <m:oMath>
        <m:sSub>
          <m:e>
            <m:r>
              <m:t>α</m:t>
            </m:r>
          </m:e>
          <m:sub>
            <m:r>
              <m:t>0</m:t>
            </m:r>
          </m:sub>
        </m:sSub>
      </m:oMath>
      <w:r>
        <w:t xml:space="preserve">, C), dependence of sequencing success on viral load (log</w:t>
      </w:r>
      <m:oMath>
        <m:sSub>
          <m:e>
            <m:r>
              <m:t>​</m:t>
            </m:r>
          </m:e>
          <m:sub>
            <m:r>
              <m:t>10</m:t>
            </m:r>
          </m:sub>
        </m:sSub>
      </m:oMath>
      <w:r>
        <w:t xml:space="preserve"> </w:t>
      </w:r>
      <w:r>
        <w:t xml:space="preserve">copies/mL) standardized to mean = 0 and standard deviation = 1. (</w:t>
      </w:r>
      <m:oMath>
        <m:sSub>
          <m:e>
            <m:r>
              <m:t>α</m:t>
            </m:r>
          </m:e>
          <m:sub>
            <m:r>
              <m:t>1</m:t>
            </m:r>
          </m:sub>
        </m:sSub>
      </m:oMath>
      <w:r>
        <w:t xml:space="preserve">, D), standard deviation of per-individual sequencing success random effect (</w:t>
      </w:r>
      <m:oMath>
        <m:sSub>
          <m:e>
            <m:r>
              <m:t>σ</m:t>
            </m:r>
          </m:e>
          <m:sub>
            <m:r>
              <m:t>α</m:t>
            </m:r>
          </m:sub>
        </m:sSub>
      </m:oMath>
      <w:r>
        <w:t xml:space="preserve">, E),</w:t>
      </w:r>
      <w:r>
        <w:t xml:space="preserve"> </w:t>
      </w:r>
      <w:r>
        <w:t xml:space="preserve">the multiple subgraph false-negative rate (</w:t>
      </w:r>
      <m:oMath>
        <m:r>
          <m:t>λ</m:t>
        </m:r>
      </m:oMath>
      <w:r>
        <w:t xml:space="preserve">, E), the multiple subgraph false-positive rate (</w:t>
      </w:r>
      <m:oMath>
        <m:r>
          <m:t>ϵ</m:t>
        </m:r>
      </m:oMath>
      <w:r>
        <w:t xml:space="preserve">, F), and</w:t>
      </w:r>
      <w:r>
        <w:t xml:space="preserve"> </w:t>
      </w:r>
      <w:r>
        <w:t xml:space="preserve">the population prevalence of multiple infections (</w:t>
      </w:r>
      <m:oMath>
        <m:acc>
          <m:accPr>
            <m:chr m:val="‾"/>
          </m:accPr>
          <m:e>
            <m:r>
              <m:t>δ</m:t>
            </m:r>
          </m:e>
        </m:acc>
      </m:oMath>
      <w:r>
        <w:t xml:space="preserve">, H). Posterior distributions in (C-H) bins are shaded according to the 95% and 50% HPD. Histogram bin width is calculated such that there are approximately 50 bins over the range of the plotted values. True values are shown as vertical dotted lines.</w:t>
      </w:r>
    </w:p>
    <w:p>
      <w:pPr>
        <w:pStyle w:val="BodyText"/>
      </w:pPr>
      <w:r>
        <w:t xml:space="preserve">To identify risk factors for multiple infection among people living with HIV, we formulated an extended model in which individual-level prior multiple infection probabilities are described with a logit linear predictor of putative risk factors. On simulated data, this model accurately estimated the true risk ratio associated with a covariate leading to a two-fold higher probability of harboring a multiple infection (risk ratio (RR) median [95% HPD] 1.74 [1.07 - 2.47]) in the context of four additional background null covariates (S7 Table).</w:t>
      </w:r>
    </w:p>
    <w:bookmarkEnd w:id="55"/>
    <w:bookmarkStart w:id="56" w:name="Xa8e7b4807295100084cce6011a853592c059f6f"/>
    <w:p>
      <w:pPr>
        <w:pStyle w:val="Heading2"/>
      </w:pPr>
      <w:r>
        <w:t xml:space="preserve">Prevalence of HIV multiple infections among sequenced participants</w:t>
      </w:r>
    </w:p>
    <w:p>
      <w:pPr>
        <w:pStyle w:val="FirstParagraph"/>
      </w:pPr>
      <w:r>
        <w:t xml:space="preserve">Of the 2,029 participants living with viremic HIV, 94 (4.63%) had a median posterior probability of multiple infection greater than 50% (Fig </w:t>
      </w:r>
      <w:hyperlink w:anchor="empirical_full_fit">
        <w:r>
          <w:rPr>
            <w:rStyle w:val="Hyperlink"/>
          </w:rPr>
          <w:t xml:space="preserve">3</w:t>
        </w:r>
      </w:hyperlink>
      <w:r>
        <w:t xml:space="preserve">A,B). Our empirical analyses above demonstrated that the number of genome windows with multiple subgraphs is less than would be expected in the absence of false-negatives (Fig </w:t>
      </w:r>
      <w:hyperlink w:anchor="empirical_data_sum">
        <w:r>
          <w:rPr>
            <w:rStyle w:val="Hyperlink"/>
          </w:rPr>
          <w:t xml:space="preserve">1</w:t>
        </w:r>
      </w:hyperlink>
      <w:r>
        <w:t xml:space="preserve">). In line with this observation, the model estimated a high false-negative rate (median [95% HPD] 57.18% [52.94% - 61.6%], S8 Table), implying that empirical phylogenetic signatures of multiple infection under-estimate the true infection status of individuals in any single HIV genomic windows. It was therefore essential to have whole-genome data from a subset of participants (Fig </w:t>
      </w:r>
      <w:hyperlink w:anchor="empirical_data_sum">
        <w:r>
          <w:rPr>
            <w:rStyle w:val="Hyperlink"/>
          </w:rPr>
          <w:t xml:space="preserve">1</w:t>
        </w:r>
      </w:hyperlink>
      <w:r>
        <w:t xml:space="preserve">) to estimate false-negative detection rates. Further, informed by the 91.13% of samples with no multiple subgraph windows, we estimated the false-positive rate to be low (0.32% [0.25% - 0.4%]). However, we note that even a low absolute rate may give rise to a considerable number of samples with multiple subgraph windows in the absence of multiple infections. Accounting for false-positive and false-negative rates, the estimated prevalence of multiple infections in the sequenced sample was 5.79% [4.56% - 7.07%] (Fig </w:t>
      </w:r>
      <w:hyperlink w:anchor="empirical_full_fit">
        <w:r>
          <w:rPr>
            <w:rStyle w:val="Hyperlink"/>
          </w:rPr>
          <w:t xml:space="preserve">3</w:t>
        </w:r>
      </w:hyperlink>
      <w:r>
        <w:t xml:space="preserve">B and S8 Table).</w:t>
      </w:r>
    </w:p>
    <w:p>
      <w:pPr>
        <w:pStyle w:val="BodyText"/>
      </w:pPr>
      <w:r>
        <w:t xml:space="preserve">We next used our model to identify individuals with phylogenetically likely multiple infection. Classification was based on the inferred, posterior multiple infection probabilities, and therefore our model-based approach accounted for individual-level factors associated with sequencing success and population-level false-postive and false-negative rates. We determined a binary classification cut-off above which individuals were classified as having a phylogenetically likely multiple infection such that the total number of identified individuals was consistent with the estimated prevalence in the sample, resulting in a cut-off of 3.1%. Using this threshold, we identified 117 individuals with a likely multiple infection (Fig </w:t>
      </w:r>
      <w:hyperlink w:anchor="empirical_full_fit">
        <w:r>
          <w:rPr>
            <w:rStyle w:val="Hyperlink"/>
          </w:rPr>
          <w:t xml:space="preserve">3</w:t>
        </w:r>
      </w:hyperlink>
      <w:r>
        <w:t xml:space="preserve">B).</w:t>
      </w:r>
    </w:p>
    <w:tbl>
      <w:tblPr>
        <w:tblStyle w:val="FigureTable"/>
        <w:tblW w:type="auto" w:w="0"/>
        <w:jc w:val="center"/>
        <w:tblLook w:firstRow="0" w:lastRow="0" w:firstColumn="0" w:lastColumn="0"/>
      </w:tblPr>
      <w:tblGrid/>
    </w:tbl>
    <w:p>
      <w:pPr>
        <w:pStyle w:val="ImageCaption"/>
      </w:pPr>
      <w:r>
        <w:rPr>
          <w:b/>
          <w:bCs/>
        </w:rPr>
        <w:t xml:space="preserve">Individual-level estimates and population-level characteristics of HIV multiple infection in people with viremic HIV in the Rakai Community Cohort Study, -.</w:t>
      </w:r>
      <w:r>
        <w:t xml:space="preserve"> </w:t>
      </w:r>
      <w:r>
        <w:t xml:space="preserve">(A) Estimated posterior probability of multiple infection for each participant. Confidence bounds represent the 95% highest posterior density. Participants with at least one multiple subgraph window are shown in purple. (B) Number of participants with multiple infection as a function of the threshold used to dichotomize the probability of multiple infection. Central estimate uses the median estimated prevalence of multiple infections and shading uses 95% and 50% HPD. Horizontal dotted line plotted at the number of participants needed to match the estimated population prevalence of multiple infection. (C) Posterior distribution of the prevalence of multiple infections among sequenced viremic participants in the RCCS. Bins are shaded according to the 95% and 50% HPD. Histogram width is calculated such that there are approximately 50 bins over the range of the plotted values.</w:t>
      </w:r>
      <w:r>
        <w:t xml:space="preserve"> </w:t>
      </w:r>
    </w:p>
    <w:bookmarkEnd w:id="56"/>
    <w:bookmarkStart w:id="57" w:name="risk-factors-of-hiv-multiple-infection"/>
    <w:p>
      <w:pPr>
        <w:pStyle w:val="Heading2"/>
      </w:pPr>
      <w:r>
        <w:t xml:space="preserve">Risk factors of HIV multiple infection</w:t>
      </w:r>
    </w:p>
    <w:p>
      <w:pPr>
        <w:pStyle w:val="FirstParagraph"/>
      </w:pPr>
      <w:r>
        <w:t xml:space="preserve">In African contexts, HIV infection risk varies at the individual-level, such as by age, gender, sexual behaviour and circumcision status, and at the community-level</w:t>
      </w:r>
      <w:r>
        <w:t xml:space="preserve"> </w:t>
      </w:r>
      <w:r>
        <w:t xml:space="preserve">(Chang et al. 2016; Grabowski et al. 2017; Popoola 2024)</w:t>
      </w:r>
      <w:r>
        <w:t xml:space="preserve">. We therefore next aimed to characterize individual and population-level risk factors for multiple infection with HIV. First, given the significantly higher prevalence of HIV and viremic HIV in Lake Victoria fishing communities </w:t>
      </w:r>
      <w:r>
        <w:t xml:space="preserve">(Chang et al. 2016; Brizzi et al. 2024)</w:t>
      </w:r>
      <w:r>
        <w:t xml:space="preserve">, we investigated whether participants with viremic HIV in these communities had increased risk of multiple infection as compared to participants with viremic HIV in inland communities. We additionally incorporated a binary feature describing the sequencing technology used to generate the deep-sequence data from each participant to assess the extent of technical bias in our inferences. In this two-feature model with diffuse priors on the effect sizes, we indeed found that the risk of prevalent multiple infection in participants with viremic HIV in fishing communities was 2.04 times (95% HPD 1.15 - 3.22) greater than in inland communities (with posterior median [95% HPD] prevalence of multiple infection of 8.32% [6.11% - 10.96%]) and 4.05% [2.24% - 6.31%] respectively, Fig </w:t>
      </w:r>
      <w:hyperlink w:anchor="empirical_mi_predictors">
        <w:r>
          <w:rPr>
            <w:rStyle w:val="Hyperlink"/>
          </w:rPr>
          <w:t xml:space="preserve">4</w:t>
        </w:r>
      </w:hyperlink>
      <w:r>
        <w:t xml:space="preserve">A and S9 Table). The estimated risk ratio for HIV multiple infection was therefore broadly comparable to the risk ratio of HIV prevalence and viremia in fishing as compared to inland communities (2.5-3)</w:t>
      </w:r>
      <w:r>
        <w:t xml:space="preserve">(Chang et al. 2016; Brizzi et al. 2024)</w:t>
      </w:r>
      <w:r>
        <w:t xml:space="preserve">, consistent with the expectation that the risk of superinfection acquisition scales with the population prevalence of viremic HIV.</w:t>
      </w:r>
    </w:p>
    <w:p>
      <w:pPr>
        <w:pStyle w:val="BodyText"/>
      </w:pPr>
      <w:r>
        <w:t xml:space="preserve">In a univariate analysis, we estimated that multiple infections were less common among participants sequenced using the bait-approach protocol (RR median [95% HPD]: 0.65 [0.42 - 0.94], S10 Table). However, 50.45% of bait-capture sequenced participants were residents of fishing communities compared to 76.02% of amplicon sequenced participants. Consequently, after accounting for community type, the estimated magnitude of the dependence of multiple infection status on sequencing technology was considerably reduced and no longer considered to be significant (RR [95% HPD] 0.76 [0.47 - 1.1], S9 Table).</w:t>
      </w:r>
    </w:p>
    <w:p>
      <w:pPr>
        <w:pStyle w:val="BodyText"/>
      </w:pPr>
      <w:r>
        <w:t xml:space="preserve">Participants with HIV in fishing communities also reported having more lifetime sex partners (S5 Fig), so we next assessed whether the risk of harboring a multiple infection differed by the number of self-reported lifetime sex partners within each of the two community locations. As women tend to under-report their number of sex partners relative to men </w:t>
      </w:r>
      <w:r>
        <w:t xml:space="preserve">(Todd et al. 2009)</w:t>
      </w:r>
      <w:r>
        <w:t xml:space="preserve">, we restricted this analysis to male participants. The number of lifetime sexual partners generally increases with age, and so we standardized responses relative to the age-specific mean number of lifetime sexual partners among participants separately for the inland and fishing communities (S6 Fig). Among 997 male participants included in this analysis, 516 reported an exact number of lifetime sex partners, 477 responded they had three or more lifetime partners, and 4 did not provide a response. We imputed ambiguous responses and missing data within our inference framework by assuming responses were missing at random between people with and without multiple infection (Materials and methods).</w:t>
      </w:r>
    </w:p>
    <w:p>
      <w:pPr>
        <w:pStyle w:val="BodyText"/>
      </w:pPr>
      <w:r>
        <w:t xml:space="preserve">We did not find a statistically significantly higher risk of multiple infection in male participants with more lifetime sexual partners in the context of substantial missing data and</w:t>
      </w:r>
      <w:r>
        <w:t xml:space="preserve"> </w:t>
      </w:r>
      <w:r>
        <w:t xml:space="preserve">sampling over potential missing values using age-specific prior distributions. However, we note that the posterior effect size translated into an estimated more than two-fold higher risk of multiple infection between men living with viremic HIV in fishing communities associated with having 30 lifetime sexual partners compared to one lifetime sexual partner (e.g. RR [95% HPD] among 25-29 year olds 2.39 [0.59 - 5.37], Fig </w:t>
      </w:r>
      <w:hyperlink w:anchor="empirical_mi_predictors">
        <w:r>
          <w:rPr>
            <w:rStyle w:val="Hyperlink"/>
          </w:rPr>
          <w:t xml:space="preserve">4</w:t>
        </w:r>
      </w:hyperlink>
      <w:r>
        <w:t xml:space="preserve">B and S7 Fig for all age groups). Very similar results were observed using a complete case analysis of the 516 men who provided an exact number of lifetime sex partners (S12 Table).</w:t>
      </w:r>
    </w:p>
    <w:p>
      <w:pPr>
        <w:pStyle w:val="BodyText"/>
      </w:pPr>
      <w:r>
        <w:t xml:space="preserve">We also performed a comprehensive discovery-based risk factor variable selection analysis over eight additive biological, behavioral and epidemic features, stratifying epidemiological and behavioral variables by community type to account demographic differences between the populations and excluding additional variable interactions. This analysis confirmed residency in fishing communities as a risk factor (multivariate RR [95% HPD] 2.49 [0.12 - 7.63]), but did not identify any other variables that were associated with significantly higher or lower risk of multiple infection in our sample (Fig </w:t>
      </w:r>
      <w:hyperlink w:anchor="empirical_mi_predictors">
        <w:r>
          <w:rPr>
            <w:rStyle w:val="Hyperlink"/>
          </w:rPr>
          <w:t xml:space="preserve">4</w:t>
        </w:r>
      </w:hyperlink>
      <w:r>
        <w:t xml:space="preserve">C and S13 Table). Specifically, despite the fact that female bar/restaurant workers face a three-fold higher risk of incident HIV</w:t>
      </w:r>
      <w:r>
        <w:t xml:space="preserve"> </w:t>
      </w:r>
      <w:r>
        <w:t xml:space="preserve">(Popoola 2024)</w:t>
      </w:r>
      <w:r>
        <w:t xml:space="preserve"> </w:t>
      </w:r>
      <w:r>
        <w:t xml:space="preserve">we did not identify an increased risk of multiple infection among female bar/restaurant workers or men who have sex with bar/restaurant workers in either inland or fishing communities.</w:t>
      </w:r>
    </w:p>
    <w:tbl>
      <w:tblPr>
        <w:tblStyle w:val="FigureTable"/>
        <w:tblW w:type="auto" w:w="0"/>
        <w:jc w:val="center"/>
        <w:tblLook w:firstRow="0" w:lastRow="0" w:firstColumn="0" w:lastColumn="0"/>
      </w:tblPr>
      <w:tblGrid/>
    </w:tbl>
    <w:p>
      <w:pPr>
        <w:pStyle w:val="ImageCaption"/>
      </w:pPr>
      <w:r>
        <w:rPr>
          <w:b/>
          <w:bCs/>
        </w:rPr>
        <w:t xml:space="preserve">Risk factors of HIV multiple infection among people with viremic HIV in the Rakai Community cohort Study, -.</w:t>
      </w:r>
      <w:r>
        <w:t xml:space="preserve"> </w:t>
      </w:r>
      <w:r>
        <w:t xml:space="preserve">(A) Posterior distribution of the prevalence of multiple infections stratified by community type estimated in a univariate model with diffuse priors (</w:t>
      </w:r>
      <m:oMath>
        <m:r>
          <m:t>N</m:t>
        </m:r>
        <m:r>
          <m:rPr>
            <m:sty m:val="p"/>
          </m:rPr>
          <m:t>=</m:t>
        </m:r>
      </m:oMath>
      <w:r>
        <w:t xml:space="preserve"> </w:t>
      </w:r>
      <w:r>
        <w:t xml:space="preserve">,029). Bins are shaded according to the 95% and 50% highest posterior density (HPD). Histogram width is calculated such that there are approximately 50 bins over the range of plotted values. (B) Predicted prevalence of multiple infection among men aged 25 to 29 years old as a function of lifetime sex partners and community type estimated in a bivariate model with diffuse priors (</w:t>
      </w:r>
      <m:oMath>
        <m:r>
          <m:t>N</m:t>
        </m:r>
        <m:r>
          <m:rPr>
            <m:sty m:val="p"/>
          </m:rPr>
          <m:t>=</m:t>
        </m:r>
      </m:oMath>
      <w:r>
        <w:t xml:space="preserve"> </w:t>
      </w:r>
      <w:r>
        <w:t xml:space="preserve">). Median of the posterior distribution is plotted as the central estimate and shading represents the 95% and 50% HPD. Colors are as in (A). (C) Logistic coefficients for the association between putative risk factors and the probability of harboring a multiple infection estimated with Bayesian shrinkage priors (</w:t>
      </w:r>
      <m:oMath>
        <m:r>
          <m:t>N</m:t>
        </m:r>
        <m:r>
          <m:rPr>
            <m:sty m:val="p"/>
          </m:rPr>
          <m:t>=</m:t>
        </m:r>
      </m:oMath>
      <w:r>
        <w:t xml:space="preserve"> </w:t>
      </w:r>
      <w:r>
        <w:t xml:space="preserve">,970). Sex and bar/rest. work variable includes female sex and bar/restaurant worker and men who report having sex with female sex and bar/restaurant workers. Median of the posterior distribution is plotted as the central estimate, horizontal bars extend to the 95% and 50% HPD. Colors are as in (A).</w:t>
      </w:r>
    </w:p>
    <w:bookmarkEnd w:id="57"/>
    <w:bookmarkEnd w:id="58"/>
    <w:bookmarkStart w:id="59" w:name="discussion"/>
    <w:p>
      <w:pPr>
        <w:pStyle w:val="Heading1"/>
      </w:pPr>
      <w:r>
        <w:t xml:space="preserve">Discussion</w:t>
      </w:r>
    </w:p>
    <w:p>
      <w:pPr>
        <w:pStyle w:val="FirstParagraph"/>
      </w:pPr>
      <w:r>
        <w:t xml:space="preserve">In this large-scale study, we assessed the prevalence and risk factors of HIV multiple infection in an East African setting with high HIV burden using population-based pathogen deep-sequence surveillance data. To do this, we developed a Bayesian statistical model to identify multiple infections in deep-sequence phylogenies such as those generated by</w:t>
      </w:r>
      <w:r>
        <w:t xml:space="preserve"> </w:t>
      </w:r>
      <w:r>
        <w:rPr>
          <w:i/>
          <w:iCs/>
        </w:rPr>
        <w:t xml:space="preserve">phyloscanner</w:t>
      </w:r>
      <w:r>
        <w:t xml:space="preserve"> </w:t>
      </w:r>
      <w:r>
        <w:t xml:space="preserve">(Wymant et al. 2017)</w:t>
      </w:r>
      <w:r>
        <w:t xml:space="preserve">. Our model incorporates false-negative and false-positive rates for the presence of genetically distinct viral lineages and simultaneously estimates individual and population-level probabilities of harboring multiple infection. This framework also allows for the identification of biological and epidemiological risk factors for harboring a multiple infection. In simulation analyses, we demonstrated the ability of the model to generate accurate inferences across a range of parameter values and fit the model to</w:t>
      </w:r>
      <w:r>
        <w:t xml:space="preserve"> </w:t>
      </w:r>
      <w:r>
        <w:rPr>
          <w:i/>
          <w:iCs/>
        </w:rPr>
        <w:t xml:space="preserve">phyloscanner</w:t>
      </w:r>
      <w:r>
        <w:t xml:space="preserve"> </w:t>
      </w:r>
      <w:r>
        <w:t xml:space="preserve">within-host phylogenies inferred from whole-genome deep-sequence data from 2,029 viremic participants in the Rakai Community Cohort Study, a population-based open-cohort in southern Uganda. We estimated that the cross-sectional prevalence of simultaneous multiple infections among sequenced viremic participants in this cohort is approximately 6%. Further, we showed that viremic participants with HIV living in high HIV prevalence fishing communities along Lake Victoria were more than twice as likely to harbor a multiple infection as compared to those living in inland agrarian or trading communities. Among male residents in fishing communities, we estimated that those with more lifetime sex partners can be expected to be more likely to have a multiple infection, although this finding did not reach statistical significance at the 95% level.</w:t>
      </w:r>
    </w:p>
    <w:p>
      <w:pPr>
        <w:pStyle w:val="BodyText"/>
      </w:pPr>
      <w:r>
        <w:t xml:space="preserve">This study represents the largest analysis of HIV multiple infections by more than an order of magnitude</w:t>
      </w:r>
      <w:r>
        <w:t xml:space="preserve"> </w:t>
      </w:r>
      <w:r>
        <w:t xml:space="preserve">(Yuan et al. 2024)</w:t>
      </w:r>
      <w:r>
        <w:t xml:space="preserve"> </w:t>
      </w:r>
      <w:r>
        <w:t xml:space="preserve">and the first to rigorously account for partial sequencing success and uncertainty in individual-level estimates when estimating population-level risk of multiple infection. Our model indicated that in the context of incomplete genome coverage, as is common in HIV whole-genome sequencing</w:t>
      </w:r>
      <w:r>
        <w:t xml:space="preserve"> </w:t>
      </w:r>
      <w:r>
        <w:t xml:space="preserve">(Bonsall et al. 2020)</w:t>
      </w:r>
      <w:r>
        <w:t xml:space="preserve">, evidence for multiple infections is expected to be observed in only a subset of genome windows. However, we observed a high rate of false-negatives beyond what is expected due to incomplete sequencing, which may be due to insufficient diversity of infecting lineages in some regions of the genome</w:t>
      </w:r>
      <w:r>
        <w:t xml:space="preserve"> </w:t>
      </w:r>
      <w:r>
        <w:t xml:space="preserve">(Patiño-Galindo and González-Candelas 2017)</w:t>
      </w:r>
      <w:r>
        <w:t xml:space="preserve"> </w:t>
      </w:r>
      <w:r>
        <w:t xml:space="preserve">to phylogentically distinguish them. This could potentially be due to recombination between infecting lineages prior to sampling</w:t>
      </w:r>
      <w:r>
        <w:t xml:space="preserve"> </w:t>
      </w:r>
      <w:r>
        <w:t xml:space="preserve">(Shriner et al. 2004; Song et al. 2018)</w:t>
      </w:r>
      <w:r>
        <w:t xml:space="preserve"> </w:t>
      </w:r>
      <w:r>
        <w:t xml:space="preserve">such that infecting variants are only genetically distinct in some portions of genome when sampled. The population-based multiple infection prevalence estimates from the data reported here are substantially more precise than previous estimates as expected given the larger sample size and slightly higher than previous estimates (</w:t>
      </w:r>
      <m:oMath>
        <m:r>
          <m:t>n</m:t>
        </m:r>
        <m:r>
          <m:rPr>
            <m:sty m:val="p"/>
          </m:rPr>
          <m:t>=</m:t>
        </m:r>
        <m:r>
          <m:t>7</m:t>
        </m:r>
        <m:r>
          <m:rPr>
            <m:sty m:val="p"/>
          </m:rPr>
          <m:t>/</m:t>
        </m:r>
        <m:r>
          <m:t>149</m:t>
        </m:r>
      </m:oMath>
      <w:r>
        <w:t xml:space="preserve"> </w:t>
      </w:r>
      <w:r>
        <w:t xml:space="preserve">(Andrew D. Redd et al. 2012)</w:t>
      </w:r>
      <w:r>
        <w:t xml:space="preserve">), likely reflecting greater sensitivity of whole-genome sequencing data . Previous studies of female sex workers in urban Uganda and Kenya have estimated the prevalence of multiple infections to be as high as</w:t>
      </w:r>
      <w:r>
        <w:t xml:space="preserve"> </w:t>
      </w:r>
      <m:oMath>
        <m:r>
          <m:t>14</m:t>
        </m:r>
        <m:r>
          <m:rPr>
            <m:sty m:val="p"/>
          </m:rPr>
          <m:t>−</m:t>
        </m:r>
        <m:r>
          <m:t>16</m:t>
        </m:r>
        <m:r>
          <m:rPr>
            <m:sty m:val="p"/>
          </m:rPr>
          <m:t>%</m:t>
        </m:r>
      </m:oMath>
      <w:r>
        <w:t xml:space="preserve"> </w:t>
      </w:r>
      <w:r>
        <w:t xml:space="preserve">in this high-risk demographic based on amplicon deep-sequencing</w:t>
      </w:r>
      <w:r>
        <w:t xml:space="preserve"> </w:t>
      </w:r>
      <w:r>
        <w:t xml:space="preserve">(Ronen et al. 2013; Andrew D. Redd et al. 2014)</w:t>
      </w:r>
      <w:r>
        <w:t xml:space="preserve">. Here, we do not replicate this finding using self-reported data on sex work or bar/restaurant work in our population-based sampling framework. We expect this is likely due to hesitation to self-report sex work among study participants and study participation bias among sex workers. However, our results are generally consistent with previous findings suggesting MIs are less common in African populations as compared to the United States (10-15% in studies conducted between 1996 and 2010</w:t>
      </w:r>
      <w:r>
        <w:t xml:space="preserve"> </w:t>
      </w:r>
      <w:r>
        <w:t xml:space="preserve">(M. E. Pacold et al. 2012; Wagner et al. 2013, 2014, 2016; Vesa et al. 2017)</w:t>
      </w:r>
      <w:r>
        <w:t xml:space="preserve">), which may reflect the fact that the HIV epidemic in the United States is concentrated among men who have sex with men (MSM) and people who inject drugs (PWID) as opposed to the generalized nature of the epidemic in Africa. Further, as the risk of HIV transmission given exposureis 8-16</w:t>
      </w:r>
      <m:oMath>
        <m:r>
          <m:rPr>
            <m:sty m:val="p"/>
          </m:rPr>
          <m:t>×</m:t>
        </m:r>
      </m:oMath>
      <w:r>
        <w:t xml:space="preserve"> </w:t>
      </w:r>
      <w:r>
        <w:t xml:space="preserve">and 3-17</w:t>
      </w:r>
      <m:oMath>
        <m:r>
          <m:rPr>
            <m:sty m:val="p"/>
          </m:rPr>
          <m:t>×</m:t>
        </m:r>
      </m:oMath>
      <w:r>
        <w:t xml:space="preserve"> </w:t>
      </w:r>
      <w:r>
        <w:t xml:space="preserve">greater for needle-sharing and anal intercourse, respectively, as compared to vaginal intercourse</w:t>
      </w:r>
      <w:r>
        <w:t xml:space="preserve"> </w:t>
      </w:r>
      <w:r>
        <w:t xml:space="preserve">(Patel et al. 2014)</w:t>
      </w:r>
      <w:r>
        <w:t xml:space="preserve">, the risk of multiple infection acquisition given exposure may also be significantly greater in concentrated epidemics. To date, however, we note that the sample size of HIV multiple infection studies in the United States are relatively small (</w:t>
      </w:r>
      <m:oMath>
        <m:r>
          <m:rPr>
            <m:sty m:val="p"/>
          </m:rPr>
          <m:t>&lt;</m:t>
        </m:r>
      </m:oMath>
      <w:r>
        <w:t xml:space="preserve">150 individuals) and there is therefore significant uncertainty in the true underlying prevalence in these settings.</w:t>
      </w:r>
    </w:p>
    <w:p>
      <w:pPr>
        <w:pStyle w:val="BodyText"/>
      </w:pPr>
      <w:r>
        <w:t xml:space="preserve">Our results add to the considerable previous research on the increased risk of HIV among Lake Victoria fishing communities. Previous studies have shown that overall HIV prevalence and prevalence of viremic HIV in these communities is 2.5-3</w:t>
      </w:r>
      <m:oMath>
        <m:r>
          <m:rPr>
            <m:sty m:val="p"/>
          </m:rPr>
          <m:t>×</m:t>
        </m:r>
      </m:oMath>
      <w:r>
        <w:t xml:space="preserve"> </w:t>
      </w:r>
      <w:r>
        <w:t xml:space="preserve">higher than in inland communities</w:t>
      </w:r>
      <w:r>
        <w:t xml:space="preserve"> </w:t>
      </w:r>
      <w:r>
        <w:t xml:space="preserve">(Chang et al. 2016; Brizzi et al. 2024)</w:t>
      </w:r>
      <w:r>
        <w:t xml:space="preserve">, in part due to migration of PLHIV to these communities</w:t>
      </w:r>
      <w:r>
        <w:t xml:space="preserve"> </w:t>
      </w:r>
      <w:r>
        <w:t xml:space="preserve">(Kate Grabowski et al. 2020; Ratmann et al. 2020)</w:t>
      </w:r>
      <w:r>
        <w:t xml:space="preserve">. Further, despite a rapid increase in antiretroviral therapy (ART) uptake among residents of fishing communities over the study period</w:t>
      </w:r>
      <w:r>
        <w:t xml:space="preserve"> </w:t>
      </w:r>
      <w:r>
        <w:t xml:space="preserve">(Kagaayi et al. 2019)</w:t>
      </w:r>
      <w:r>
        <w:t xml:space="preserve">, people living with HIV in fishing communities continue to face a higher prevalence of ART resistance</w:t>
      </w:r>
      <w:r>
        <w:t xml:space="preserve"> </w:t>
      </w:r>
      <w:r>
        <w:t xml:space="preserve">(Martin et al. 2023)</w:t>
      </w:r>
      <w:r>
        <w:t xml:space="preserve">. We here show that viremic PLHIV in fishing communities also face a significantly higher burden of HIV multiple infections. We also show that among men in fishing communities, multiple infection risk increases with the number of lifetime sex partners. The precision of this estimate is hindered by a large degree of non-precise responses to this component of the RCCS survey. These results imply that PLHIV in fishing communities continue to be exposed to viremic partners following initial infection. Public health interventions directed at viremic PLHIV in these communities may therefore not only provide life-saving treatment to these individuals but also reduce opportunities for the generation of novel recombinant forms of HIV which could pose challenges to control efforts through potential generation of more transmissible variants and broadening the antigneic space that potential vaccines need to cover</w:t>
      </w:r>
      <w:r>
        <w:t xml:space="preserve"> </w:t>
      </w:r>
      <w:r>
        <w:t xml:space="preserve">(Rambaut et al. 2004; Corey and McElrath 2010; Ritchie et al. 2014; Kiwanuka et al. 2009; Shriner et al. 2004; Song et al. 2018)</w:t>
      </w:r>
      <w:r>
        <w:t xml:space="preserve">.</w:t>
      </w:r>
    </w:p>
    <w:p>
      <w:pPr>
        <w:pStyle w:val="BodyText"/>
      </w:pPr>
      <w:r>
        <w:t xml:space="preserve">We expect that our inferential framework may be adaptable to whole-genome deep-sequence phylogenies from other pathogens in which infection is chronic (thereby allowing sufficient time for superinfection to occur). Hepatitis C virus (HCV), which is a chronic viral infection transmitted either sexually or by injection drug use, is a natural extension</w:t>
      </w:r>
      <w:r>
        <w:t xml:space="preserve"> </w:t>
      </w:r>
      <w:r>
        <w:t xml:space="preserve">(Cunningham et al. 2015)</w:t>
      </w:r>
      <w:r>
        <w:t xml:space="preserve">. Among people who inject drugs, the prevalence of HCV mixed infections is estimated to be as high as 39%</w:t>
      </w:r>
      <w:r>
        <w:t xml:space="preserve"> </w:t>
      </w:r>
      <w:r>
        <w:t xml:space="preserve">(Van De Laar et al. 2009)</w:t>
      </w:r>
      <w:r>
        <w:t xml:space="preserve">. Our framework has the advantage that it uses data from across the genome and does not require haplotyping of sequencing reads, which has proven to be exceedingly difficult with short-read sequence data</w:t>
      </w:r>
      <w:r>
        <w:t xml:space="preserve"> </w:t>
      </w:r>
      <w:r>
        <w:t xml:space="preserve">(Eliseev et al. 2020)</w:t>
      </w:r>
      <w:r>
        <w:t xml:space="preserve">. Recent work has also attempted to identify multiple infections of</w:t>
      </w:r>
      <w:r>
        <w:t xml:space="preserve"> </w:t>
      </w:r>
      <w:r>
        <w:rPr>
          <w:i/>
          <w:iCs/>
        </w:rPr>
        <w:t xml:space="preserve">Mycobacterium tuberculosis</w:t>
      </w:r>
      <w:r>
        <w:t xml:space="preserve"> </w:t>
      </w:r>
      <w:r>
        <w:t xml:space="preserve">(MTB), a chronic bacterial infection canonically of the lungs</w:t>
      </w:r>
      <w:r>
        <w:t xml:space="preserve"> </w:t>
      </w:r>
      <w:r>
        <w:t xml:space="preserve">(Cohen et al. 2012)</w:t>
      </w:r>
      <w:r>
        <w:t xml:space="preserve">. These methods work by either clustering allele frequencies to distinguish within- and between-variant differences</w:t>
      </w:r>
      <w:r>
        <w:t xml:space="preserve"> </w:t>
      </w:r>
      <w:r>
        <w:t xml:space="preserve">(Sobkowiak et al. 2018; Gabbassov et al. 2021; Sobkowiak et al. 2024)</w:t>
      </w:r>
      <w:r>
        <w:t xml:space="preserve"> </w:t>
      </w:r>
      <w:r>
        <w:t xml:space="preserve">or by comparing sampled sequence data to a database of reference strains</w:t>
      </w:r>
      <w:r>
        <w:t xml:space="preserve"> </w:t>
      </w:r>
      <w:r>
        <w:t xml:space="preserve">(Anyansi et al. 2020)</w:t>
      </w:r>
      <w:r>
        <w:t xml:space="preserve">. They therefore require defining circulating genetic diversity</w:t>
      </w:r>
      <w:r>
        <w:t xml:space="preserve"> </w:t>
      </w:r>
      <w:r>
        <w:rPr>
          <w:i/>
          <w:iCs/>
        </w:rPr>
        <w:t xml:space="preserve">a priori</w:t>
      </w:r>
      <w:r>
        <w:t xml:space="preserve"> </w:t>
      </w:r>
      <w:r>
        <w:t xml:space="preserve">(which may be challenging in a poorly sampled epidemic) or assume independence between alleles, failing to account for linkage between adjacent genome positions and the evolutionary history giving rise to the observed genetic variation. Multiple infections may also be of interest in acute, high-prevalence infectious diseases. For example, severe acute respiratory syndrome coronavirus 2 (SARS-CoV-2) superinfections have been observed by identifying mixed alleles as known lineage-defining sites</w:t>
      </w:r>
      <w:r>
        <w:t xml:space="preserve"> </w:t>
      </w:r>
      <w:r>
        <w:t xml:space="preserve">(Dezordi et al. 2022; Joel O. Wertheim et al. 2022)</w:t>
      </w:r>
      <w:r>
        <w:t xml:space="preserve">.</w:t>
      </w:r>
    </w:p>
    <w:p>
      <w:pPr>
        <w:pStyle w:val="BodyText"/>
      </w:pPr>
      <w:r>
        <w:t xml:space="preserve">While</w:t>
      </w:r>
      <w:r>
        <w:t xml:space="preserve"> </w:t>
      </w:r>
      <w:r>
        <w:rPr>
          <w:i/>
          <w:iCs/>
        </w:rPr>
        <w:t xml:space="preserve">deep-phyloMI</w:t>
      </w:r>
      <w:r>
        <w:t xml:space="preserve"> </w:t>
      </w:r>
      <w:r>
        <w:t xml:space="preserve">builds upon previous investigations into HIV multiple infections to provide more rigorous estimates of individual and population level parameters, we do rely on some simplifying assumptions in our framework. First, we only identify multiple infections among viremic participants with available deep-sequence data who were identified as part of a putative transmission network. This sample may therefore be non-representative of the underlying population of viremic PLHIV. Because the RCCS did not perform viral load testing on all participants prior to the 2014 survey round we lack the necessary data to reliably account for these biases in a weighted analysis. Further, we focus on identifying multiple infections only in cross-sectional sequence data. As multiple infections can be transient</w:t>
      </w:r>
      <w:r>
        <w:t xml:space="preserve"> </w:t>
      </w:r>
      <w:r>
        <w:t xml:space="preserve">(Ronen et al. 2013)</w:t>
      </w:r>
      <w:r>
        <w:t xml:space="preserve">, we are unable to identify participants who have been but are not currently multiply infected. Similarly, in the absence of longitudinal data or data sampled soon after initial infection we are unable to distinguish multiple infections acquired through coinfection and superinfection. Further, our inferences are likely sensitive to settings within</w:t>
      </w:r>
      <w:r>
        <w:t xml:space="preserve"> </w:t>
      </w:r>
      <w:r>
        <w:rPr>
          <w:i/>
          <w:iCs/>
        </w:rPr>
        <w:t xml:space="preserve">phyloscanner</w:t>
      </w:r>
      <w:r>
        <w:t xml:space="preserve">. Specifically, clustering of within-host phylogenetic subgraphs is dependent on the</w:t>
      </w:r>
      <w:r>
        <w:t xml:space="preserve"> </w:t>
      </w:r>
      <m:oMath>
        <m:r>
          <m:t>k</m:t>
        </m:r>
      </m:oMath>
      <w:r>
        <w:t xml:space="preserve"> </w:t>
      </w:r>
      <w:r>
        <w:t xml:space="preserve">parameter used in the ancestral state reconstruction. While our model is tolerant of some misspecification of</w:t>
      </w:r>
      <w:r>
        <w:t xml:space="preserve"> </w:t>
      </w:r>
      <m:oMath>
        <m:r>
          <m:t>k</m:t>
        </m:r>
      </m:oMath>
      <w:r>
        <w:t xml:space="preserve"> </w:t>
      </w:r>
      <w:r>
        <w:t xml:space="preserve">due to the modeled false-positive and false-negative rates, participants infected with multiple genetically distinct yet similar variants may remain undetected given the conservative</w:t>
      </w:r>
      <w:r>
        <w:t xml:space="preserve"> </w:t>
      </w:r>
      <m:oMath>
        <m:r>
          <m:t>k</m:t>
        </m:r>
      </m:oMath>
      <w:r>
        <w:t xml:space="preserve"> </w:t>
      </w:r>
      <w:r>
        <w:t xml:space="preserve">value we employed based on the circulating genetic diversity in our study setting</w:t>
      </w:r>
      <w:r>
        <w:t xml:space="preserve"> </w:t>
      </w:r>
      <w:r>
        <w:t xml:space="preserve">(Kim et al. 2024)</w:t>
      </w:r>
      <w:r>
        <w:t xml:space="preserve">. We therefore expect our estimates to represent a lower bound of the true prevalence among sequenced participants. More liberal values of</w:t>
      </w:r>
      <w:r>
        <w:t xml:space="preserve"> </w:t>
      </w:r>
      <m:oMath>
        <m:r>
          <m:t>k</m:t>
        </m:r>
      </m:oMath>
      <w:r>
        <w:t xml:space="preserve"> </w:t>
      </w:r>
      <w:r>
        <w:t xml:space="preserve">would increase the sensitivity of this approach, potentially suitable to settings with less circulating genetic diversity, at the expense of specificity.</w:t>
      </w:r>
    </w:p>
    <w:p>
      <w:pPr>
        <w:pStyle w:val="BodyText"/>
      </w:pPr>
      <w:r>
        <w:t xml:space="preserve">HIV multiple infections complicate global control efforts by fueling generation of genetic diversity</w:t>
      </w:r>
      <w:r>
        <w:t xml:space="preserve"> </w:t>
      </w:r>
      <w:r>
        <w:t xml:space="preserve">(Ramirez et al. 2008)</w:t>
      </w:r>
      <w:r>
        <w:t xml:space="preserve">, worsening clinical outcomes</w:t>
      </w:r>
      <w:r>
        <w:t xml:space="preserve"> </w:t>
      </w:r>
      <w:r>
        <w:t xml:space="preserve">(Gottlieb et al. 2004; Smith 2004)</w:t>
      </w:r>
      <w:r>
        <w:t xml:space="preserve">, and increasing viral load</w:t>
      </w:r>
      <w:r>
        <w:t xml:space="preserve"> </w:t>
      </w:r>
      <w:r>
        <w:t xml:space="preserve">(Smith 2004; Ronen et al. 2013; Janes et al. 2015)</w:t>
      </w:r>
      <w:r>
        <w:t xml:space="preserve">. Here we developed a robust inference framework to identify multiple infections in deep-sequence data and assess the role of epidemiological risk factors, such as living in high burden communities, in harboring multiple infections. This work will inform interventions aimed at preventing the acquisition of HIV superinfections and efforts to model the role iof multiple infections in the dynamics and evolution of HIV.</w:t>
      </w:r>
    </w:p>
    <w:bookmarkEnd w:id="59"/>
    <w:bookmarkStart w:id="60" w:name="acknowledgments"/>
    <w:p>
      <w:pPr>
        <w:pStyle w:val="Heading1"/>
      </w:pPr>
      <w:r>
        <w:t xml:space="preserve">Acknowledgments</w:t>
      </w:r>
    </w:p>
    <w:p>
      <w:pPr>
        <w:pStyle w:val="FirstParagraph"/>
      </w:pPr>
      <w:r>
        <w:t xml:space="preserve">We thank the participants of the Rakai Community Cohort Study for making this research possible. Further, we thank all Rakai Health Sciences Program staff and all members of the PANGEA-HIV consortium. We thank Dr. Chris Wymant, PhD (Pandemic Sciences Institute, University of Oxford) for helpful discussions about Bayesian modeling of HIV multiple infections and helpful comments on this manuscript. Computational resources were provided through the Imperial College Research Computing Service and the Biomedical Research Computing Cluster at the University of Oxford. This study was supported by the Bill and Melinda Gates Foundation (OPP1084362, INV-007573, INV-035619, INV-060259, INV-075093),the National Institute of Health (NIH) National Institute of Allergy and Infectious Diseases (NIAID, U01AI075115, R01AI087409, U01AI100031, R01AI110324, R01AI114438, K25AI114461, R01AI123002, K01AI125086, R01AI128779, R01AI143333, R21AI145682, R01AI155080, ZIAAI001040), NIH National Institute of Child Health and Development (R01HD050180, R01HD070769, R01HD091003), NIH National Heart, Lung, and Blood Institute (R01HL152813),the Fogarty International Center (D43TW009578, D43TW010557), the Johns Hopkins University Center for AIDS Research (P30AI094189), the U.S. President’s Emergency Plan for AIDS Relief through the Centers for Disease Control and Prevention (NU2GGH000817), and in part by the Division of Intramural Research, NIAID, NIH. MM was supported in part by NIH 1L30AI178824.</w:t>
      </w:r>
    </w:p>
    <w:bookmarkEnd w:id="60"/>
    <w:bookmarkStart w:id="99" w:name="supporting-information"/>
    <w:p>
      <w:pPr>
        <w:pStyle w:val="Heading1"/>
      </w:pPr>
      <w:r>
        <w:t xml:space="preserve">Supporting information</w:t>
      </w:r>
    </w:p>
    <w:bookmarkStart w:id="61" w:name="vl_seq_success"/>
    <w:p>
      <w:pPr>
        <w:pStyle w:val="Heading4"/>
      </w:pPr>
      <w:r>
        <w:t xml:space="preserve">S1 Fig.</w:t>
      </w:r>
    </w:p>
    <w:p>
      <w:pPr>
        <w:pStyle w:val="FirstParagraph"/>
      </w:pPr>
      <w:r>
        <w:rPr>
          <w:b/>
          <w:bCs/>
        </w:rPr>
        <w:t xml:space="preserve">Sequencing coverage among samples from 2,029 Rakai Community Cohort Study participant-visits contributed by viremic people living with HIV with</w:t>
      </w:r>
      <w:r>
        <w:rPr>
          <w:b/>
          <w:bCs/>
        </w:rPr>
        <w:t xml:space="preserve"> </w:t>
      </w:r>
      <m:oMath>
        <m:sSubSup>
          <m:e>
            <m:r>
              <m:t>N</m:t>
            </m:r>
          </m:e>
          <m:sub>
            <m:r>
              <m:t>i</m:t>
            </m:r>
          </m:sub>
          <m:sup>
            <m:r>
              <m:t>o</m:t>
            </m:r>
            <m:r>
              <m:t>b</m:t>
            </m:r>
            <m:r>
              <m:t>s</m:t>
            </m:r>
          </m:sup>
        </m:sSubSup>
        <m:r>
          <m:rPr>
            <m:sty m:val="p"/>
          </m:rPr>
          <m:t>&gt;</m:t>
        </m:r>
        <m:r>
          <m:t>0</m:t>
        </m:r>
      </m:oMath>
      <w:r>
        <w:rPr>
          <w:b/>
          <w:bCs/>
        </w:rPr>
        <w:t xml:space="preserve">, stratified by viral load category and sequencing technology.</w:t>
      </w:r>
      <w:r>
        <w:t xml:space="preserve"> </w:t>
      </w:r>
      <w:r>
        <w:t xml:space="preserve">(A) Distribution of</w:t>
      </w:r>
      <w:r>
        <w:t xml:space="preserve"> </w:t>
      </w:r>
      <m:oMath>
        <m:sSubSup>
          <m:e>
            <m:r>
              <m:t>N</m:t>
            </m:r>
          </m:e>
          <m:sub>
            <m:r>
              <m:t>i</m:t>
            </m:r>
          </m:sub>
          <m:sup>
            <m:r>
              <m:t>o</m:t>
            </m:r>
            <m:r>
              <m:t>b</m:t>
            </m:r>
            <m:r>
              <m:t>s</m:t>
            </m:r>
          </m:sup>
        </m:sSubSup>
      </m:oMath>
      <w:r>
        <w:t xml:space="preserve"> </w:t>
      </w:r>
      <w:r>
        <w:t xml:space="preserve">values for all samples. (B) Number of samples with coverage in each of the 29 genome window.</w:t>
      </w:r>
    </w:p>
    <w:bookmarkEnd w:id="61"/>
    <w:bookmarkStart w:id="62" w:name="full_simulation_sensitivity_delta"/>
    <w:p>
      <w:pPr>
        <w:pStyle w:val="Heading4"/>
      </w:pPr>
      <w:r>
        <w:t xml:space="preserve">S2 Fig.</w:t>
      </w:r>
    </w:p>
    <w:p>
      <w:pPr>
        <w:pStyle w:val="FirstParagraph"/>
      </w:pPr>
      <w:r>
        <w:rPr>
          <w:b/>
          <w:bCs/>
        </w:rPr>
        <w:t xml:space="preserve">Posterior distribution of parameters in full model fit to simulated data across a range of</w:t>
      </w:r>
      <w:r>
        <w:rPr>
          <w:b/>
          <w:bCs/>
        </w:rPr>
        <w:t xml:space="preserve"> </w:t>
      </w:r>
      <m:oMath>
        <m:r>
          <m:t>δ</m:t>
        </m:r>
      </m:oMath>
      <w:r>
        <w:rPr>
          <w:b/>
          <w:bCs/>
        </w:rPr>
        <w:t xml:space="preserve"> </w:t>
      </w:r>
      <w:r>
        <w:rPr>
          <w:b/>
          <w:bCs/>
        </w:rPr>
        <w:t xml:space="preserve">values.</w:t>
      </w:r>
      <w:r>
        <w:t xml:space="preserve"> </w:t>
      </w:r>
      <w:r>
        <w:t xml:space="preserve">Rows represent model to fit to simulated data with</w:t>
      </w:r>
      <w:r>
        <w:t xml:space="preserve"> </w:t>
      </w:r>
      <m:oMath>
        <m:r>
          <m:t>δ</m:t>
        </m:r>
        <m:r>
          <m:rPr>
            <m:sty m:val="p"/>
          </m:rPr>
          <m:t>=</m:t>
        </m:r>
        <m:r>
          <m:t>0</m:t>
        </m:r>
      </m:oMath>
      <w:r>
        <w:t xml:space="preserve"> </w:t>
      </w:r>
      <w:r>
        <w:t xml:space="preserve">(top row),</w:t>
      </w:r>
      <w:r>
        <w:t xml:space="preserve"> </w:t>
      </w:r>
      <m:oMath>
        <m:r>
          <m:t>δ</m:t>
        </m:r>
        <m:r>
          <m:rPr>
            <m:sty m:val="p"/>
          </m:rPr>
          <m:t>=</m:t>
        </m:r>
        <m:r>
          <m:t>5</m:t>
        </m:r>
        <m:r>
          <m:rPr>
            <m:sty m:val="p"/>
          </m:rPr>
          <m:t>%</m:t>
        </m:r>
      </m:oMath>
      <w:r>
        <w:t xml:space="preserve"> </w:t>
      </w:r>
      <w:r>
        <w:t xml:space="preserve">(second row),</w:t>
      </w:r>
      <w:r>
        <w:t xml:space="preserve"> </w:t>
      </w:r>
      <m:oMath>
        <m:r>
          <m:t>δ</m:t>
        </m:r>
        <m:r>
          <m:rPr>
            <m:sty m:val="p"/>
          </m:rPr>
          <m:t>=</m:t>
        </m:r>
        <m:r>
          <m:t>10</m:t>
        </m:r>
        <m:r>
          <m:rPr>
            <m:sty m:val="p"/>
          </m:rPr>
          <m:t>%</m:t>
        </m:r>
      </m:oMath>
      <w:r>
        <w:t xml:space="preserve"> </w:t>
      </w:r>
      <w:r>
        <w:t xml:space="preserve">(third row), and</w:t>
      </w:r>
      <w:r>
        <w:t xml:space="preserve"> </w:t>
      </w:r>
      <m:oMath>
        <m:r>
          <m:t>δ</m:t>
        </m:r>
        <m:r>
          <m:rPr>
            <m:sty m:val="p"/>
          </m:rPr>
          <m:t>=</m:t>
        </m:r>
        <m:r>
          <m:t>20</m:t>
        </m:r>
        <m:r>
          <m:rPr>
            <m:sty m:val="p"/>
          </m:rPr>
          <m:t>%</m:t>
        </m:r>
      </m:oMath>
      <w:r>
        <w:t xml:space="preserve"> </w:t>
      </w:r>
      <w:r>
        <w:t xml:space="preserve">(bottom row). Posterior distributions bins are shaded according to the 95% and 50% highest posterior density. Histogram width is calculated such that there are approximately 50 bins over the range of plotted values. True values are shown as vertical dotted lines. VL = viral load (log</w:t>
      </w:r>
      <w:r>
        <w:rPr>
          <w:vertAlign w:val="subscript"/>
        </w:rPr>
        <w:t xml:space="preserve">10</w:t>
      </w:r>
      <w:r>
        <w:t xml:space="preserve"> </w:t>
      </w:r>
      <w:r>
        <w:t xml:space="preserve">copies/mL) normalized to mean = 0 and std. dev = 1. Std. dev. = standard deviation.</w:t>
      </w:r>
    </w:p>
    <w:bookmarkEnd w:id="62"/>
    <w:bookmarkStart w:id="63" w:name="full_simulation_sensitivity_lambda"/>
    <w:p>
      <w:pPr>
        <w:pStyle w:val="Heading4"/>
      </w:pPr>
      <w:r>
        <w:t xml:space="preserve">S3 Fig.</w:t>
      </w:r>
    </w:p>
    <w:p>
      <w:pPr>
        <w:pStyle w:val="FirstParagraph"/>
      </w:pPr>
      <w:r>
        <w:rPr>
          <w:b/>
          <w:bCs/>
        </w:rPr>
        <w:t xml:space="preserve">Posterior distribution of parameters in full model fit to simulated data across a range of</w:t>
      </w:r>
      <w:r>
        <w:rPr>
          <w:b/>
          <w:bCs/>
        </w:rPr>
        <w:t xml:space="preserve"> </w:t>
      </w:r>
      <m:oMath>
        <m:r>
          <m:t>λ</m:t>
        </m:r>
      </m:oMath>
      <w:r>
        <w:rPr>
          <w:b/>
          <w:bCs/>
        </w:rPr>
        <w:t xml:space="preserve"> </w:t>
      </w:r>
      <w:r>
        <w:rPr>
          <w:b/>
          <w:bCs/>
        </w:rPr>
        <w:t xml:space="preserve">values.</w:t>
      </w:r>
      <w:r>
        <w:t xml:space="preserve"> </w:t>
      </w:r>
      <w:r>
        <w:t xml:space="preserve">Rows represent model to fit to simulated data with</w:t>
      </w:r>
      <w:r>
        <w:t xml:space="preserve"> </w:t>
      </w:r>
      <m:oMath>
        <m:r>
          <m:t>λ</m:t>
        </m:r>
        <m:r>
          <m:rPr>
            <m:sty m:val="p"/>
          </m:rPr>
          <m:t>=</m:t>
        </m:r>
        <m:r>
          <m:t>0.1</m:t>
        </m:r>
      </m:oMath>
      <w:r>
        <w:t xml:space="preserve"> </w:t>
      </w:r>
      <w:r>
        <w:t xml:space="preserve">(top row),</w:t>
      </w:r>
      <w:r>
        <w:t xml:space="preserve"> </w:t>
      </w:r>
      <m:oMath>
        <m:r>
          <m:t>λ</m:t>
        </m:r>
        <m:r>
          <m:rPr>
            <m:sty m:val="p"/>
          </m:rPr>
          <m:t>=</m:t>
        </m:r>
        <m:r>
          <m:t>0.2</m:t>
        </m:r>
        <m:r>
          <m:rPr>
            <m:sty m:val="p"/>
          </m:rPr>
          <m:t>%</m:t>
        </m:r>
      </m:oMath>
      <w:r>
        <w:t xml:space="preserve"> </w:t>
      </w:r>
      <w:r>
        <w:t xml:space="preserve">(second row),</w:t>
      </w:r>
      <w:r>
        <w:t xml:space="preserve"> </w:t>
      </w:r>
      <m:oMath>
        <m:r>
          <m:t>λ</m:t>
        </m:r>
        <m:r>
          <m:rPr>
            <m:sty m:val="p"/>
          </m:rPr>
          <m:t>=</m:t>
        </m:r>
        <m:r>
          <m:t>0.3</m:t>
        </m:r>
        <m:r>
          <m:rPr>
            <m:sty m:val="p"/>
          </m:rPr>
          <m:t>%</m:t>
        </m:r>
      </m:oMath>
      <w:r>
        <w:t xml:space="preserve"> </w:t>
      </w:r>
      <w:r>
        <w:t xml:space="preserve">(third row), and</w:t>
      </w:r>
      <w:r>
        <w:t xml:space="preserve"> </w:t>
      </w:r>
      <m:oMath>
        <m:r>
          <m:t>λ</m:t>
        </m:r>
        <m:r>
          <m:rPr>
            <m:sty m:val="p"/>
          </m:rPr>
          <m:t>=</m:t>
        </m:r>
        <m:r>
          <m:t>0.4</m:t>
        </m:r>
        <m:r>
          <m:rPr>
            <m:sty m:val="p"/>
          </m:rPr>
          <m:t>%</m:t>
        </m:r>
      </m:oMath>
      <w:r>
        <w:t xml:space="preserve"> </w:t>
      </w:r>
      <w:r>
        <w:t xml:space="preserve">(bottom row). Posterior distributions bins are shaded according to the 95% and 50% higheset posterior density. Histogram bin width is calculated such that there are approximately 50 bins over the range of the plotted values. True values are shown as vertical dotted lines. VL = viral load (log</w:t>
      </w:r>
      <w:r>
        <w:rPr>
          <w:vertAlign w:val="subscript"/>
        </w:rPr>
        <w:t xml:space="preserve">10</w:t>
      </w:r>
      <w:r>
        <w:t xml:space="preserve"> </w:t>
      </w:r>
      <w:r>
        <w:t xml:space="preserve">copies/mL) normalized to mean = 0 and std. dev = 1. Std. dev. = standard deviation.</w:t>
      </w:r>
    </w:p>
    <w:bookmarkEnd w:id="63"/>
    <w:bookmarkStart w:id="64" w:name="full_simulation_sensitivity_epsilon"/>
    <w:p>
      <w:pPr>
        <w:pStyle w:val="Heading4"/>
      </w:pPr>
      <w:r>
        <w:t xml:space="preserve">S4 Fig.</w:t>
      </w:r>
    </w:p>
    <w:p>
      <w:pPr>
        <w:pStyle w:val="FirstParagraph"/>
      </w:pPr>
      <w:r>
        <w:rPr>
          <w:b/>
          <w:bCs/>
        </w:rPr>
        <w:t xml:space="preserve">Posterior distribution of parameters in full model fit to simulated data across a range of</w:t>
      </w:r>
      <w:r>
        <w:rPr>
          <w:b/>
          <w:bCs/>
        </w:rPr>
        <w:t xml:space="preserve"> </w:t>
      </w:r>
      <m:oMath>
        <m:r>
          <m:t>ϵ</m:t>
        </m:r>
      </m:oMath>
      <w:r>
        <w:rPr>
          <w:b/>
          <w:bCs/>
        </w:rPr>
        <w:t xml:space="preserve"> </w:t>
      </w:r>
      <w:r>
        <w:rPr>
          <w:b/>
          <w:bCs/>
        </w:rPr>
        <w:t xml:space="preserve">values.</w:t>
      </w:r>
      <w:r>
        <w:t xml:space="preserve"> </w:t>
      </w:r>
      <w:r>
        <w:t xml:space="preserve">Rows represent model to fit to simulated data with</w:t>
      </w:r>
      <w:r>
        <w:t xml:space="preserve"> </w:t>
      </w:r>
      <m:oMath>
        <m:r>
          <m:t>ϵ</m:t>
        </m:r>
        <m:r>
          <m:rPr>
            <m:sty m:val="p"/>
          </m:rPr>
          <m:t>=</m:t>
        </m:r>
        <m:r>
          <m:t>0</m:t>
        </m:r>
      </m:oMath>
      <w:r>
        <w:t xml:space="preserve"> </w:t>
      </w:r>
      <w:r>
        <w:t xml:space="preserve">(top row),</w:t>
      </w:r>
      <w:r>
        <w:t xml:space="preserve"> </w:t>
      </w:r>
      <m:oMath>
        <m:r>
          <m:t>ϵ</m:t>
        </m:r>
        <m:r>
          <m:rPr>
            <m:sty m:val="p"/>
          </m:rPr>
          <m:t>=</m:t>
        </m:r>
        <m:r>
          <m:t>0.5</m:t>
        </m:r>
        <m:r>
          <m:rPr>
            <m:sty m:val="p"/>
          </m:rPr>
          <m:t>%</m:t>
        </m:r>
      </m:oMath>
      <w:r>
        <w:t xml:space="preserve"> </w:t>
      </w:r>
      <w:r>
        <w:t xml:space="preserve">(second row),</w:t>
      </w:r>
      <w:r>
        <w:t xml:space="preserve"> </w:t>
      </w:r>
      <m:oMath>
        <m:r>
          <m:t>ϵ</m:t>
        </m:r>
        <m:r>
          <m:rPr>
            <m:sty m:val="p"/>
          </m:rPr>
          <m:t>=</m:t>
        </m:r>
        <m:r>
          <m:t>1</m:t>
        </m:r>
        <m:r>
          <m:rPr>
            <m:sty m:val="p"/>
          </m:rPr>
          <m:t>%</m:t>
        </m:r>
      </m:oMath>
      <w:r>
        <w:t xml:space="preserve"> </w:t>
      </w:r>
      <w:r>
        <w:t xml:space="preserve">(third row), and</w:t>
      </w:r>
      <w:r>
        <w:t xml:space="preserve"> </w:t>
      </w:r>
      <m:oMath>
        <m:r>
          <m:t>ϵ</m:t>
        </m:r>
        <m:r>
          <m:rPr>
            <m:sty m:val="p"/>
          </m:rPr>
          <m:t>=</m:t>
        </m:r>
        <m:r>
          <m:t>5</m:t>
        </m:r>
        <m:r>
          <m:rPr>
            <m:sty m:val="p"/>
          </m:rPr>
          <m:t>%</m:t>
        </m:r>
      </m:oMath>
      <w:r>
        <w:t xml:space="preserve"> </w:t>
      </w:r>
      <w:r>
        <w:t xml:space="preserve">(bottom row). Posterior distributions bins are shaded according to the 95% and 50% higheset posterior density. Histogram bin width is calculated such that there are approximately 50 bins over the range of the plotted values. True values are shown as vertical dotted lines. VL = viral load (log</w:t>
      </w:r>
      <w:r>
        <w:rPr>
          <w:vertAlign w:val="subscript"/>
        </w:rPr>
        <w:t xml:space="preserve">10</w:t>
      </w:r>
      <w:r>
        <w:t xml:space="preserve"> </w:t>
      </w:r>
      <w:r>
        <w:t xml:space="preserve">copies/mL) normalized to mean = 0 and std. dev = 1. Std. dev. = standard deviation.</w:t>
      </w:r>
    </w:p>
    <w:bookmarkEnd w:id="64"/>
    <w:bookmarkStart w:id="65" w:name="mean_obs_sexpever"/>
    <w:p>
      <w:pPr>
        <w:pStyle w:val="Heading4"/>
      </w:pPr>
      <w:r>
        <w:t xml:space="preserve">S5 Fig.</w:t>
      </w:r>
    </w:p>
    <w:p>
      <w:pPr>
        <w:pStyle w:val="FirstParagraph"/>
      </w:pPr>
      <w:r>
        <w:rPr>
          <w:b/>
          <w:bCs/>
        </w:rPr>
        <w:t xml:space="preserve">Mean number of lifetime sex partners stratified by HIV serostatus, sex, community type, and age among 109,608 RCCS participant-visits.</w:t>
      </w:r>
      <w:r>
        <w:t xml:space="preserve"> </w:t>
      </w:r>
      <w:r>
        <w:t xml:space="preserve">Excludes participant visits in which respondents provided a categorical response (N=5,436 (10.67%)).</w:t>
      </w:r>
    </w:p>
    <w:bookmarkEnd w:id="65"/>
    <w:bookmarkStart w:id="66" w:name="sexpever_std_curve"/>
    <w:p>
      <w:pPr>
        <w:pStyle w:val="Heading4"/>
      </w:pPr>
      <w:r>
        <w:t xml:space="preserve">S6 Fig.</w:t>
      </w:r>
    </w:p>
    <w:p>
      <w:pPr>
        <w:pStyle w:val="FirstParagraph"/>
      </w:pPr>
      <w:r>
        <w:rPr>
          <w:b/>
          <w:bCs/>
        </w:rPr>
        <w:t xml:space="preserve">Standardization curve used to adjust observed number of lifetime sex partners among men for age-cohort effects.</w:t>
      </w:r>
      <w:r>
        <w:t xml:space="preserve"> </w:t>
      </w:r>
      <w:r>
        <w:t xml:space="preserve">Includes simple imputation of categorical responses (e.g.</w:t>
      </w:r>
      <w:r>
        <w:t xml:space="preserve"> </w:t>
      </w:r>
      <w:r>
        <w:t xml:space="preserve">“</w:t>
      </w:r>
      <w:r>
        <w:t xml:space="preserve">1-2</w:t>
      </w:r>
      <w:r>
        <w:t xml:space="preserve">”</w:t>
      </w:r>
      <w:r>
        <w:t xml:space="preserve"> </w:t>
      </w:r>
      <w:r>
        <w:t xml:space="preserve">and</w:t>
      </w:r>
      <w:r>
        <w:t xml:space="preserve"> </w:t>
      </w:r>
      <w:r>
        <w:t xml:space="preserve">“</w:t>
      </w:r>
      <w:r>
        <w:t xml:space="preserve">3+</w:t>
      </w:r>
      <w:r>
        <w:t xml:space="preserve">”</w:t>
      </w:r>
      <w:r>
        <w:t xml:space="preserve">) to 1) the mean value of observed responses of 1 or 2 (</w:t>
      </w:r>
      <w:r>
        <w:t xml:space="preserve">“</w:t>
      </w:r>
      <w:r>
        <w:t xml:space="preserve">1-2</w:t>
      </w:r>
      <w:r>
        <w:t xml:space="preserve">”</w:t>
      </w:r>
      <w:r>
        <w:t xml:space="preserve">) within age category and community type and 2) the mean of a lognormal distribution fit to observed responses of</w:t>
      </w:r>
      <w:r>
        <w:t xml:space="preserve"> </w:t>
      </w:r>
      <m:oMath>
        <m:r>
          <m:rPr>
            <m:sty m:val="p"/>
          </m:rPr>
          <m:t>≥</m:t>
        </m:r>
        <m:r>
          <m:t>3</m:t>
        </m:r>
      </m:oMath>
      <w:r>
        <w:t xml:space="preserve"> </w:t>
      </w:r>
      <w:r>
        <w:t xml:space="preserve">lifetime sex partners within age category and community type.</w:t>
      </w:r>
    </w:p>
    <w:bookmarkEnd w:id="66"/>
    <w:bookmarkStart w:id="67" w:name="empirical_sexpever_men_probMI"/>
    <w:p>
      <w:pPr>
        <w:pStyle w:val="Heading4"/>
      </w:pPr>
      <w:r>
        <w:t xml:space="preserve">S7 Fig.</w:t>
      </w:r>
    </w:p>
    <w:p>
      <w:pPr>
        <w:pStyle w:val="FirstParagraph"/>
      </w:pPr>
      <w:r>
        <w:rPr>
          <w:b/>
          <w:bCs/>
        </w:rPr>
        <w:t xml:space="preserve">Posterior estimates of the prevalence of multiple infections, stratified by age category and community type.</w:t>
      </w:r>
      <w:r>
        <w:t xml:space="preserve"> </w:t>
      </w:r>
      <w:r>
        <w:t xml:space="preserve">Median estimate is plotted as a line and shading represents the 50% and 95% highest posterior densities. All age categories share the same coefficient estimates but differ because lifetime sex partner values are standardized to the mean of the observed values within groups defined by sex, age category, and community type.</w:t>
      </w:r>
    </w:p>
    <w:bookmarkEnd w:id="67"/>
    <w:bookmarkStart w:id="68" w:name="supp_methods"/>
    <w:p>
      <w:pPr>
        <w:pStyle w:val="Heading4"/>
      </w:pPr>
      <w:r>
        <w:t xml:space="preserve">S1 File.</w:t>
      </w:r>
    </w:p>
    <w:p>
      <w:pPr>
        <w:pStyle w:val="FirstParagraph"/>
      </w:pPr>
      <w:r>
        <w:rPr>
          <w:b/>
          <w:bCs/>
        </w:rPr>
        <w:t xml:space="preserve">Supplementary methods.</w:t>
      </w:r>
    </w:p>
    <w:bookmarkEnd w:id="68"/>
    <w:bookmarkStart w:id="69" w:name="reference_genomes"/>
    <w:p>
      <w:pPr>
        <w:pStyle w:val="Heading4"/>
      </w:pPr>
      <w:r>
        <w:t xml:space="preserve">S2 File.</w:t>
      </w:r>
    </w:p>
    <w:p>
      <w:pPr>
        <w:pStyle w:val="FirstParagraph"/>
      </w:pPr>
      <w:r>
        <w:rPr>
          <w:b/>
          <w:bCs/>
        </w:rPr>
        <w:t xml:space="preserve">Reference genomes included in the</w:t>
      </w:r>
      <w:r>
        <w:rPr>
          <w:b/>
          <w:bCs/>
        </w:rPr>
        <w:t xml:space="preserve"> </w:t>
      </w:r>
      <w:r>
        <w:rPr>
          <w:b/>
          <w:bCs/>
          <w:i/>
          <w:iCs/>
        </w:rPr>
        <w:t xml:space="preserve">phyloscanner</w:t>
      </w:r>
      <w:r>
        <w:rPr>
          <w:b/>
          <w:bCs/>
        </w:rPr>
        <w:t xml:space="preserve"> </w:t>
      </w:r>
      <w:r>
        <w:rPr>
          <w:b/>
          <w:bCs/>
        </w:rPr>
        <w:t xml:space="preserve">analysis.</w:t>
      </w:r>
    </w:p>
    <w:bookmarkEnd w:id="69"/>
    <w:bookmarkStart w:id="70" w:name="normalization_constants"/>
    <w:p>
      <w:pPr>
        <w:pStyle w:val="Heading4"/>
      </w:pPr>
      <w:r>
        <w:t xml:space="preserve">S3 File.</w:t>
      </w:r>
    </w:p>
    <w:p>
      <w:pPr>
        <w:pStyle w:val="FirstParagraph"/>
      </w:pPr>
      <w:r>
        <w:rPr>
          <w:b/>
          <w:bCs/>
        </w:rPr>
        <w:t xml:space="preserve">Normalization constants used to adjust branch lengths in within-host phylogenetic trees.</w:t>
      </w:r>
    </w:p>
    <w:bookmarkEnd w:id="70"/>
    <w:bookmarkStart w:id="71" w:name="model_diagnostics"/>
    <w:p>
      <w:pPr>
        <w:pStyle w:val="Heading4"/>
      </w:pPr>
      <w:r>
        <w:t xml:space="preserve">S4 File.</w:t>
      </w:r>
    </w:p>
    <w:p>
      <w:pPr>
        <w:pStyle w:val="FirstParagraph"/>
      </w:pPr>
      <w:r>
        <w:rPr>
          <w:b/>
          <w:bCs/>
        </w:rPr>
        <w:t xml:space="preserve">Bayesian model fit diagnostics.</w:t>
      </w:r>
    </w:p>
    <w:bookmarkEnd w:id="71"/>
    <w:bookmarkStart w:id="72" w:name="genome_window_sensitivity"/>
    <w:p>
      <w:pPr>
        <w:pStyle w:val="Heading4"/>
      </w:pPr>
      <w:r>
        <w:t xml:space="preserve">S5 File.</w:t>
      </w:r>
    </w:p>
    <w:p>
      <w:pPr>
        <w:pStyle w:val="FirstParagraph"/>
      </w:pPr>
      <w:r>
        <w:rPr>
          <w:b/>
          <w:bCs/>
        </w:rPr>
        <w:t xml:space="preserve">Sensitivity of results to choice of non-overlapping genome windows.</w:t>
      </w:r>
    </w:p>
    <w:bookmarkEnd w:id="72"/>
    <w:bookmarkStart w:id="74" w:name="s1-table."/>
    <w:p>
      <w:pPr>
        <w:pStyle w:val="Heading4"/>
      </w:pPr>
      <w:r>
        <w:t xml:space="preserve">S1 Table.</w:t>
      </w:r>
    </w:p>
    <w:p>
      <w:pPr>
        <w:pStyle w:val="FirstParagraph"/>
      </w:pPr>
      <w:bookmarkStart w:id="73" w:name="seq_tech_table"/>
      <w:bookmarkEnd w:id="73"/>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gridSpan w:val="2"/>
          </w:tcPr>
          <w:p>
            <w:pPr>
              <w:pStyle w:val="Compact"/>
              <w:jc w:val="center"/>
            </w:pPr>
            <w:r>
              <w:t xml:space="preserve">Participants</w:t>
            </w:r>
          </w:p>
        </w:tc>
      </w:tr>
      <w:tr>
        <w:tc>
          <w:tcPr/>
          <w:p>
            <w:pPr>
              <w:pStyle w:val="Compact"/>
              <w:jc w:val="left"/>
            </w:pPr>
            <w:r>
              <w:t xml:space="preserve">Survey round</w:t>
            </w:r>
          </w:p>
        </w:tc>
        <w:tc>
          <w:tcPr/>
          <w:p>
            <w:pPr>
              <w:pStyle w:val="Compact"/>
              <w:jc w:val="center"/>
            </w:pPr>
            <w:r>
              <w:t xml:space="preserve">amplicon (PANGEA1)</w:t>
            </w:r>
          </w:p>
        </w:tc>
        <w:tc>
          <w:tcPr/>
          <w:p>
            <w:pPr>
              <w:pStyle w:val="Compact"/>
              <w:jc w:val="center"/>
            </w:pPr>
            <w:r>
              <w:t xml:space="preserve">bait-capture (PANGEA2)</w:t>
            </w:r>
          </w:p>
        </w:tc>
      </w:tr>
      <w:tr>
        <w:tc>
          <w:tcPr/>
          <w:p>
            <w:pPr>
              <w:pStyle w:val="Compact"/>
              <w:jc w:val="left"/>
            </w:pPr>
            <w:r>
              <w:t xml:space="preserve">2010</w:t>
            </w:r>
          </w:p>
        </w:tc>
        <w:tc>
          <w:tcPr/>
          <w:p>
            <w:pPr>
              <w:pStyle w:val="Compact"/>
              <w:jc w:val="center"/>
            </w:pPr>
            <w:r>
              <w:t xml:space="preserve">0</w:t>
            </w:r>
          </w:p>
        </w:tc>
        <w:tc>
          <w:tcPr/>
          <w:p>
            <w:pPr>
              <w:pStyle w:val="Compact"/>
              <w:jc w:val="center"/>
            </w:pPr>
            <w:r>
              <w:t xml:space="preserve">16</w:t>
            </w:r>
          </w:p>
        </w:tc>
      </w:tr>
      <w:tr>
        <w:tc>
          <w:tcPr/>
          <w:p>
            <w:pPr>
              <w:pStyle w:val="Compact"/>
              <w:jc w:val="left"/>
            </w:pPr>
            <w:r>
              <w:t xml:space="preserve">2012</w:t>
            </w:r>
          </w:p>
        </w:tc>
        <w:tc>
          <w:tcPr/>
          <w:p>
            <w:pPr>
              <w:pStyle w:val="Compact"/>
              <w:jc w:val="center"/>
            </w:pPr>
            <w:r>
              <w:t xml:space="preserve">720</w:t>
            </w:r>
          </w:p>
        </w:tc>
        <w:tc>
          <w:tcPr/>
          <w:p>
            <w:pPr>
              <w:pStyle w:val="Compact"/>
              <w:jc w:val="center"/>
            </w:pPr>
            <w:r>
              <w:t xml:space="preserve">29</w:t>
            </w:r>
          </w:p>
        </w:tc>
      </w:tr>
      <w:tr>
        <w:tc>
          <w:tcPr/>
          <w:p>
            <w:pPr>
              <w:pStyle w:val="Compact"/>
              <w:jc w:val="left"/>
            </w:pPr>
            <w:r>
              <w:t xml:space="preserve">2014</w:t>
            </w:r>
          </w:p>
        </w:tc>
        <w:tc>
          <w:tcPr/>
          <w:p>
            <w:pPr>
              <w:pStyle w:val="Compact"/>
              <w:jc w:val="center"/>
            </w:pPr>
            <w:r>
              <w:t xml:space="preserve">296</w:t>
            </w:r>
          </w:p>
        </w:tc>
        <w:tc>
          <w:tcPr/>
          <w:p>
            <w:pPr>
              <w:pStyle w:val="Compact"/>
              <w:jc w:val="center"/>
            </w:pPr>
            <w:r>
              <w:t xml:space="preserve">50</w:t>
            </w:r>
          </w:p>
        </w:tc>
      </w:tr>
      <w:tr>
        <w:tc>
          <w:tcPr/>
          <w:p>
            <w:pPr>
              <w:pStyle w:val="Compact"/>
              <w:jc w:val="left"/>
            </w:pPr>
            <w:r>
              <w:t xml:space="preserve">2015</w:t>
            </w:r>
          </w:p>
        </w:tc>
        <w:tc>
          <w:tcPr/>
          <w:p>
            <w:pPr>
              <w:pStyle w:val="Compact"/>
              <w:jc w:val="center"/>
            </w:pPr>
            <w:r>
              <w:t xml:space="preserve">14</w:t>
            </w:r>
          </w:p>
        </w:tc>
        <w:tc>
          <w:tcPr/>
          <w:p>
            <w:pPr>
              <w:pStyle w:val="Compact"/>
              <w:jc w:val="center"/>
            </w:pPr>
            <w:r>
              <w:t xml:space="preserve">509</w:t>
            </w:r>
          </w:p>
        </w:tc>
      </w:tr>
      <w:tr>
        <w:tc>
          <w:tcPr/>
          <w:p>
            <w:pPr>
              <w:pStyle w:val="Compact"/>
              <w:jc w:val="left"/>
            </w:pPr>
            <w:r>
              <w:t xml:space="preserve">2017</w:t>
            </w:r>
          </w:p>
        </w:tc>
        <w:tc>
          <w:tcPr/>
          <w:p>
            <w:pPr>
              <w:pStyle w:val="Compact"/>
              <w:jc w:val="center"/>
            </w:pPr>
            <w:r>
              <w:t xml:space="preserve">0</w:t>
            </w:r>
          </w:p>
        </w:tc>
        <w:tc>
          <w:tcPr/>
          <w:p>
            <w:pPr>
              <w:pStyle w:val="Compact"/>
              <w:jc w:val="center"/>
            </w:pPr>
            <w:r>
              <w:t xml:space="preserve">328</w:t>
            </w:r>
          </w:p>
        </w:tc>
      </w:tr>
      <w:tr>
        <w:tc>
          <w:tcPr/>
          <w:p>
            <w:pPr>
              <w:pStyle w:val="Compact"/>
              <w:jc w:val="left"/>
            </w:pPr>
            <w:r>
              <w:t xml:space="preserve">2019</w:t>
            </w:r>
          </w:p>
        </w:tc>
        <w:tc>
          <w:tcPr/>
          <w:p>
            <w:pPr>
              <w:pStyle w:val="Compact"/>
              <w:jc w:val="center"/>
            </w:pPr>
            <w:r>
              <w:t xml:space="preserve">0</w:t>
            </w:r>
          </w:p>
        </w:tc>
        <w:tc>
          <w:tcPr/>
          <w:p>
            <w:pPr>
              <w:pStyle w:val="Compact"/>
              <w:jc w:val="center"/>
            </w:pPr>
            <w:r>
              <w:t xml:space="preserve">67</w:t>
            </w:r>
          </w:p>
        </w:tc>
      </w:tr>
    </w:tbl>
    <w:p>
      <w:pPr>
        <w:pStyle w:val="BodyText"/>
      </w:pPr>
      <w:r>
        <w:rPr>
          <w:b/>
          <w:bCs/>
        </w:rPr>
        <w:t xml:space="preserve">Count of participants sequenced using each sequencing protocol.</w:t>
      </w:r>
    </w:p>
    <w:bookmarkEnd w:id="74"/>
    <w:bookmarkStart w:id="76" w:name="s2-table."/>
    <w:p>
      <w:pPr>
        <w:pStyle w:val="Heading4"/>
      </w:pPr>
      <w:r>
        <w:t xml:space="preserve">S2 Table.</w:t>
      </w:r>
    </w:p>
    <w:p>
      <w:pPr>
        <w:pStyle w:val="FirstParagraph"/>
      </w:pPr>
      <w:bookmarkStart w:id="75" w:name="epi_table"/>
      <w:bookmarkEnd w:id="75"/>
    </w:p>
    <w:tbl>
      <w:tblPr>
        <w:tblStyle w:val="Table"/>
        <w:tblW w:type="auto" w:w="0"/>
        <w:tblLook w:firstRow="0" w:lastRow="0" w:firstColumn="0" w:lastColumn="0" w:noHBand="0" w:noVBand="0" w:val="0000"/>
      </w:tblPr>
      <w:tblGrid>
        <w:gridCol w:w="1980"/>
        <w:gridCol w:w="1980"/>
        <w:gridCol w:w="1980"/>
        <w:gridCol w:w="1980"/>
      </w:tblGrid>
      <w:tr>
        <w:tc>
          <w:tcPr/>
          <w:p>
            <w:pPr>
              <w:pStyle w:val="Compact"/>
            </w:pPr>
          </w:p>
        </w:tc>
        <w:tc>
          <w:tcPr>
            <w:gridSpan w:val="3"/>
          </w:tcPr>
          <w:p>
            <w:pPr>
              <w:pStyle w:val="Compact"/>
              <w:jc w:val="center"/>
            </w:pPr>
            <w:r>
              <w:t xml:space="preserve">Participants</w:t>
            </w:r>
          </w:p>
        </w:tc>
      </w:tr>
      <w:tr>
        <w:tc>
          <w:tcPr/>
          <w:p>
            <w:pPr>
              <w:pStyle w:val="Compact"/>
            </w:pPr>
          </w:p>
        </w:tc>
        <w:tc>
          <w:tcPr/>
          <w:p>
            <w:pPr>
              <w:pStyle w:val="Compact"/>
            </w:pPr>
          </w:p>
        </w:tc>
        <w:tc>
          <w:tcPr>
            <w:gridSpan w:val="2"/>
          </w:tcPr>
          <w:p>
            <w:pPr>
              <w:pStyle w:val="Compact"/>
              <w:jc w:val="center"/>
            </w:pPr>
            <w:r>
              <w:t xml:space="preserve">Living w/ HIV (%)</w:t>
            </w:r>
          </w:p>
        </w:tc>
      </w:tr>
      <w:tr>
        <w:tc>
          <w:tcPr/>
          <w:p>
            <w:pPr>
              <w:pStyle w:val="Compact"/>
            </w:pPr>
          </w:p>
        </w:tc>
        <w:tc>
          <w:tcPr/>
          <w:p>
            <w:pPr>
              <w:pStyle w:val="Compact"/>
              <w:jc w:val="center"/>
            </w:pPr>
            <w:r>
              <w:t xml:space="preserve">All</w:t>
            </w:r>
          </w:p>
        </w:tc>
        <w:tc>
          <w:tcPr/>
          <w:p>
            <w:pPr>
              <w:pStyle w:val="Compact"/>
              <w:jc w:val="center"/>
            </w:pPr>
            <m:oMath>
              <m:r>
                <m:t>n</m:t>
              </m:r>
            </m:oMath>
            <w:r>
              <w:t xml:space="preserve"> </w:t>
            </w:r>
            <w:r>
              <w:t xml:space="preserve">(%)</w:t>
            </w:r>
          </w:p>
        </w:tc>
        <w:tc>
          <w:tcPr/>
          <w:p>
            <w:pPr>
              <w:pStyle w:val="Compact"/>
              <w:jc w:val="center"/>
            </w:pPr>
            <w:r>
              <w:t xml:space="preserve">% of All</w:t>
            </w:r>
          </w:p>
        </w:tc>
      </w:tr>
      <w:tr>
        <w:tc>
          <w:tcPr/>
          <w:p>
            <w:pPr>
              <w:pStyle w:val="Compact"/>
              <w:jc w:val="left"/>
            </w:pPr>
            <w:r>
              <w:t xml:space="preserve">Overall</w:t>
            </w:r>
          </w:p>
        </w:tc>
        <w:tc>
          <w:tcPr/>
          <w:p>
            <w:pPr>
              <w:pStyle w:val="Compact"/>
              <w:jc w:val="center"/>
            </w:pPr>
            <w:r>
              <w:t xml:space="preserve">50,967</w:t>
            </w:r>
          </w:p>
        </w:tc>
        <w:tc>
          <w:tcPr/>
          <w:p>
            <w:pPr>
              <w:pStyle w:val="Compact"/>
              <w:jc w:val="center"/>
            </w:pPr>
            <w:r>
              <w:t xml:space="preserve">8,841</w:t>
            </w:r>
          </w:p>
        </w:tc>
        <w:tc>
          <w:tcPr/>
          <w:p>
            <w:pPr>
              <w:pStyle w:val="Compact"/>
              <w:jc w:val="center"/>
            </w:pPr>
            <w:r>
              <w:t xml:space="preserve">19,503</w:t>
            </w:r>
          </w:p>
        </w:tc>
      </w:tr>
      <w:tr>
        <w:tc>
          <w:tcPr/>
          <w:p>
            <w:pPr>
              <w:pStyle w:val="Compact"/>
              <w:jc w:val="left"/>
            </w:pPr>
            <w:r>
              <w:t xml:space="preserve">Survey Round</w:t>
            </w:r>
          </w:p>
        </w:tc>
        <w:tc>
          <w:tcPr/>
          <w:p>
            <w:pPr>
              <w:pStyle w:val="Compact"/>
            </w:pPr>
          </w:p>
        </w:tc>
        <w:tc>
          <w:tcPr/>
          <w:p>
            <w:pPr>
              <w:pStyle w:val="Compact"/>
            </w:pPr>
          </w:p>
        </w:tc>
        <w:tc>
          <w:tcPr/>
          <w:p>
            <w:pPr>
              <w:pStyle w:val="Compact"/>
            </w:pPr>
          </w:p>
        </w:tc>
      </w:tr>
      <w:tr>
        <w:tc>
          <w:tcPr/>
          <w:p>
            <w:pPr>
              <w:pStyle w:val="Compact"/>
              <w:jc w:val="left"/>
            </w:pPr>
            <w:r>
              <w:t xml:space="preserve">2010</w:t>
            </w:r>
          </w:p>
        </w:tc>
        <w:tc>
          <w:tcPr/>
          <w:p>
            <w:pPr>
              <w:pStyle w:val="Compact"/>
              <w:jc w:val="center"/>
            </w:pPr>
            <w:r>
              <w:t xml:space="preserve">15,663 (30.73%)</w:t>
            </w:r>
          </w:p>
        </w:tc>
        <w:tc>
          <w:tcPr/>
          <w:p>
            <w:pPr>
              <w:pStyle w:val="Compact"/>
              <w:jc w:val="center"/>
            </w:pPr>
            <w:r>
              <w:t xml:space="preserve">1,812 (21.72%)</w:t>
            </w:r>
          </w:p>
        </w:tc>
        <w:tc>
          <w:tcPr/>
          <w:p>
            <w:pPr>
              <w:pStyle w:val="Compact"/>
              <w:jc w:val="center"/>
            </w:pPr>
            <w:r>
              <w:t xml:space="preserve">11.57% (11.08% - 12.08%)</w:t>
            </w:r>
          </w:p>
        </w:tc>
      </w:tr>
      <w:tr>
        <w:tc>
          <w:tcPr/>
          <w:p>
            <w:pPr>
              <w:pStyle w:val="Compact"/>
              <w:jc w:val="left"/>
            </w:pPr>
            <w:r>
              <w:t xml:space="preserve">2012</w:t>
            </w:r>
          </w:p>
        </w:tc>
        <w:tc>
          <w:tcPr/>
          <w:p>
            <w:pPr>
              <w:pStyle w:val="Compact"/>
              <w:jc w:val="center"/>
            </w:pPr>
            <w:r>
              <w:t xml:space="preserve">9,985 (19.59%)</w:t>
            </w:r>
          </w:p>
        </w:tc>
        <w:tc>
          <w:tcPr/>
          <w:p>
            <w:pPr>
              <w:pStyle w:val="Compact"/>
              <w:jc w:val="center"/>
            </w:pPr>
            <w:r>
              <w:t xml:space="preserve">2,202 (26.4%)</w:t>
            </w:r>
          </w:p>
        </w:tc>
        <w:tc>
          <w:tcPr/>
          <w:p>
            <w:pPr>
              <w:pStyle w:val="Compact"/>
              <w:jc w:val="center"/>
            </w:pPr>
            <w:r>
              <w:t xml:space="preserve">22.05% (21.25% - 22.88%)</w:t>
            </w:r>
          </w:p>
        </w:tc>
      </w:tr>
      <w:tr>
        <w:tc>
          <w:tcPr/>
          <w:p>
            <w:pPr>
              <w:pStyle w:val="Compact"/>
              <w:jc w:val="left"/>
            </w:pPr>
            <w:r>
              <w:t xml:space="preserve">2014</w:t>
            </w:r>
          </w:p>
        </w:tc>
        <w:tc>
          <w:tcPr/>
          <w:p>
            <w:pPr>
              <w:pStyle w:val="Compact"/>
              <w:jc w:val="center"/>
            </w:pPr>
            <w:r>
              <w:t xml:space="preserve">7,032 (13.8%)</w:t>
            </w:r>
          </w:p>
        </w:tc>
        <w:tc>
          <w:tcPr/>
          <w:p>
            <w:pPr>
              <w:pStyle w:val="Compact"/>
              <w:jc w:val="center"/>
            </w:pPr>
            <w:r>
              <w:t xml:space="preserve">1,170 (14.03%)</w:t>
            </w:r>
          </w:p>
        </w:tc>
        <w:tc>
          <w:tcPr/>
          <w:p>
            <w:pPr>
              <w:pStyle w:val="Compact"/>
              <w:jc w:val="center"/>
            </w:pPr>
            <w:r>
              <w:t xml:space="preserve">16.64% (15.79% - 17.53%)</w:t>
            </w:r>
          </w:p>
        </w:tc>
      </w:tr>
      <w:tr>
        <w:tc>
          <w:tcPr/>
          <w:p>
            <w:pPr>
              <w:pStyle w:val="Compact"/>
              <w:jc w:val="left"/>
            </w:pPr>
            <w:r>
              <w:t xml:space="preserve">2015</w:t>
            </w:r>
          </w:p>
        </w:tc>
        <w:tc>
          <w:tcPr/>
          <w:p>
            <w:pPr>
              <w:pStyle w:val="Compact"/>
              <w:jc w:val="center"/>
            </w:pPr>
            <w:r>
              <w:t xml:space="preserve">6,364 (12.49%)</w:t>
            </w:r>
          </w:p>
        </w:tc>
        <w:tc>
          <w:tcPr/>
          <w:p>
            <w:pPr>
              <w:pStyle w:val="Compact"/>
              <w:jc w:val="center"/>
            </w:pPr>
            <w:r>
              <w:t xml:space="preserve">1,292 (15.49%)</w:t>
            </w:r>
          </w:p>
        </w:tc>
        <w:tc>
          <w:tcPr/>
          <w:p>
            <w:pPr>
              <w:pStyle w:val="Compact"/>
              <w:jc w:val="center"/>
            </w:pPr>
            <w:r>
              <w:t xml:space="preserve">20.3% (19.33% - 21.31%)</w:t>
            </w:r>
          </w:p>
        </w:tc>
      </w:tr>
      <w:tr>
        <w:tc>
          <w:tcPr/>
          <w:p>
            <w:pPr>
              <w:pStyle w:val="Compact"/>
              <w:jc w:val="left"/>
            </w:pPr>
            <w:r>
              <w:t xml:space="preserve">2017</w:t>
            </w:r>
          </w:p>
        </w:tc>
        <w:tc>
          <w:tcPr/>
          <w:p>
            <w:pPr>
              <w:pStyle w:val="Compact"/>
              <w:jc w:val="center"/>
            </w:pPr>
            <w:r>
              <w:t xml:space="preserve">6,158 (12.08%)</w:t>
            </w:r>
          </w:p>
        </w:tc>
        <w:tc>
          <w:tcPr/>
          <w:p>
            <w:pPr>
              <w:pStyle w:val="Compact"/>
              <w:jc w:val="center"/>
            </w:pPr>
            <w:r>
              <w:t xml:space="preserve">1,080 (12.95%)</w:t>
            </w:r>
          </w:p>
        </w:tc>
        <w:tc>
          <w:tcPr/>
          <w:p>
            <w:pPr>
              <w:pStyle w:val="Compact"/>
              <w:jc w:val="center"/>
            </w:pPr>
            <w:r>
              <w:t xml:space="preserve">17.54% (16.61% - 18.51%)</w:t>
            </w:r>
          </w:p>
        </w:tc>
      </w:tr>
      <w:tr>
        <w:tc>
          <w:tcPr/>
          <w:p>
            <w:pPr>
              <w:pStyle w:val="Compact"/>
              <w:jc w:val="left"/>
            </w:pPr>
            <w:r>
              <w:t xml:space="preserve">2019</w:t>
            </w:r>
          </w:p>
        </w:tc>
        <w:tc>
          <w:tcPr/>
          <w:p>
            <w:pPr>
              <w:pStyle w:val="Compact"/>
              <w:jc w:val="center"/>
            </w:pPr>
            <w:r>
              <w:t xml:space="preserve">5,765 (11.31%)</w:t>
            </w:r>
          </w:p>
        </w:tc>
        <w:tc>
          <w:tcPr/>
          <w:p>
            <w:pPr>
              <w:pStyle w:val="Compact"/>
              <w:jc w:val="center"/>
            </w:pPr>
            <w:r>
              <w:t xml:space="preserve">786 (9.42%)</w:t>
            </w:r>
          </w:p>
        </w:tc>
        <w:tc>
          <w:tcPr/>
          <w:p>
            <w:pPr>
              <w:pStyle w:val="Compact"/>
              <w:jc w:val="center"/>
            </w:pPr>
            <w:r>
              <w:t xml:space="preserve">13.63% (12.77% - 14.54%)</w:t>
            </w:r>
          </w:p>
        </w:tc>
      </w:tr>
      <w:tr>
        <w:tc>
          <w:tcPr/>
          <w:p>
            <w:pPr>
              <w:pStyle w:val="Compact"/>
              <w:jc w:val="left"/>
            </w:pPr>
            <w:r>
              <w:t xml:space="preserve">Sex</w:t>
            </w:r>
          </w:p>
        </w:tc>
        <w:tc>
          <w:tcPr/>
          <w:p>
            <w:pPr>
              <w:pStyle w:val="Compact"/>
            </w:pPr>
          </w:p>
        </w:tc>
        <w:tc>
          <w:tcPr/>
          <w:p>
            <w:pPr>
              <w:pStyle w:val="Compact"/>
            </w:pPr>
          </w:p>
        </w:tc>
        <w:tc>
          <w:tcPr/>
          <w:p>
            <w:pPr>
              <w:pStyle w:val="Compact"/>
            </w:pPr>
          </w:p>
        </w:tc>
      </w:tr>
      <w:tr>
        <w:tc>
          <w:tcPr/>
          <w:p>
            <w:pPr>
              <w:pStyle w:val="Compact"/>
              <w:jc w:val="left"/>
            </w:pPr>
            <w:r>
              <w:t xml:space="preserve">Female</w:t>
            </w:r>
          </w:p>
        </w:tc>
        <w:tc>
          <w:tcPr/>
          <w:p>
            <w:pPr>
              <w:pStyle w:val="Compact"/>
              <w:jc w:val="center"/>
            </w:pPr>
            <w:r>
              <w:t xml:space="preserve">27,621 (54.19%)</w:t>
            </w:r>
          </w:p>
        </w:tc>
        <w:tc>
          <w:tcPr/>
          <w:p>
            <w:pPr>
              <w:pStyle w:val="Compact"/>
              <w:jc w:val="center"/>
            </w:pPr>
            <w:r>
              <w:t xml:space="preserve">5,315 (63.71%)</w:t>
            </w:r>
          </w:p>
        </w:tc>
        <w:tc>
          <w:tcPr/>
          <w:p>
            <w:pPr>
              <w:pStyle w:val="Compact"/>
              <w:jc w:val="center"/>
            </w:pPr>
            <w:r>
              <w:t xml:space="preserve">19.24% (18.78% - 19.71%)</w:t>
            </w:r>
          </w:p>
        </w:tc>
      </w:tr>
      <w:tr>
        <w:tc>
          <w:tcPr/>
          <w:p>
            <w:pPr>
              <w:pStyle w:val="Compact"/>
              <w:jc w:val="left"/>
            </w:pPr>
            <w:r>
              <w:t xml:space="preserve">Male</w:t>
            </w:r>
          </w:p>
        </w:tc>
        <w:tc>
          <w:tcPr/>
          <w:p>
            <w:pPr>
              <w:pStyle w:val="Compact"/>
              <w:jc w:val="center"/>
            </w:pPr>
            <w:r>
              <w:t xml:space="preserve">23,346 (45.81%)</w:t>
            </w:r>
          </w:p>
        </w:tc>
        <w:tc>
          <w:tcPr/>
          <w:p>
            <w:pPr>
              <w:pStyle w:val="Compact"/>
              <w:jc w:val="center"/>
            </w:pPr>
            <w:r>
              <w:t xml:space="preserve">3,027 (36.29%)</w:t>
            </w:r>
          </w:p>
        </w:tc>
        <w:tc>
          <w:tcPr/>
          <w:p>
            <w:pPr>
              <w:pStyle w:val="Compact"/>
              <w:jc w:val="center"/>
            </w:pPr>
            <w:r>
              <w:t xml:space="preserve">12.97% (12.54% - 13.4%)</w:t>
            </w:r>
          </w:p>
        </w:tc>
      </w:tr>
      <w:tr>
        <w:tc>
          <w:tcPr/>
          <w:p>
            <w:pPr>
              <w:pStyle w:val="Compact"/>
              <w:jc w:val="left"/>
            </w:pPr>
            <w:r>
              <w:t xml:space="preserve">Commiunity type</w:t>
            </w:r>
          </w:p>
        </w:tc>
        <w:tc>
          <w:tcPr/>
          <w:p>
            <w:pPr>
              <w:pStyle w:val="Compact"/>
            </w:pPr>
          </w:p>
        </w:tc>
        <w:tc>
          <w:tcPr/>
          <w:p>
            <w:pPr>
              <w:pStyle w:val="Compact"/>
            </w:pPr>
          </w:p>
        </w:tc>
        <w:tc>
          <w:tcPr/>
          <w:p>
            <w:pPr>
              <w:pStyle w:val="Compact"/>
            </w:pPr>
          </w:p>
        </w:tc>
      </w:tr>
      <w:tr>
        <w:tc>
          <w:tcPr/>
          <w:p>
            <w:pPr>
              <w:pStyle w:val="Compact"/>
              <w:jc w:val="left"/>
            </w:pPr>
            <w:r>
              <w:t xml:space="preserve">Inland</w:t>
            </w:r>
          </w:p>
        </w:tc>
        <w:tc>
          <w:tcPr/>
          <w:p>
            <w:pPr>
              <w:pStyle w:val="Compact"/>
              <w:jc w:val="center"/>
            </w:pPr>
            <w:r>
              <w:t xml:space="preserve">41,508 (81.44%)</w:t>
            </w:r>
          </w:p>
        </w:tc>
        <w:tc>
          <w:tcPr/>
          <w:p>
            <w:pPr>
              <w:pStyle w:val="Compact"/>
              <w:jc w:val="center"/>
            </w:pPr>
            <w:r>
              <w:t xml:space="preserve">4,974 (59.63%)</w:t>
            </w:r>
          </w:p>
        </w:tc>
        <w:tc>
          <w:tcPr/>
          <w:p>
            <w:pPr>
              <w:pStyle w:val="Compact"/>
              <w:jc w:val="center"/>
            </w:pPr>
            <w:r>
              <w:t xml:space="preserve">11.98% (11.67% - 12.3%)</w:t>
            </w:r>
          </w:p>
        </w:tc>
      </w:tr>
      <w:tr>
        <w:tc>
          <w:tcPr/>
          <w:p>
            <w:pPr>
              <w:pStyle w:val="Compact"/>
              <w:jc w:val="left"/>
            </w:pPr>
            <w:r>
              <w:t xml:space="preserve">Fishing</w:t>
            </w:r>
          </w:p>
        </w:tc>
        <w:tc>
          <w:tcPr/>
          <w:p>
            <w:pPr>
              <w:pStyle w:val="Compact"/>
              <w:jc w:val="center"/>
            </w:pPr>
            <w:r>
              <w:t xml:space="preserve">9,459 (18.56%)</w:t>
            </w:r>
          </w:p>
        </w:tc>
        <w:tc>
          <w:tcPr/>
          <w:p>
            <w:pPr>
              <w:pStyle w:val="Compact"/>
              <w:jc w:val="center"/>
            </w:pPr>
            <w:r>
              <w:t xml:space="preserve">3,368 (40.37%)</w:t>
            </w:r>
          </w:p>
        </w:tc>
        <w:tc>
          <w:tcPr/>
          <w:p>
            <w:pPr>
              <w:pStyle w:val="Compact"/>
              <w:jc w:val="center"/>
            </w:pPr>
            <w:r>
              <w:t xml:space="preserve">35.61% (34.65% - 36.58%)</w:t>
            </w:r>
          </w:p>
        </w:tc>
      </w:tr>
      <w:tr>
        <w:tc>
          <w:tcPr/>
          <w:p>
            <w:pPr>
              <w:pStyle w:val="Compact"/>
              <w:jc w:val="left"/>
            </w:pPr>
            <w:r>
              <w:t xml:space="preserve">Age</w:t>
            </w:r>
          </w:p>
        </w:tc>
        <w:tc>
          <w:tcPr/>
          <w:p>
            <w:pPr>
              <w:pStyle w:val="Compact"/>
            </w:pPr>
          </w:p>
        </w:tc>
        <w:tc>
          <w:tcPr/>
          <w:p>
            <w:pPr>
              <w:pStyle w:val="Compact"/>
            </w:pPr>
          </w:p>
        </w:tc>
        <w:tc>
          <w:tcPr/>
          <w:p>
            <w:pPr>
              <w:pStyle w:val="Compact"/>
            </w:pPr>
          </w:p>
        </w:tc>
      </w:tr>
      <w:tr>
        <w:tc>
          <w:tcPr/>
          <w:p>
            <w:pPr>
              <w:pStyle w:val="Compact"/>
              <w:jc w:val="left"/>
            </w:pPr>
            <w:r>
              <w:t xml:space="preserve">(14, 24]</w:t>
            </w:r>
          </w:p>
        </w:tc>
        <w:tc>
          <w:tcPr/>
          <w:p>
            <w:pPr>
              <w:pStyle w:val="Compact"/>
              <w:jc w:val="center"/>
            </w:pPr>
            <w:r>
              <w:t xml:space="preserve">24,356 (47.79%)</w:t>
            </w:r>
          </w:p>
        </w:tc>
        <w:tc>
          <w:tcPr/>
          <w:p>
            <w:pPr>
              <w:pStyle w:val="Compact"/>
              <w:jc w:val="center"/>
            </w:pPr>
            <w:r>
              <w:t xml:space="preserve">1,472 (17.65%)</w:t>
            </w:r>
          </w:p>
        </w:tc>
        <w:tc>
          <w:tcPr/>
          <w:p>
            <w:pPr>
              <w:pStyle w:val="Compact"/>
              <w:jc w:val="center"/>
            </w:pPr>
            <w:r>
              <w:t xml:space="preserve">6.04% (5.75% - 6.35%)</w:t>
            </w:r>
          </w:p>
        </w:tc>
      </w:tr>
      <w:tr>
        <w:tc>
          <w:tcPr/>
          <w:p>
            <w:pPr>
              <w:pStyle w:val="Compact"/>
              <w:jc w:val="left"/>
            </w:pPr>
            <w:r>
              <w:t xml:space="preserve">(24, 34]</w:t>
            </w:r>
          </w:p>
        </w:tc>
        <w:tc>
          <w:tcPr/>
          <w:p>
            <w:pPr>
              <w:pStyle w:val="Compact"/>
              <w:jc w:val="center"/>
            </w:pPr>
            <w:r>
              <w:t xml:space="preserve">24,356 (31.38%)</w:t>
            </w:r>
          </w:p>
        </w:tc>
        <w:tc>
          <w:tcPr/>
          <w:p>
            <w:pPr>
              <w:pStyle w:val="Compact"/>
              <w:jc w:val="center"/>
            </w:pPr>
            <w:r>
              <w:t xml:space="preserve">3,875 (46.45%)</w:t>
            </w:r>
          </w:p>
        </w:tc>
        <w:tc>
          <w:tcPr/>
          <w:p>
            <w:pPr>
              <w:pStyle w:val="Compact"/>
              <w:jc w:val="center"/>
            </w:pPr>
            <w:r>
              <w:t xml:space="preserve">24.23% (23.57% - 24.9%)</w:t>
            </w:r>
          </w:p>
        </w:tc>
      </w:tr>
      <w:tr>
        <w:tc>
          <w:tcPr/>
          <w:p>
            <w:pPr>
              <w:pStyle w:val="Compact"/>
              <w:jc w:val="left"/>
            </w:pPr>
            <w:r>
              <w:t xml:space="preserve">(34, 49]</w:t>
            </w:r>
          </w:p>
        </w:tc>
        <w:tc>
          <w:tcPr/>
          <w:p>
            <w:pPr>
              <w:pStyle w:val="Compact"/>
              <w:jc w:val="center"/>
            </w:pPr>
            <w:r>
              <w:t xml:space="preserve">10,616 (20.83%)</w:t>
            </w:r>
          </w:p>
        </w:tc>
        <w:tc>
          <w:tcPr/>
          <w:p>
            <w:pPr>
              <w:pStyle w:val="Compact"/>
              <w:jc w:val="center"/>
            </w:pPr>
            <w:r>
              <w:t xml:space="preserve">2,995 (35.9%)</w:t>
            </w:r>
          </w:p>
        </w:tc>
        <w:tc>
          <w:tcPr/>
          <w:p>
            <w:pPr>
              <w:pStyle w:val="Compact"/>
              <w:jc w:val="center"/>
            </w:pPr>
            <w:r>
              <w:t xml:space="preserve">28.21% (27.36% - 29.08%)</w:t>
            </w:r>
          </w:p>
        </w:tc>
      </w:tr>
    </w:tbl>
    <w:p>
      <w:pPr>
        <w:pStyle w:val="BodyText"/>
      </w:pPr>
      <w:r>
        <w:rPr>
          <w:b/>
          <w:bCs/>
        </w:rPr>
        <w:t xml:space="preserve">Characteristics of Rakai Community Cohort Study participant, -.</w:t>
      </w:r>
      <w:r>
        <w:t xml:space="preserve"> </w:t>
      </w:r>
      <w:r>
        <w:t xml:space="preserve">For each participant, includes data from the participant-visit processed with PHSC if applicable or the participant-visit with the highest viral load, using the first visit in the case of ties or for people not living with HIV. Percentages represent the row percentages within each category. Binomial confidence intervals were calculated using the Agresti–Coull method. PHSC = phyloscanner.</w:t>
      </w:r>
      <w:r>
        <w:t xml:space="preserve"> </w:t>
      </w:r>
    </w:p>
    <w:bookmarkEnd w:id="76"/>
    <w:bookmarkStart w:id="78" w:name="s3-table."/>
    <w:p>
      <w:pPr>
        <w:pStyle w:val="Heading4"/>
      </w:pPr>
      <w:r>
        <w:t xml:space="preserve">S3 Table.</w:t>
      </w:r>
    </w:p>
    <w:p>
      <w:pPr>
        <w:pStyle w:val="FirstParagraph"/>
      </w:pPr>
      <w:bookmarkStart w:id="77" w:name="missing_data_table"/>
      <w:bookmarkEnd w:id="77"/>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gridSpan w:val="2"/>
          </w:tcPr>
          <w:p>
            <w:pPr>
              <w:pStyle w:val="Compact"/>
              <w:jc w:val="center"/>
            </w:pPr>
            <w:r>
              <w:t xml:space="preserve">Participant-visits with missing data (%)</w:t>
            </w:r>
          </w:p>
        </w:tc>
      </w:tr>
      <w:tr>
        <w:tc>
          <w:tcPr/>
          <w:p>
            <w:pPr>
              <w:pStyle w:val="Compact"/>
              <w:jc w:val="left"/>
            </w:pPr>
            <w:r>
              <w:t xml:space="preserve">Variable</w:t>
            </w:r>
          </w:p>
        </w:tc>
        <w:tc>
          <w:tcPr/>
          <w:p>
            <w:pPr>
              <w:pStyle w:val="Compact"/>
              <w:jc w:val="center"/>
            </w:pPr>
            <w:r>
              <w:t xml:space="preserve">All (%)</w:t>
            </w:r>
          </w:p>
        </w:tc>
        <w:tc>
          <w:tcPr/>
          <w:p>
            <w:pPr>
              <w:pStyle w:val="Compact"/>
              <w:jc w:val="center"/>
            </w:pPr>
            <w:r>
              <w:t xml:space="preserve">Viremic &amp; Processed w PHSC (%)</w:t>
            </w:r>
          </w:p>
        </w:tc>
      </w:tr>
      <w:tr>
        <w:tc>
          <w:tcPr/>
          <w:p>
            <w:pPr>
              <w:pStyle w:val="Compact"/>
              <w:jc w:val="left"/>
            </w:pPr>
            <w:r>
              <w:t xml:space="preserve">HIV serostatus</w:t>
            </w:r>
          </w:p>
        </w:tc>
        <w:tc>
          <w:tcPr/>
          <w:p>
            <w:pPr>
              <w:pStyle w:val="Compact"/>
              <w:jc w:val="center"/>
            </w:pPr>
            <w:r>
              <w:t xml:space="preserve">104 (0.2%)</w:t>
            </w:r>
          </w:p>
        </w:tc>
        <w:tc>
          <w:tcPr/>
          <w:p>
            <w:pPr>
              <w:pStyle w:val="Compact"/>
              <w:jc w:val="center"/>
            </w:pPr>
            <w:r>
              <w:t xml:space="preserve">0 (0%)</w:t>
            </w:r>
          </w:p>
        </w:tc>
      </w:tr>
      <w:tr>
        <w:tc>
          <w:tcPr/>
          <w:p>
            <w:pPr>
              <w:pStyle w:val="Compact"/>
              <w:jc w:val="left"/>
            </w:pPr>
            <w:r>
              <w:t xml:space="preserve">Sex</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Age</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Circumcision</w:t>
            </w:r>
          </w:p>
        </w:tc>
        <w:tc>
          <w:tcPr/>
          <w:p>
            <w:pPr>
              <w:pStyle w:val="Compact"/>
              <w:jc w:val="center"/>
            </w:pPr>
            <w:r>
              <w:t xml:space="preserve">5791 (11.36%)</w:t>
            </w:r>
          </w:p>
        </w:tc>
        <w:tc>
          <w:tcPr/>
          <w:p>
            <w:pPr>
              <w:pStyle w:val="Compact"/>
              <w:jc w:val="center"/>
            </w:pPr>
            <w:r>
              <w:t xml:space="preserve">54 (2.66%)</w:t>
            </w:r>
          </w:p>
        </w:tc>
      </w:tr>
      <w:tr>
        <w:tc>
          <w:tcPr/>
          <w:p>
            <w:pPr>
              <w:pStyle w:val="Compact"/>
              <w:jc w:val="left"/>
            </w:pPr>
            <w:r>
              <w:t xml:space="preserve">Community type</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Married</w:t>
            </w:r>
          </w:p>
        </w:tc>
        <w:tc>
          <w:tcPr/>
          <w:p>
            <w:pPr>
              <w:pStyle w:val="Compact"/>
              <w:jc w:val="center"/>
            </w:pPr>
            <w:r>
              <w:t xml:space="preserve">7 (0.01%)</w:t>
            </w:r>
          </w:p>
        </w:tc>
        <w:tc>
          <w:tcPr/>
          <w:p>
            <w:pPr>
              <w:pStyle w:val="Compact"/>
              <w:jc w:val="center"/>
            </w:pPr>
            <w:r>
              <w:t xml:space="preserve">0 (0%)</w:t>
            </w:r>
          </w:p>
        </w:tc>
      </w:tr>
      <w:tr>
        <w:tc>
          <w:tcPr/>
          <w:p>
            <w:pPr>
              <w:pStyle w:val="Compact"/>
              <w:jc w:val="left"/>
            </w:pPr>
            <w:r>
              <w:t xml:space="preserve">Lifetime sex partners</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In-migrant</w:t>
            </w:r>
          </w:p>
        </w:tc>
        <w:tc>
          <w:tcPr/>
          <w:p>
            <w:pPr>
              <w:pStyle w:val="Compact"/>
              <w:jc w:val="center"/>
            </w:pPr>
            <w:r>
              <w:t xml:space="preserve">179 (0.35%)</w:t>
            </w:r>
          </w:p>
        </w:tc>
        <w:tc>
          <w:tcPr/>
          <w:p>
            <w:pPr>
              <w:pStyle w:val="Compact"/>
              <w:jc w:val="center"/>
            </w:pPr>
            <w:r>
              <w:t xml:space="preserve">5 (0.25%)</w:t>
            </w:r>
          </w:p>
        </w:tc>
      </w:tr>
      <w:tr>
        <w:tc>
          <w:tcPr/>
          <w:p>
            <w:pPr>
              <w:pStyle w:val="Compact"/>
              <w:jc w:val="left"/>
            </w:pPr>
            <w:r>
              <w:t xml:space="preserve">Sex &amp; bar/restaurant work</w:t>
            </w:r>
          </w:p>
        </w:tc>
        <w:tc>
          <w:tcPr/>
          <w:p>
            <w:pPr>
              <w:pStyle w:val="Compact"/>
              <w:jc w:val="center"/>
            </w:pPr>
            <w:r>
              <w:t xml:space="preserve">27 (0.05%)</w:t>
            </w:r>
          </w:p>
        </w:tc>
        <w:tc>
          <w:tcPr/>
          <w:p>
            <w:pPr>
              <w:pStyle w:val="Compact"/>
              <w:jc w:val="center"/>
            </w:pPr>
            <w:r>
              <w:t xml:space="preserve">0 (0%)</w:t>
            </w:r>
          </w:p>
        </w:tc>
      </w:tr>
    </w:tbl>
    <w:p>
      <w:pPr>
        <w:pStyle w:val="BodyText"/>
      </w:pPr>
      <w:r>
        <w:rPr>
          <w:b/>
          <w:bCs/>
        </w:rPr>
        <w:t xml:space="preserve">Count of missing values among 50,967 RCCS participants</w:t>
      </w:r>
      <w:r>
        <w:t xml:space="preserve">. For each participant,</w:t>
      </w:r>
      <w:r>
        <w:t xml:space="preserve"> </w:t>
      </w:r>
      <w:r>
        <w:t xml:space="preserve">includes data from the participant-visit processed with PHSC if applicable or the participant-visit with the</w:t>
      </w:r>
      <w:r>
        <w:t xml:space="preserve"> </w:t>
      </w:r>
      <w:r>
        <w:t xml:space="preserve">highest viral load, using the first visit in the case of ties or for people not living with HIV. In each category the percentage represents the percentage of all participants or all participants that were viremic and processed with PHSC.</w:t>
      </w:r>
    </w:p>
    <w:bookmarkEnd w:id="78"/>
    <w:bookmarkStart w:id="80" w:name="s4-table."/>
    <w:p>
      <w:pPr>
        <w:pStyle w:val="Heading4"/>
      </w:pPr>
      <w:r>
        <w:t xml:space="preserve">S4 Table.</w:t>
      </w:r>
    </w:p>
    <w:p>
      <w:pPr>
        <w:pStyle w:val="FirstParagraph"/>
      </w:pPr>
      <w:bookmarkStart w:id="79" w:name="base_simulation_base_table"/>
      <w:bookmarkEnd w:id="79"/>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1.99</w:t>
            </w:r>
            <w:r>
              <w:t xml:space="preserve"> </w:t>
            </w:r>
            <w:r>
              <w:t xml:space="preserve">(1.93, 2.05)</w:t>
            </w:r>
          </w:p>
        </w:tc>
        <w:tc>
          <w:tcPr/>
          <w:p>
            <w:pPr>
              <w:pStyle w:val="Compact"/>
              <w:jc w:val="center"/>
            </w:pPr>
            <w:r>
              <w:t xml:space="preserve">2185.95</w:t>
            </w:r>
          </w:p>
        </w:tc>
        <w:tc>
          <w:tcPr/>
          <w:p>
            <w:pPr>
              <w:pStyle w:val="Compact"/>
              <w:jc w:val="center"/>
            </w:pPr>
            <w:r>
              <w:t xml:space="preserve">3748.22</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2.02</w:t>
            </w:r>
            <w:r>
              <w:t xml:space="preserve"> </w:t>
            </w:r>
            <w:r>
              <w:t xml:space="preserve">(1.95, 2.1)</w:t>
            </w:r>
          </w:p>
        </w:tc>
        <w:tc>
          <w:tcPr/>
          <w:p>
            <w:pPr>
              <w:pStyle w:val="Compact"/>
              <w:jc w:val="center"/>
            </w:pPr>
            <w:r>
              <w:t xml:space="preserve">2506.19</w:t>
            </w:r>
          </w:p>
        </w:tc>
        <w:tc>
          <w:tcPr/>
          <w:p>
            <w:pPr>
              <w:pStyle w:val="Compact"/>
              <w:jc w:val="center"/>
            </w:pPr>
            <w:r>
              <w:t xml:space="preserve">3379.78</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1</w:t>
            </w:r>
            <w:r>
              <w:t xml:space="preserve"> </w:t>
            </w:r>
            <w:r>
              <w:t xml:space="preserve">(0.95, 1.05)</w:t>
            </w:r>
          </w:p>
        </w:tc>
        <w:tc>
          <w:tcPr/>
          <w:p>
            <w:pPr>
              <w:pStyle w:val="Compact"/>
              <w:jc w:val="center"/>
            </w:pPr>
            <w:r>
              <w:t xml:space="preserve">2619.47</w:t>
            </w:r>
          </w:p>
        </w:tc>
        <w:tc>
          <w:tcPr/>
          <w:p>
            <w:pPr>
              <w:pStyle w:val="Compact"/>
              <w:jc w:val="center"/>
            </w:pPr>
            <w:r>
              <w:t xml:space="preserve">5233.23</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-2.92</w:t>
            </w:r>
            <w:r>
              <w:t xml:space="preserve"> </w:t>
            </w:r>
            <w:r>
              <w:t xml:space="preserve">(-3.13, -2.72)</w:t>
            </w:r>
          </w:p>
        </w:tc>
        <w:tc>
          <w:tcPr/>
          <w:p>
            <w:pPr>
              <w:pStyle w:val="Compact"/>
              <w:jc w:val="center"/>
            </w:pPr>
            <w:r>
              <w:t xml:space="preserve">8235.07</w:t>
            </w:r>
          </w:p>
        </w:tc>
        <w:tc>
          <w:tcPr/>
          <w:p>
            <w:pPr>
              <w:pStyle w:val="Compact"/>
              <w:jc w:val="center"/>
            </w:pPr>
            <w:r>
              <w:t xml:space="preserve">4912.29</w:t>
            </w:r>
          </w:p>
        </w:tc>
        <w:tc>
          <w:tcPr/>
          <w:p>
            <w:pPr>
              <w:pStyle w:val="Compact"/>
              <w:jc w:val="center"/>
            </w:pPr>
            <w:r>
              <w:t xml:space="preserve">1</w:t>
            </w:r>
          </w:p>
        </w:tc>
      </w:tr>
    </w:tbl>
    <w:p>
      <w:pPr>
        <w:pStyle w:val="BodyText"/>
      </w:pPr>
      <w:r>
        <w:rPr>
          <w:b/>
          <w:bCs/>
        </w:rPr>
        <w:t xml:space="preserve">Parameter estimates for base model fit to base simulated data.</w:t>
      </w:r>
      <w:r>
        <w:t xml:space="preserve"> </w:t>
      </w:r>
      <w:r>
        <w:t xml:space="preserve">ESS = effective sample size. HPD = highest posterior density.</w:t>
      </w:r>
    </w:p>
    <w:bookmarkEnd w:id="80"/>
    <w:bookmarkStart w:id="82" w:name="s5-table."/>
    <w:p>
      <w:pPr>
        <w:pStyle w:val="Heading4"/>
      </w:pPr>
      <w:r>
        <w:t xml:space="preserve">S5 Table.</w:t>
      </w:r>
    </w:p>
    <w:p>
      <w:pPr>
        <w:pStyle w:val="FirstParagraph"/>
      </w:pPr>
      <w:bookmarkStart w:id="81" w:name="full_simulation_base_table"/>
      <w:bookmarkEnd w:id="81"/>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1.2</w:t>
            </w:r>
            <w:r>
              <w:t xml:space="preserve"> </w:t>
            </w:r>
            <w:r>
              <w:t xml:space="preserve">(1.13, 1.28)</w:t>
            </w:r>
          </w:p>
        </w:tc>
        <w:tc>
          <w:tcPr/>
          <w:p>
            <w:pPr>
              <w:pStyle w:val="Compact"/>
              <w:jc w:val="center"/>
            </w:pPr>
            <w:r>
              <w:t xml:space="preserve">1236.21</w:t>
            </w:r>
          </w:p>
        </w:tc>
        <w:tc>
          <w:tcPr/>
          <w:p>
            <w:pPr>
              <w:pStyle w:val="Compact"/>
              <w:jc w:val="center"/>
            </w:pPr>
            <w:r>
              <w:t xml:space="preserve">2393.59</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1.39</w:t>
            </w:r>
            <w:r>
              <w:t xml:space="preserve"> </w:t>
            </w:r>
            <w:r>
              <w:t xml:space="preserve">(1.3, 1.46)</w:t>
            </w:r>
          </w:p>
        </w:tc>
        <w:tc>
          <w:tcPr/>
          <w:p>
            <w:pPr>
              <w:pStyle w:val="Compact"/>
              <w:jc w:val="center"/>
            </w:pPr>
            <w:r>
              <w:t xml:space="preserve">1321.8</w:t>
            </w:r>
          </w:p>
        </w:tc>
        <w:tc>
          <w:tcPr/>
          <w:p>
            <w:pPr>
              <w:pStyle w:val="Compact"/>
              <w:jc w:val="center"/>
            </w:pPr>
            <w:r>
              <w:t xml:space="preserve">2523.37</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1.51</w:t>
            </w:r>
            <w:r>
              <w:t xml:space="preserve"> </w:t>
            </w:r>
            <w:r>
              <w:t xml:space="preserve">(1.44, 1.57)</w:t>
            </w:r>
          </w:p>
        </w:tc>
        <w:tc>
          <w:tcPr/>
          <w:p>
            <w:pPr>
              <w:pStyle w:val="Compact"/>
              <w:jc w:val="center"/>
            </w:pPr>
            <w:r>
              <w:t xml:space="preserve">4696.51</w:t>
            </w:r>
          </w:p>
        </w:tc>
        <w:tc>
          <w:tcPr/>
          <w:p>
            <w:pPr>
              <w:pStyle w:val="Compact"/>
              <w:jc w:val="center"/>
            </w:pPr>
            <w:r>
              <w:t xml:space="preserve">6324.78</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-1.02</w:t>
            </w:r>
            <w:r>
              <w:t xml:space="preserve"> </w:t>
            </w:r>
            <w:r>
              <w:t xml:space="preserve">(-1.12, -0.91)</w:t>
            </w:r>
          </w:p>
        </w:tc>
        <w:tc>
          <w:tcPr/>
          <w:p>
            <w:pPr>
              <w:pStyle w:val="Compact"/>
              <w:jc w:val="center"/>
            </w:pPr>
            <w:r>
              <w:t xml:space="preserve">17682.32</w:t>
            </w:r>
          </w:p>
        </w:tc>
        <w:tc>
          <w:tcPr/>
          <w:p>
            <w:pPr>
              <w:pStyle w:val="Compact"/>
              <w:jc w:val="center"/>
            </w:pPr>
            <w:r>
              <w:t xml:space="preserve">5782.47</w:t>
            </w:r>
          </w:p>
        </w:tc>
        <w:tc>
          <w:tcPr/>
          <w:p>
            <w:pPr>
              <w:pStyle w:val="Compact"/>
              <w:jc w:val="center"/>
            </w:pPr>
            <w:r>
              <w:t xml:space="preserve">1</w:t>
            </w:r>
          </w:p>
        </w:tc>
      </w:tr>
    </w:tbl>
    <w:p>
      <w:pPr>
        <w:pStyle w:val="BodyText"/>
      </w:pPr>
      <w:r>
        <w:rPr>
          <w:b/>
          <w:bCs/>
        </w:rPr>
        <w:t xml:space="preserve">Parameter estimates for base model fit to full simulated data.</w:t>
      </w:r>
      <w:r>
        <w:t xml:space="preserve"> </w:t>
      </w:r>
      <w:r>
        <w:t xml:space="preserve">ESS = effective sample size. HPD = highest posterior density.</w:t>
      </w:r>
    </w:p>
    <w:bookmarkEnd w:id="82"/>
    <w:bookmarkStart w:id="84" w:name="s6-table."/>
    <w:p>
      <w:pPr>
        <w:pStyle w:val="Heading4"/>
      </w:pPr>
      <w:r>
        <w:t xml:space="preserve">S6 Table.</w:t>
      </w:r>
    </w:p>
    <w:p>
      <w:pPr>
        <w:pStyle w:val="FirstParagraph"/>
      </w:pPr>
      <w:bookmarkStart w:id="83" w:name="full_simulation_full_table"/>
      <w:bookmarkEnd w:id="83"/>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1.99</w:t>
            </w:r>
            <w:r>
              <w:t xml:space="preserve"> </w:t>
            </w:r>
            <w:r>
              <w:t xml:space="preserve">(1.93, 2.06)</w:t>
            </w:r>
          </w:p>
        </w:tc>
        <w:tc>
          <w:tcPr/>
          <w:p>
            <w:pPr>
              <w:pStyle w:val="Compact"/>
              <w:jc w:val="center"/>
            </w:pPr>
            <w:r>
              <w:t xml:space="preserve">2646.13</w:t>
            </w:r>
          </w:p>
        </w:tc>
        <w:tc>
          <w:tcPr/>
          <w:p>
            <w:pPr>
              <w:pStyle w:val="Compact"/>
              <w:jc w:val="center"/>
            </w:pPr>
            <w:r>
              <w:t xml:space="preserve">3927.62</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2.03</w:t>
            </w:r>
            <w:r>
              <w:t xml:space="preserve"> </w:t>
            </w:r>
            <w:r>
              <w:t xml:space="preserve">(1.96, 2.1)</w:t>
            </w:r>
          </w:p>
        </w:tc>
        <w:tc>
          <w:tcPr/>
          <w:p>
            <w:pPr>
              <w:pStyle w:val="Compact"/>
              <w:jc w:val="center"/>
            </w:pPr>
            <w:r>
              <w:t xml:space="preserve">2475.9</w:t>
            </w:r>
          </w:p>
        </w:tc>
        <w:tc>
          <w:tcPr/>
          <w:p>
            <w:pPr>
              <w:pStyle w:val="Compact"/>
              <w:jc w:val="center"/>
            </w:pPr>
            <w:r>
              <w:t xml:space="preserve">4405.79</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1</w:t>
            </w:r>
            <w:r>
              <w:t xml:space="preserve"> </w:t>
            </w:r>
            <w:r>
              <w:t xml:space="preserve">(0.95, 1.05)</w:t>
            </w:r>
          </w:p>
        </w:tc>
        <w:tc>
          <w:tcPr/>
          <w:p>
            <w:pPr>
              <w:pStyle w:val="Compact"/>
              <w:jc w:val="center"/>
            </w:pPr>
            <w:r>
              <w:t xml:space="preserve">2427.35</w:t>
            </w:r>
          </w:p>
        </w:tc>
        <w:tc>
          <w:tcPr/>
          <w:p>
            <w:pPr>
              <w:pStyle w:val="Compact"/>
              <w:jc w:val="center"/>
            </w:pPr>
            <w:r>
              <w:t xml:space="preserve">3585.93</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-2.91</w:t>
            </w:r>
            <w:r>
              <w:t xml:space="preserve"> </w:t>
            </w:r>
            <w:r>
              <w:t xml:space="preserve">(-3.12, -2.7)</w:t>
            </w:r>
          </w:p>
        </w:tc>
        <w:tc>
          <w:tcPr/>
          <w:p>
            <w:pPr>
              <w:pStyle w:val="Compact"/>
              <w:jc w:val="center"/>
            </w:pPr>
            <w:r>
              <w:t xml:space="preserve">11718.68</w:t>
            </w:r>
          </w:p>
        </w:tc>
        <w:tc>
          <w:tcPr/>
          <w:p>
            <w:pPr>
              <w:pStyle w:val="Compact"/>
              <w:jc w:val="center"/>
            </w:pPr>
            <w:r>
              <w:t xml:space="preserve">5800.08</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-0.85</w:t>
            </w:r>
          </w:p>
        </w:tc>
        <w:tc>
          <w:tcPr/>
          <w:p>
            <w:pPr>
              <w:pStyle w:val="Compact"/>
              <w:jc w:val="center"/>
            </w:pPr>
            <w:r>
              <w:t xml:space="preserve">Normal(0,1)</w:t>
            </w:r>
          </w:p>
        </w:tc>
        <w:tc>
          <w:tcPr/>
          <w:p>
            <w:pPr>
              <w:pStyle w:val="Compact"/>
              <w:jc w:val="center"/>
            </w:pPr>
            <w:r>
              <w:t xml:space="preserve">-0.76</w:t>
            </w:r>
            <w:r>
              <w:t xml:space="preserve"> </w:t>
            </w:r>
            <w:r>
              <w:t xml:space="preserve">(-0.89, -0.64)</w:t>
            </w:r>
          </w:p>
        </w:tc>
        <w:tc>
          <w:tcPr/>
          <w:p>
            <w:pPr>
              <w:pStyle w:val="Compact"/>
              <w:jc w:val="center"/>
            </w:pPr>
            <w:r>
              <w:t xml:space="preserve">9051.87</w:t>
            </w:r>
          </w:p>
        </w:tc>
        <w:tc>
          <w:tcPr/>
          <w:p>
            <w:pPr>
              <w:pStyle w:val="Compact"/>
              <w:jc w:val="center"/>
            </w:pPr>
            <w:r>
              <w:t xml:space="preserve">5946.11</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-4.6</w:t>
            </w:r>
          </w:p>
        </w:tc>
        <w:tc>
          <w:tcPr/>
          <w:p>
            <w:pPr>
              <w:pStyle w:val="Compact"/>
              <w:jc w:val="center"/>
            </w:pPr>
            <w:r>
              <w:t xml:space="preserve">Normal(0,1)</w:t>
            </w:r>
          </w:p>
        </w:tc>
        <w:tc>
          <w:tcPr/>
          <w:p>
            <w:pPr>
              <w:pStyle w:val="Compact"/>
              <w:jc w:val="center"/>
            </w:pPr>
            <w:r>
              <w:t xml:space="preserve">-4.51</w:t>
            </w:r>
            <w:r>
              <w:t xml:space="preserve"> </w:t>
            </w:r>
            <w:r>
              <w:t xml:space="preserve">(-4.6, -4.42)</w:t>
            </w:r>
          </w:p>
        </w:tc>
        <w:tc>
          <w:tcPr/>
          <w:p>
            <w:pPr>
              <w:pStyle w:val="Compact"/>
              <w:jc w:val="center"/>
            </w:pPr>
            <w:r>
              <w:t xml:space="preserve">11908.52</w:t>
            </w:r>
          </w:p>
        </w:tc>
        <w:tc>
          <w:tcPr/>
          <w:p>
            <w:pPr>
              <w:pStyle w:val="Compact"/>
              <w:jc w:val="center"/>
            </w:pPr>
            <w:r>
              <w:t xml:space="preserve">5061.41</w:t>
            </w:r>
          </w:p>
        </w:tc>
        <w:tc>
          <w:tcPr/>
          <w:p>
            <w:pPr>
              <w:pStyle w:val="Compact"/>
              <w:jc w:val="center"/>
            </w:pPr>
            <w:r>
              <w:t xml:space="preserve">1</w:t>
            </w:r>
          </w:p>
        </w:tc>
      </w:tr>
    </w:tbl>
    <w:p>
      <w:pPr>
        <w:pStyle w:val="BodyText"/>
      </w:pPr>
      <w:r>
        <w:rPr>
          <w:b/>
          <w:bCs/>
        </w:rPr>
        <w:t xml:space="preserve">Parameter estimates for full model fit to full simulated data.</w:t>
      </w:r>
      <w:r>
        <w:t xml:space="preserve"> </w:t>
      </w:r>
      <w:r>
        <w:t xml:space="preserve">ESS = effective sample size. HPD = highest posterior density.</w:t>
      </w:r>
    </w:p>
    <w:bookmarkEnd w:id="84"/>
    <w:bookmarkStart w:id="86" w:name="s7-table."/>
    <w:p>
      <w:pPr>
        <w:pStyle w:val="Heading4"/>
      </w:pPr>
      <w:r>
        <w:t xml:space="preserve">S7 Table.</w:t>
      </w:r>
    </w:p>
    <w:p>
      <w:pPr>
        <w:pStyle w:val="FirstParagraph"/>
      </w:pPr>
      <w:bookmarkStart w:id="85" w:name="ext_simulation_ext_table"/>
      <w:bookmarkEnd w:id="85"/>
    </w:p>
    <w:tbl>
      <w:tblPr>
        <w:tblStyle w:val="Table"/>
        <w:tblW w:type="auto" w:w="0"/>
        <w:tblLook w:firstRow="0" w:lastRow="0" w:firstColumn="0" w:lastColumn="0" w:noHBand="0" w:noVBand="0" w:val="0000"/>
      </w:tblPr>
      <w:tblGrid>
        <w:gridCol w:w="1131"/>
        <w:gridCol w:w="1131"/>
        <w:gridCol w:w="1131"/>
        <w:gridCol w:w="1131"/>
        <w:gridCol w:w="1131"/>
        <w:gridCol w:w="1131"/>
        <w:gridCol w:w="1131"/>
      </w:tblGrid>
      <w:tr>
        <w:tc>
          <w:tcPr/>
          <w:p>
            <w:pPr>
              <w:pStyle w:val="Compact"/>
              <w:jc w:val="left"/>
            </w:pPr>
            <w:r>
              <w:t xml:space="preserve">Parameter</w:t>
            </w:r>
          </w:p>
        </w:tc>
        <w:tc>
          <w:tcPr/>
          <w:p>
            <w:pPr>
              <w:pStyle w:val="Compact"/>
              <w:jc w:val="center"/>
            </w:pPr>
            <w:r>
              <w:t xml:space="preserve">True Value</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pP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2</w:t>
            </w:r>
            <w:r>
              <w:t xml:space="preserve"> </w:t>
            </w:r>
            <w:r>
              <w:t xml:space="preserve">(1.94, 2.06)</w:t>
            </w:r>
          </w:p>
        </w:tc>
        <w:tc>
          <w:tcPr/>
          <w:p>
            <w:pPr>
              <w:pStyle w:val="Compact"/>
              <w:jc w:val="center"/>
            </w:pPr>
            <w:r>
              <w:t xml:space="preserve">2536.89</w:t>
            </w:r>
          </w:p>
        </w:tc>
        <w:tc>
          <w:tcPr/>
          <w:p>
            <w:pPr>
              <w:pStyle w:val="Compact"/>
              <w:jc w:val="center"/>
            </w:pPr>
            <w:r>
              <w:t xml:space="preserve">4489.11</w:t>
            </w:r>
          </w:p>
        </w:tc>
        <w:tc>
          <w:tcPr/>
          <w:p>
            <w:pPr>
              <w:pStyle w:val="Compact"/>
              <w:jc w:val="center"/>
            </w:pPr>
            <w:r>
              <w:t xml:space="preserve">1</w:t>
            </w:r>
          </w:p>
        </w:tc>
      </w:tr>
      <w:tr>
        <w:tc>
          <w:tcPr/>
          <w:p>
            <w:pPr>
              <w:pStyle w:val="Compact"/>
              <w:jc w:val="left"/>
            </w:pPr>
            <m:oMath>
              <m:sSub>
                <m:e>
                  <m:r>
                    <m:t>α</m:t>
                  </m:r>
                </m:e>
                <m:sub>
                  <m:r>
                    <m:t>1</m:t>
                  </m:r>
                </m:sub>
              </m:sSub>
            </m:oMath>
          </w:p>
        </w:tc>
        <w:tc>
          <w:tcPr/>
          <w:p>
            <w:pPr>
              <w:pStyle w:val="Compact"/>
              <w:jc w:val="center"/>
            </w:pPr>
            <w:r>
              <w:t xml:space="preserve">2</w:t>
            </w:r>
          </w:p>
        </w:tc>
        <w:tc>
          <w:tcPr/>
          <w:p>
            <w:pPr>
              <w:pStyle w:val="Compact"/>
              <w:jc w:val="center"/>
            </w:pPr>
            <w:r>
              <w:t xml:space="preserve">Normal(0,2</w:t>
            </w:r>
            <w:r>
              <w:rPr>
                <w:vertAlign w:val="superscript"/>
              </w:rPr>
              <w:t xml:space="preserve">2</w:t>
            </w:r>
            <w:r>
              <w:t xml:space="preserve">)</w:t>
            </w:r>
          </w:p>
        </w:tc>
        <w:tc>
          <w:tcPr/>
          <w:p>
            <w:pPr>
              <w:pStyle w:val="Compact"/>
              <w:jc w:val="center"/>
            </w:pPr>
            <w:r>
              <w:t xml:space="preserve">1.99</w:t>
            </w:r>
            <w:r>
              <w:t xml:space="preserve"> </w:t>
            </w:r>
            <w:r>
              <w:t xml:space="preserve">(1.92, 2.07)</w:t>
            </w:r>
          </w:p>
        </w:tc>
        <w:tc>
          <w:tcPr/>
          <w:p>
            <w:pPr>
              <w:pStyle w:val="Compact"/>
              <w:jc w:val="center"/>
            </w:pPr>
            <w:r>
              <w:t xml:space="preserve">2744.28</w:t>
            </w:r>
          </w:p>
        </w:tc>
        <w:tc>
          <w:tcPr/>
          <w:p>
            <w:pPr>
              <w:pStyle w:val="Compact"/>
              <w:jc w:val="center"/>
            </w:pPr>
            <w:r>
              <w:t xml:space="preserve">4770.11</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1</w:t>
            </w:r>
          </w:p>
        </w:tc>
        <w:tc>
          <w:tcPr/>
          <w:p>
            <w:pPr>
              <w:pStyle w:val="Compact"/>
              <w:jc w:val="center"/>
            </w:pPr>
            <w:r>
              <w:t xml:space="preserve">Half-Cauchy(0,1)</w:t>
            </w:r>
          </w:p>
        </w:tc>
        <w:tc>
          <w:tcPr/>
          <w:p>
            <w:pPr>
              <w:pStyle w:val="Compact"/>
              <w:jc w:val="center"/>
            </w:pPr>
            <w:r>
              <w:t xml:space="preserve">0.99</w:t>
            </w:r>
            <w:r>
              <w:t xml:space="preserve"> </w:t>
            </w:r>
            <w:r>
              <w:t xml:space="preserve">(0.94, 1.04)</w:t>
            </w:r>
          </w:p>
        </w:tc>
        <w:tc>
          <w:tcPr/>
          <w:p>
            <w:pPr>
              <w:pStyle w:val="Compact"/>
              <w:jc w:val="center"/>
            </w:pPr>
            <w:r>
              <w:t xml:space="preserve">3008.67</w:t>
            </w:r>
          </w:p>
        </w:tc>
        <w:tc>
          <w:tcPr/>
          <w:p>
            <w:pPr>
              <w:pStyle w:val="Compact"/>
              <w:jc w:val="center"/>
            </w:pPr>
            <w:r>
              <w:t xml:space="preserve">4623.96</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-2.94</w:t>
            </w:r>
          </w:p>
        </w:tc>
        <w:tc>
          <w:tcPr/>
          <w:p>
            <w:pPr>
              <w:pStyle w:val="Compact"/>
              <w:jc w:val="center"/>
            </w:pPr>
            <w:r>
              <w:t xml:space="preserve">Normal(0,3.16</w:t>
            </w:r>
            <w:r>
              <w:rPr>
                <w:vertAlign w:val="superscript"/>
              </w:rPr>
              <w:t xml:space="preserve">2</w:t>
            </w:r>
            <w:r>
              <w:t xml:space="preserve">)</w:t>
            </w:r>
          </w:p>
        </w:tc>
        <w:tc>
          <w:tcPr/>
          <w:p>
            <w:pPr>
              <w:pStyle w:val="Compact"/>
              <w:jc w:val="center"/>
            </w:pPr>
            <w:r>
              <w:t xml:space="preserve">-2.79</w:t>
            </w:r>
            <w:r>
              <w:t xml:space="preserve"> </w:t>
            </w:r>
            <w:r>
              <w:t xml:space="preserve">(-3.2, -2.4)</w:t>
            </w:r>
          </w:p>
        </w:tc>
        <w:tc>
          <w:tcPr/>
          <w:p>
            <w:pPr>
              <w:pStyle w:val="Compact"/>
              <w:jc w:val="center"/>
            </w:pPr>
            <w:r>
              <w:t xml:space="preserve">6767.17</w:t>
            </w:r>
          </w:p>
        </w:tc>
        <w:tc>
          <w:tcPr/>
          <w:p>
            <w:pPr>
              <w:pStyle w:val="Compact"/>
              <w:jc w:val="center"/>
            </w:pPr>
            <w:r>
              <w:t xml:space="preserve">5712.9</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-0.85</w:t>
            </w:r>
          </w:p>
        </w:tc>
        <w:tc>
          <w:tcPr/>
          <w:p>
            <w:pPr>
              <w:pStyle w:val="Compact"/>
              <w:jc w:val="center"/>
            </w:pPr>
            <w:r>
              <w:t xml:space="preserve">Normal(0,1)</w:t>
            </w:r>
          </w:p>
        </w:tc>
        <w:tc>
          <w:tcPr/>
          <w:p>
            <w:pPr>
              <w:pStyle w:val="Compact"/>
              <w:jc w:val="center"/>
            </w:pPr>
            <w:r>
              <w:t xml:space="preserve">-0.72</w:t>
            </w:r>
            <w:r>
              <w:t xml:space="preserve"> </w:t>
            </w:r>
            <w:r>
              <w:t xml:space="preserve">(-0.81, -0.62)</w:t>
            </w:r>
          </w:p>
        </w:tc>
        <w:tc>
          <w:tcPr/>
          <w:p>
            <w:pPr>
              <w:pStyle w:val="Compact"/>
              <w:jc w:val="center"/>
            </w:pPr>
            <w:r>
              <w:t xml:space="preserve">13012.54</w:t>
            </w:r>
          </w:p>
        </w:tc>
        <w:tc>
          <w:tcPr/>
          <w:p>
            <w:pPr>
              <w:pStyle w:val="Compact"/>
              <w:jc w:val="center"/>
            </w:pPr>
            <w:r>
              <w:t xml:space="preserve">6450.52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-4.6</w:t>
            </w:r>
          </w:p>
        </w:tc>
        <w:tc>
          <w:tcPr/>
          <w:p>
            <w:pPr>
              <w:pStyle w:val="Compact"/>
              <w:jc w:val="center"/>
            </w:pPr>
            <w:r>
              <w:t xml:space="preserve">Normal(0,1)</w:t>
            </w:r>
          </w:p>
        </w:tc>
        <w:tc>
          <w:tcPr/>
          <w:p>
            <w:pPr>
              <w:pStyle w:val="Compact"/>
              <w:jc w:val="center"/>
            </w:pPr>
            <w:r>
              <w:t xml:space="preserve">-4.55</w:t>
            </w:r>
            <w:r>
              <w:t xml:space="preserve"> </w:t>
            </w:r>
            <w:r>
              <w:t xml:space="preserve">(-4.65, -4.46)</w:t>
            </w:r>
          </w:p>
        </w:tc>
        <w:tc>
          <w:tcPr/>
          <w:p>
            <w:pPr>
              <w:pStyle w:val="Compact"/>
              <w:jc w:val="center"/>
            </w:pPr>
            <w:r>
              <w:t xml:space="preserve">12175.43</w:t>
            </w:r>
          </w:p>
        </w:tc>
        <w:tc>
          <w:tcPr/>
          <w:p>
            <w:pPr>
              <w:pStyle w:val="Compact"/>
              <w:jc w:val="center"/>
            </w:pPr>
            <w:r>
              <w:t xml:space="preserve">5227.47</w:t>
            </w:r>
          </w:p>
        </w:tc>
        <w:tc>
          <w:tcPr/>
          <w:p>
            <w:pPr>
              <w:pStyle w:val="Compact"/>
              <w:jc w:val="center"/>
            </w:pPr>
            <w:r>
              <w:t xml:space="preserve">1</w:t>
            </w:r>
          </w:p>
        </w:tc>
      </w:tr>
      <w:tr>
        <w:tc>
          <w:tcPr/>
          <w:p>
            <w:pPr>
              <w:pStyle w:val="Compact"/>
              <w:jc w:val="left"/>
            </w:pPr>
            <m:oMath>
              <m:sSub>
                <m:e>
                  <m:r>
                    <m:t>β</m:t>
                  </m:r>
                </m:e>
                <m:sub>
                  <m:r>
                    <m:t>1</m:t>
                  </m:r>
                </m:sub>
              </m:sSub>
            </m:oMath>
          </w:p>
        </w:tc>
        <w:tc>
          <w:tcPr/>
          <w:p>
            <w:pPr>
              <w:pStyle w:val="Compact"/>
              <w:jc w:val="center"/>
            </w:pPr>
            <w:r>
              <w:t xml:space="preserve">0.75</w:t>
            </w:r>
          </w:p>
        </w:tc>
        <w:tc>
          <w:tcPr/>
          <w:p>
            <w:pPr>
              <w:pStyle w:val="Compact"/>
              <w:jc w:val="center"/>
            </w:pPr>
            <w:r>
              <w:t xml:space="preserve">Normal(0,</w:t>
            </w:r>
            <m:oMath>
              <m:sSubSup>
                <m:e>
                  <m:r>
                    <m:t>ξ</m:t>
                  </m:r>
                </m:e>
                <m:sub>
                  <m:r>
                    <m:t>1</m:t>
                  </m:r>
                </m:sub>
                <m:sup>
                  <m:r>
                    <m:t>2</m:t>
                  </m:r>
                </m:sup>
              </m:sSubSup>
              <m:sSup>
                <m:e>
                  <m:r>
                    <m:t>τ</m:t>
                  </m:r>
                </m:e>
                <m:sup>
                  <m:r>
                    <m:t>2</m:t>
                  </m:r>
                </m:sup>
              </m:sSup>
            </m:oMath>
            <w:r>
              <w:t xml:space="preserve">)</w:t>
            </w:r>
          </w:p>
        </w:tc>
        <w:tc>
          <w:tcPr/>
          <w:p>
            <w:pPr>
              <w:pStyle w:val="Compact"/>
              <w:jc w:val="center"/>
            </w:pPr>
            <w:r>
              <w:t xml:space="preserve">0.6</w:t>
            </w:r>
            <w:r>
              <w:t xml:space="preserve"> </w:t>
            </w:r>
            <w:r>
              <w:t xml:space="preserve">(0.17, 1.03)</w:t>
            </w:r>
          </w:p>
        </w:tc>
        <w:tc>
          <w:tcPr/>
          <w:p>
            <w:pPr>
              <w:pStyle w:val="Compact"/>
              <w:jc w:val="center"/>
            </w:pPr>
            <w:r>
              <w:t xml:space="preserve">4892.8</w:t>
            </w:r>
          </w:p>
        </w:tc>
        <w:tc>
          <w:tcPr/>
          <w:p>
            <w:pPr>
              <w:pStyle w:val="Compact"/>
              <w:jc w:val="center"/>
            </w:pPr>
            <w:r>
              <w:t xml:space="preserve">3210.09</w:t>
            </w:r>
          </w:p>
        </w:tc>
        <w:tc>
          <w:tcPr/>
          <w:p>
            <w:pPr>
              <w:pStyle w:val="Compact"/>
              <w:jc w:val="center"/>
            </w:pPr>
            <w:r>
              <w:t xml:space="preserve">1</w:t>
            </w:r>
          </w:p>
        </w:tc>
      </w:tr>
      <w:tr>
        <w:tc>
          <w:tcPr/>
          <w:p>
            <w:pPr>
              <w:pStyle w:val="Compact"/>
              <w:jc w:val="left"/>
            </w:pPr>
            <m:oMath>
              <m:sSub>
                <m:e>
                  <m:r>
                    <m:t>β</m:t>
                  </m:r>
                </m:e>
                <m:sub>
                  <m:r>
                    <m:t>2</m:t>
                  </m:r>
                </m:sub>
              </m:sSub>
            </m:oMath>
          </w:p>
        </w:tc>
        <w:tc>
          <w:tcPr/>
          <w:p>
            <w:pPr>
              <w:pStyle w:val="Compact"/>
              <w:jc w:val="center"/>
            </w:pPr>
            <w:r>
              <w:t xml:space="preserve">0</w:t>
            </w:r>
          </w:p>
        </w:tc>
        <w:tc>
          <w:tcPr/>
          <w:p>
            <w:pPr>
              <w:pStyle w:val="Compact"/>
              <w:jc w:val="center"/>
            </w:pPr>
            <w:r>
              <w:t xml:space="preserve">Normal(0,</w:t>
            </w:r>
            <m:oMath>
              <m:sSubSup>
                <m:e>
                  <m:r>
                    <m:t>ξ</m:t>
                  </m:r>
                </m:e>
                <m:sub>
                  <m:r>
                    <m:t>2</m:t>
                  </m:r>
                </m:sub>
                <m:sup>
                  <m:r>
                    <m:t>2</m:t>
                  </m:r>
                </m:sup>
              </m:sSubSup>
              <m:sSup>
                <m:e>
                  <m:r>
                    <m:t>τ</m:t>
                  </m:r>
                </m:e>
                <m:sup>
                  <m:r>
                    <m:t>2</m:t>
                  </m:r>
                </m:sup>
              </m:sSup>
            </m:oMath>
            <w:r>
              <w:t xml:space="preserve">)</w:t>
            </w:r>
          </w:p>
        </w:tc>
        <w:tc>
          <w:tcPr/>
          <w:p>
            <w:pPr>
              <w:pStyle w:val="Compact"/>
              <w:jc w:val="center"/>
            </w:pPr>
            <w:r>
              <w:t xml:space="preserve">0</w:t>
            </w:r>
            <w:r>
              <w:t xml:space="preserve"> </w:t>
            </w:r>
            <w:r>
              <w:t xml:space="preserve">(-0.25, 0.26)</w:t>
            </w:r>
          </w:p>
        </w:tc>
        <w:tc>
          <w:tcPr/>
          <w:p>
            <w:pPr>
              <w:pStyle w:val="Compact"/>
              <w:jc w:val="center"/>
            </w:pPr>
            <w:r>
              <w:t xml:space="preserve">9734.48</w:t>
            </w:r>
          </w:p>
        </w:tc>
        <w:tc>
          <w:tcPr/>
          <w:p>
            <w:pPr>
              <w:pStyle w:val="Compact"/>
              <w:jc w:val="center"/>
            </w:pPr>
            <w:r>
              <w:t xml:space="preserve">7714.16</w:t>
            </w:r>
          </w:p>
        </w:tc>
        <w:tc>
          <w:tcPr/>
          <w:p>
            <w:pPr>
              <w:pStyle w:val="Compact"/>
              <w:jc w:val="center"/>
            </w:pPr>
            <w:r>
              <w:t xml:space="preserve">1</w:t>
            </w:r>
          </w:p>
        </w:tc>
      </w:tr>
      <w:tr>
        <w:tc>
          <w:tcPr/>
          <w:p>
            <w:pPr>
              <w:pStyle w:val="Compact"/>
              <w:jc w:val="left"/>
            </w:pPr>
            <m:oMath>
              <m:sSub>
                <m:e>
                  <m:r>
                    <m:t>β</m:t>
                  </m:r>
                </m:e>
                <m:sub>
                  <m:r>
                    <m:t>3</m:t>
                  </m:r>
                </m:sub>
              </m:sSub>
            </m:oMath>
          </w:p>
        </w:tc>
        <w:tc>
          <w:tcPr/>
          <w:p>
            <w:pPr>
              <w:pStyle w:val="Compact"/>
              <w:jc w:val="center"/>
            </w:pPr>
            <w:r>
              <w:t xml:space="preserve">0</w:t>
            </w:r>
          </w:p>
        </w:tc>
        <w:tc>
          <w:tcPr/>
          <w:p>
            <w:pPr>
              <w:pStyle w:val="Compact"/>
              <w:jc w:val="center"/>
            </w:pPr>
            <w:r>
              <w:t xml:space="preserve">Normal(0,</w:t>
            </w:r>
            <m:oMath>
              <m:sSubSup>
                <m:e>
                  <m:r>
                    <m:t>ξ</m:t>
                  </m:r>
                </m:e>
                <m:sub>
                  <m:r>
                    <m:t>3</m:t>
                  </m:r>
                </m:sub>
                <m:sup>
                  <m:r>
                    <m:t>2</m:t>
                  </m:r>
                </m:sup>
              </m:sSubSup>
              <m:sSup>
                <m:e>
                  <m:r>
                    <m:t>τ</m:t>
                  </m:r>
                </m:e>
                <m:sup>
                  <m:r>
                    <m:t>2</m:t>
                  </m:r>
                </m:sup>
              </m:sSup>
            </m:oMath>
            <w:r>
              <w:t xml:space="preserve">)</w:t>
            </w:r>
          </w:p>
        </w:tc>
        <w:tc>
          <w:tcPr/>
          <w:p>
            <w:pPr>
              <w:pStyle w:val="Compact"/>
              <w:jc w:val="center"/>
            </w:pPr>
            <w:r>
              <w:t xml:space="preserve">-0.07</w:t>
            </w:r>
            <w:r>
              <w:t xml:space="preserve"> </w:t>
            </w:r>
            <w:r>
              <w:t xml:space="preserve">(-0.44, 0.14)</w:t>
            </w:r>
          </w:p>
        </w:tc>
        <w:tc>
          <w:tcPr/>
          <w:p>
            <w:pPr>
              <w:pStyle w:val="Compact"/>
              <w:jc w:val="center"/>
            </w:pPr>
            <w:r>
              <w:t xml:space="preserve">5858.23</w:t>
            </w:r>
          </w:p>
        </w:tc>
        <w:tc>
          <w:tcPr/>
          <w:p>
            <w:pPr>
              <w:pStyle w:val="Compact"/>
              <w:jc w:val="center"/>
            </w:pPr>
            <w:r>
              <w:t xml:space="preserve">7024.1</w:t>
            </w:r>
          </w:p>
        </w:tc>
        <w:tc>
          <w:tcPr/>
          <w:p>
            <w:pPr>
              <w:pStyle w:val="Compact"/>
              <w:jc w:val="center"/>
            </w:pPr>
            <w:r>
              <w:t xml:space="preserve">1</w:t>
            </w:r>
          </w:p>
        </w:tc>
      </w:tr>
      <w:tr>
        <w:tc>
          <w:tcPr/>
          <w:p>
            <w:pPr>
              <w:pStyle w:val="Compact"/>
              <w:jc w:val="left"/>
            </w:pPr>
            <m:oMath>
              <m:sSub>
                <m:e>
                  <m:r>
                    <m:t>β</m:t>
                  </m:r>
                </m:e>
                <m:sub>
                  <m:r>
                    <m:t>4</m:t>
                  </m:r>
                </m:sub>
              </m:sSub>
            </m:oMath>
          </w:p>
        </w:tc>
        <w:tc>
          <w:tcPr/>
          <w:p>
            <w:pPr>
              <w:pStyle w:val="Compact"/>
              <w:jc w:val="center"/>
            </w:pPr>
            <w:r>
              <w:t xml:space="preserve">0</w:t>
            </w:r>
          </w:p>
        </w:tc>
        <w:tc>
          <w:tcPr/>
          <w:p>
            <w:pPr>
              <w:pStyle w:val="Compact"/>
              <w:jc w:val="center"/>
            </w:pPr>
            <w:r>
              <w:t xml:space="preserve">Normal(0,</w:t>
            </w:r>
            <m:oMath>
              <m:sSubSup>
                <m:e>
                  <m:r>
                    <m:t>ξ</m:t>
                  </m:r>
                </m:e>
                <m:sub>
                  <m:r>
                    <m:t>4</m:t>
                  </m:r>
                </m:sub>
                <m:sup>
                  <m:r>
                    <m:t>2</m:t>
                  </m:r>
                </m:sup>
              </m:sSubSup>
              <m:sSup>
                <m:e>
                  <m:r>
                    <m:t>τ</m:t>
                  </m:r>
                </m:e>
                <m:sup>
                  <m:r>
                    <m:t>2</m:t>
                  </m:r>
                </m:sup>
              </m:sSup>
            </m:oMath>
            <w:r>
              <w:t xml:space="preserve">)</w:t>
            </w:r>
          </w:p>
        </w:tc>
        <w:tc>
          <w:tcPr/>
          <w:p>
            <w:pPr>
              <w:pStyle w:val="Compact"/>
              <w:jc w:val="center"/>
            </w:pPr>
            <w:r>
              <w:t xml:space="preserve">0</w:t>
            </w:r>
            <w:r>
              <w:t xml:space="preserve"> </w:t>
            </w:r>
            <w:r>
              <w:t xml:space="preserve">(-0.27, 0.23)</w:t>
            </w:r>
          </w:p>
        </w:tc>
        <w:tc>
          <w:tcPr/>
          <w:p>
            <w:pPr>
              <w:pStyle w:val="Compact"/>
              <w:jc w:val="center"/>
            </w:pPr>
            <w:r>
              <w:t xml:space="preserve">10058.67</w:t>
            </w:r>
          </w:p>
        </w:tc>
        <w:tc>
          <w:tcPr/>
          <w:p>
            <w:pPr>
              <w:pStyle w:val="Compact"/>
              <w:jc w:val="center"/>
            </w:pPr>
            <w:r>
              <w:t xml:space="preserve">7566.46</w:t>
            </w:r>
          </w:p>
        </w:tc>
        <w:tc>
          <w:tcPr/>
          <w:p>
            <w:pPr>
              <w:pStyle w:val="Compact"/>
              <w:jc w:val="center"/>
            </w:pPr>
            <w:r>
              <w:t xml:space="preserve">1</w:t>
            </w:r>
          </w:p>
        </w:tc>
      </w:tr>
      <w:tr>
        <w:tc>
          <w:tcPr/>
          <w:p>
            <w:pPr>
              <w:pStyle w:val="Compact"/>
              <w:jc w:val="left"/>
            </w:pPr>
            <m:oMath>
              <m:sSub>
                <m:e>
                  <m:r>
                    <m:t>β</m:t>
                  </m:r>
                </m:e>
                <m:sub>
                  <m:r>
                    <m:t>5</m:t>
                  </m:r>
                </m:sub>
              </m:sSub>
            </m:oMath>
          </w:p>
        </w:tc>
        <w:tc>
          <w:tcPr/>
          <w:p>
            <w:pPr>
              <w:pStyle w:val="Compact"/>
              <w:jc w:val="center"/>
            </w:pPr>
            <w:r>
              <w:t xml:space="preserve">0</w:t>
            </w:r>
          </w:p>
        </w:tc>
        <w:tc>
          <w:tcPr/>
          <w:p>
            <w:pPr>
              <w:pStyle w:val="Compact"/>
              <w:jc w:val="center"/>
            </w:pPr>
            <w:r>
              <w:t xml:space="preserve">Normal(0,</w:t>
            </w:r>
            <m:oMath>
              <m:sSubSup>
                <m:e>
                  <m:r>
                    <m:t>ξ</m:t>
                  </m:r>
                </m:e>
                <m:sub>
                  <m:r>
                    <m:t>5</m:t>
                  </m:r>
                </m:sub>
                <m:sup>
                  <m:r>
                    <m:t>2</m:t>
                  </m:r>
                </m:sup>
              </m:sSubSup>
              <m:sSup>
                <m:e>
                  <m:r>
                    <m:t>τ</m:t>
                  </m:r>
                </m:e>
                <m:sup>
                  <m:r>
                    <m:t>2</m:t>
                  </m:r>
                </m:sup>
              </m:sSup>
            </m:oMath>
            <w:r>
              <w:t xml:space="preserve">)</w:t>
            </w:r>
          </w:p>
        </w:tc>
        <w:tc>
          <w:tcPr/>
          <w:p>
            <w:pPr>
              <w:pStyle w:val="Compact"/>
              <w:jc w:val="center"/>
            </w:pPr>
            <w:r>
              <w:t xml:space="preserve">-0.03</w:t>
            </w:r>
            <w:r>
              <w:t xml:space="preserve"> </w:t>
            </w:r>
            <w:r>
              <w:t xml:space="preserve">(-0.34, 0.18)</w:t>
            </w:r>
          </w:p>
        </w:tc>
        <w:tc>
          <w:tcPr/>
          <w:p>
            <w:pPr>
              <w:pStyle w:val="Compact"/>
              <w:jc w:val="center"/>
            </w:pPr>
            <w:r>
              <w:t xml:space="preserve">8377.08</w:t>
            </w:r>
          </w:p>
        </w:tc>
        <w:tc>
          <w:tcPr/>
          <w:p>
            <w:pPr>
              <w:pStyle w:val="Compact"/>
              <w:jc w:val="center"/>
            </w:pPr>
            <w:r>
              <w:t xml:space="preserve">7284.92</w:t>
            </w:r>
          </w:p>
        </w:tc>
        <w:tc>
          <w:tcPr/>
          <w:p>
            <w:pPr>
              <w:pStyle w:val="Compact"/>
              <w:jc w:val="center"/>
            </w:pPr>
            <w:r>
              <w:t xml:space="preserve">1</w:t>
            </w:r>
          </w:p>
        </w:tc>
      </w:tr>
      <w:tr>
        <w:tc>
          <w:tcPr/>
          <w:p>
            <w:pPr>
              <w:pStyle w:val="Compact"/>
              <w:jc w:val="left"/>
            </w:pPr>
            <m:oMath>
              <m:r>
                <m:t>τ</m:t>
              </m:r>
            </m:oMath>
          </w:p>
        </w:tc>
        <w:tc>
          <w:tcPr/>
          <w:p>
            <w:pPr>
              <w:pStyle w:val="Compact"/>
              <w:jc w:val="center"/>
            </w:pPr>
            <w:r>
              <w:t xml:space="preserve">0</w:t>
            </w:r>
          </w:p>
        </w:tc>
        <w:tc>
          <w:tcPr/>
          <w:p>
            <w:pPr>
              <w:pStyle w:val="Compact"/>
              <w:jc w:val="center"/>
            </w:pPr>
            <w:r>
              <w:t xml:space="preserve">Half-Cauchy(0,1)</w:t>
            </w:r>
          </w:p>
        </w:tc>
        <w:tc>
          <w:tcPr/>
          <w:p>
            <w:pPr>
              <w:pStyle w:val="Compact"/>
              <w:jc w:val="center"/>
            </w:pPr>
            <w:r>
              <w:t xml:space="preserve">-0.03</w:t>
            </w:r>
            <w:r>
              <w:t xml:space="preserve"> </w:t>
            </w:r>
            <w:r>
              <w:t xml:space="preserve">(-0.34, 0.18)</w:t>
            </w:r>
          </w:p>
        </w:tc>
        <w:tc>
          <w:tcPr/>
          <w:p>
            <w:pPr>
              <w:pStyle w:val="Compact"/>
              <w:jc w:val="center"/>
            </w:pPr>
            <w:r>
              <w:t xml:space="preserve">8377.08</w:t>
            </w:r>
          </w:p>
        </w:tc>
        <w:tc>
          <w:tcPr/>
          <w:p>
            <w:pPr>
              <w:pStyle w:val="Compact"/>
              <w:jc w:val="center"/>
            </w:pPr>
            <w:r>
              <w:t xml:space="preserve">7284.92</w:t>
            </w:r>
          </w:p>
        </w:tc>
        <w:tc>
          <w:tcPr/>
          <w:p>
            <w:pPr>
              <w:pStyle w:val="Compact"/>
              <w:jc w:val="center"/>
            </w:pPr>
            <w:r>
              <w:t xml:space="preserve">1</w:t>
            </w:r>
          </w:p>
        </w:tc>
      </w:tr>
      <w:tr>
        <w:tc>
          <w:tcPr/>
          <w:p>
            <w:pPr>
              <w:pStyle w:val="Compact"/>
              <w:jc w:val="left"/>
            </w:pPr>
            <m:oMath>
              <m:sSub>
                <m:e>
                  <m:r>
                    <m:t>ξ</m:t>
                  </m:r>
                </m:e>
                <m:sub>
                  <m:r>
                    <m:t>1</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1.73</w:t>
            </w:r>
            <w:r>
              <w:t xml:space="preserve"> </w:t>
            </w:r>
            <w:r>
              <w:t xml:space="preserve">(0.02, 7.27)</w:t>
            </w:r>
          </w:p>
        </w:tc>
        <w:tc>
          <w:tcPr/>
          <w:p>
            <w:pPr>
              <w:pStyle w:val="Compact"/>
              <w:jc w:val="center"/>
            </w:pPr>
            <w:r>
              <w:t xml:space="preserve">6259.68</w:t>
            </w:r>
          </w:p>
        </w:tc>
        <w:tc>
          <w:tcPr/>
          <w:p>
            <w:pPr>
              <w:pStyle w:val="Compact"/>
              <w:jc w:val="center"/>
            </w:pPr>
            <w:r>
              <w:t xml:space="preserve">4166.5</w:t>
            </w:r>
          </w:p>
        </w:tc>
        <w:tc>
          <w:tcPr/>
          <w:p>
            <w:pPr>
              <w:pStyle w:val="Compact"/>
              <w:jc w:val="center"/>
            </w:pPr>
            <w:r>
              <w:t xml:space="preserve">1</w:t>
            </w:r>
          </w:p>
        </w:tc>
      </w:tr>
      <w:tr>
        <w:tc>
          <w:tcPr/>
          <w:p>
            <w:pPr>
              <w:pStyle w:val="Compact"/>
              <w:jc w:val="left"/>
            </w:pPr>
            <m:oMath>
              <m:sSub>
                <m:e>
                  <m:r>
                    <m:t>ξ</m:t>
                  </m:r>
                </m:e>
                <m:sub>
                  <m:r>
                    <m:t>2</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0.47</w:t>
            </w:r>
            <w:r>
              <w:t xml:space="preserve"> </w:t>
            </w:r>
            <w:r>
              <w:t xml:space="preserve">(0, 2.22)</w:t>
            </w:r>
          </w:p>
        </w:tc>
        <w:tc>
          <w:tcPr/>
          <w:p>
            <w:pPr>
              <w:pStyle w:val="Compact"/>
              <w:jc w:val="center"/>
            </w:pPr>
            <w:r>
              <w:t xml:space="preserve">5718.96</w:t>
            </w:r>
          </w:p>
        </w:tc>
        <w:tc>
          <w:tcPr/>
          <w:p>
            <w:pPr>
              <w:pStyle w:val="Compact"/>
              <w:jc w:val="center"/>
            </w:pPr>
            <w:r>
              <w:t xml:space="preserve">4258.51</w:t>
            </w:r>
          </w:p>
        </w:tc>
        <w:tc>
          <w:tcPr/>
          <w:p>
            <w:pPr>
              <w:pStyle w:val="Compact"/>
              <w:jc w:val="center"/>
            </w:pPr>
            <w:r>
              <w:t xml:space="preserve">1</w:t>
            </w:r>
          </w:p>
        </w:tc>
      </w:tr>
      <w:tr>
        <w:tc>
          <w:tcPr/>
          <w:p>
            <w:pPr>
              <w:pStyle w:val="Compact"/>
              <w:jc w:val="left"/>
            </w:pPr>
            <m:oMath>
              <m:sSub>
                <m:e>
                  <m:r>
                    <m:t>ξ</m:t>
                  </m:r>
                </m:e>
                <m:sub>
                  <m:r>
                    <m:t>3</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0.6</w:t>
            </w:r>
            <w:r>
              <w:t xml:space="preserve"> </w:t>
            </w:r>
            <w:r>
              <w:t xml:space="preserve">(0, 2.64)</w:t>
            </w:r>
          </w:p>
        </w:tc>
        <w:tc>
          <w:tcPr/>
          <w:p>
            <w:pPr>
              <w:pStyle w:val="Compact"/>
              <w:jc w:val="center"/>
            </w:pPr>
            <w:r>
              <w:t xml:space="preserve">4189.42</w:t>
            </w:r>
          </w:p>
        </w:tc>
        <w:tc>
          <w:tcPr/>
          <w:p>
            <w:pPr>
              <w:pStyle w:val="Compact"/>
              <w:jc w:val="center"/>
            </w:pPr>
            <w:r>
              <w:t xml:space="preserve">3208.36</w:t>
            </w:r>
          </w:p>
        </w:tc>
        <w:tc>
          <w:tcPr/>
          <w:p>
            <w:pPr>
              <w:pStyle w:val="Compact"/>
              <w:jc w:val="center"/>
            </w:pPr>
            <w:r>
              <w:t xml:space="preserve">1</w:t>
            </w:r>
          </w:p>
        </w:tc>
      </w:tr>
      <w:tr>
        <w:tc>
          <w:tcPr/>
          <w:p>
            <w:pPr>
              <w:pStyle w:val="Compact"/>
              <w:jc w:val="left"/>
            </w:pPr>
            <m:oMath>
              <m:sSub>
                <m:e>
                  <m:r>
                    <m:t>ξ</m:t>
                  </m:r>
                </m:e>
                <m:sub>
                  <m:r>
                    <m:t>4</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0.49</w:t>
            </w:r>
            <w:r>
              <w:t xml:space="preserve"> </w:t>
            </w:r>
            <w:r>
              <w:t xml:space="preserve">(0, 2.18)</w:t>
            </w:r>
          </w:p>
        </w:tc>
        <w:tc>
          <w:tcPr/>
          <w:p>
            <w:pPr>
              <w:pStyle w:val="Compact"/>
              <w:jc w:val="center"/>
            </w:pPr>
            <w:r>
              <w:t xml:space="preserve">6455.44</w:t>
            </w:r>
          </w:p>
        </w:tc>
        <w:tc>
          <w:tcPr/>
          <w:p>
            <w:pPr>
              <w:pStyle w:val="Compact"/>
              <w:jc w:val="center"/>
            </w:pPr>
            <w:r>
              <w:t xml:space="preserve">5090.41</w:t>
            </w:r>
          </w:p>
        </w:tc>
        <w:tc>
          <w:tcPr/>
          <w:p>
            <w:pPr>
              <w:pStyle w:val="Compact"/>
              <w:jc w:val="center"/>
            </w:pPr>
            <w:r>
              <w:t xml:space="preserve">1</w:t>
            </w:r>
          </w:p>
        </w:tc>
      </w:tr>
      <w:tr>
        <w:tc>
          <w:tcPr/>
          <w:p>
            <w:pPr>
              <w:pStyle w:val="Compact"/>
              <w:jc w:val="left"/>
            </w:pPr>
            <m:oMath>
              <m:sSub>
                <m:e>
                  <m:r>
                    <m:t>ξ</m:t>
                  </m:r>
                </m:e>
                <m:sub>
                  <m:r>
                    <m:t>5</m:t>
                  </m:r>
                </m:sub>
              </m:sSub>
            </m:oMath>
          </w:p>
        </w:tc>
        <w:tc>
          <w:tcPr/>
          <w:p>
            <w:pPr>
              <w:pStyle w:val="Compact"/>
              <w:jc w:val="center"/>
            </w:pPr>
            <w:r>
              <w:t xml:space="preserve">-</w:t>
            </w:r>
          </w:p>
        </w:tc>
        <w:tc>
          <w:tcPr/>
          <w:p>
            <w:pPr>
              <w:pStyle w:val="Compact"/>
              <w:jc w:val="center"/>
            </w:pPr>
            <m:oMath>
              <m:r>
                <m:rPr>
                  <m:nor/>
                  <m:sty m:val="p"/>
                </m:rPr>
                <m:t>Half-</m:t>
              </m:r>
              <m:sSub>
                <m:e>
                  <m:r>
                    <m:t>t</m:t>
                  </m:r>
                </m:e>
                <m:sub>
                  <m:r>
                    <m:t>2</m:t>
                  </m:r>
                </m:sub>
              </m:sSub>
              <m:d>
                <m:dPr>
                  <m:begChr m:val="("/>
                  <m:endChr m:val=")"/>
                  <m:sepChr m:val=""/>
                  <m:grow/>
                </m:dPr>
                <m:e>
                  <m:r>
                    <m:t>0</m:t>
                  </m:r>
                  <m:r>
                    <m:rPr>
                      <m:sty m:val="p"/>
                    </m:rPr>
                    <m:t>,</m:t>
                  </m:r>
                  <m:r>
                    <m:t>1</m:t>
                  </m:r>
                </m:e>
              </m:d>
            </m:oMath>
          </w:p>
        </w:tc>
        <w:tc>
          <w:tcPr/>
          <w:p>
            <w:pPr>
              <w:pStyle w:val="Compact"/>
              <w:jc w:val="center"/>
            </w:pPr>
            <w:r>
              <w:t xml:space="preserve">0.51</w:t>
            </w:r>
            <w:r>
              <w:t xml:space="preserve"> </w:t>
            </w:r>
            <w:r>
              <w:t xml:space="preserve">(0, 2.37)</w:t>
            </w:r>
          </w:p>
        </w:tc>
        <w:tc>
          <w:tcPr/>
          <w:p>
            <w:pPr>
              <w:pStyle w:val="Compact"/>
              <w:jc w:val="center"/>
            </w:pPr>
            <w:r>
              <w:t xml:space="preserve">5450.67</w:t>
            </w:r>
          </w:p>
        </w:tc>
        <w:tc>
          <w:tcPr/>
          <w:p>
            <w:pPr>
              <w:pStyle w:val="Compact"/>
              <w:jc w:val="center"/>
            </w:pPr>
            <w:r>
              <w:t xml:space="preserve">4335.94</w:t>
            </w:r>
          </w:p>
        </w:tc>
        <w:tc>
          <w:tcPr/>
          <w:p>
            <w:pPr>
              <w:pStyle w:val="Compact"/>
              <w:jc w:val="center"/>
            </w:pPr>
            <w:r>
              <w:t xml:space="preserve">1</w:t>
            </w:r>
          </w:p>
        </w:tc>
      </w:tr>
    </w:tbl>
    <w:p>
      <w:pPr>
        <w:pStyle w:val="BodyText"/>
      </w:pPr>
      <w:r>
        <w:rPr>
          <w:b/>
          <w:bCs/>
        </w:rPr>
        <w:t xml:space="preserve">Parameter estimates for extended model fit to extended simulated data with epidemiological risk factor of multiple infection.</w:t>
      </w:r>
      <w:r>
        <w:t xml:space="preserve"> </w:t>
      </w:r>
      <w:r>
        <w:t xml:space="preserve">ESS = effective sample size. HPD = highest posterior density.</w:t>
      </w:r>
    </w:p>
    <w:bookmarkEnd w:id="86"/>
    <w:bookmarkStart w:id="88" w:name="s8-table."/>
    <w:p>
      <w:pPr>
        <w:pStyle w:val="Heading4"/>
      </w:pPr>
      <w:r>
        <w:t xml:space="preserve">S8 Table.</w:t>
      </w:r>
    </w:p>
    <w:p>
      <w:pPr>
        <w:pStyle w:val="FirstParagraph"/>
      </w:pPr>
      <w:bookmarkStart w:id="87" w:name="empirical_full_table"/>
      <w:bookmarkEnd w:id="87"/>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-0.08</w:t>
            </w:r>
            <w:r>
              <w:t xml:space="preserve"> </w:t>
            </w:r>
            <w:r>
              <w:t xml:space="preserve">(-0.18, 0.01)</w:t>
            </w:r>
          </w:p>
        </w:tc>
        <w:tc>
          <w:tcPr/>
          <w:p>
            <w:pPr>
              <w:pStyle w:val="Compact"/>
              <w:jc w:val="center"/>
            </w:pPr>
            <w:r>
              <w:t xml:space="preserve">1094.34</w:t>
            </w:r>
          </w:p>
        </w:tc>
        <w:tc>
          <w:tcPr/>
          <w:p>
            <w:pPr>
              <w:pStyle w:val="Compact"/>
              <w:jc w:val="center"/>
            </w:pPr>
            <w:r>
              <w:t xml:space="preserve">2116.52</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(2.45, 2.76)</w:t>
            </w:r>
          </w:p>
        </w:tc>
        <w:tc>
          <w:tcPr/>
          <w:p>
            <w:pPr>
              <w:pStyle w:val="Compact"/>
              <w:jc w:val="center"/>
            </w:pPr>
            <w:r>
              <w:t xml:space="preserve">1522.61</w:t>
            </w:r>
          </w:p>
        </w:tc>
        <w:tc>
          <w:tcPr/>
          <w:p>
            <w:pPr>
              <w:pStyle w:val="Compact"/>
              <w:jc w:val="center"/>
            </w:pPr>
            <w:r>
              <w:t xml:space="preserve">3106.93</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(0.76, 0.95)</w:t>
            </w:r>
          </w:p>
        </w:tc>
        <w:tc>
          <w:tcPr/>
          <w:p>
            <w:pPr>
              <w:pStyle w:val="Compact"/>
              <w:jc w:val="center"/>
            </w:pPr>
            <w:r>
              <w:t xml:space="preserve">1513.14</w:t>
            </w:r>
          </w:p>
        </w:tc>
        <w:tc>
          <w:tcPr/>
          <w:p>
            <w:pPr>
              <w:pStyle w:val="Compact"/>
              <w:jc w:val="center"/>
            </w:pPr>
            <w:r>
              <w:t xml:space="preserve">2991.73</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(1.38, 1.63)</w:t>
            </w:r>
          </w:p>
        </w:tc>
        <w:tc>
          <w:tcPr/>
          <w:p>
            <w:pPr>
              <w:pStyle w:val="Compact"/>
              <w:jc w:val="center"/>
            </w:pPr>
            <w:r>
              <w:t xml:space="preserve">2283.44</w:t>
            </w:r>
          </w:p>
        </w:tc>
        <w:tc>
          <w:tcPr/>
          <w:p>
            <w:pPr>
              <w:pStyle w:val="Compact"/>
              <w:jc w:val="center"/>
            </w:pPr>
            <w:r>
              <w:t xml:space="preserve">3711.07</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(1.45, 1.59)</w:t>
            </w:r>
          </w:p>
        </w:tc>
        <w:tc>
          <w:tcPr/>
          <w:p>
            <w:pPr>
              <w:pStyle w:val="Compact"/>
              <w:jc w:val="center"/>
            </w:pPr>
            <w:r>
              <w:t xml:space="preserve">4631.32</w:t>
            </w:r>
          </w:p>
        </w:tc>
        <w:tc>
          <w:tcPr/>
          <w:p>
            <w:pPr>
              <w:pStyle w:val="Compact"/>
              <w:jc w:val="center"/>
            </w:pPr>
            <w:r>
              <w:t xml:space="preserve">6140</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-2.79</w:t>
            </w:r>
            <w:r>
              <w:t xml:space="preserve"> </w:t>
            </w:r>
            <w:r>
              <w:t xml:space="preserve">(-3.03, -2.56)</w:t>
            </w:r>
          </w:p>
        </w:tc>
        <w:tc>
          <w:tcPr/>
          <w:p>
            <w:pPr>
              <w:pStyle w:val="Compact"/>
              <w:jc w:val="center"/>
            </w:pPr>
            <w:r>
              <w:t xml:space="preserve">7236.45</w:t>
            </w:r>
          </w:p>
        </w:tc>
        <w:tc>
          <w:tcPr/>
          <w:p>
            <w:pPr>
              <w:pStyle w:val="Compact"/>
              <w:jc w:val="center"/>
            </w:pPr>
            <w:r>
              <w:t xml:space="preserve">4682.27</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0.29</w:t>
            </w:r>
            <w:r>
              <w:t xml:space="preserve"> </w:t>
            </w:r>
            <w:r>
              <w:t xml:space="preserve">(0.12, 0.47)</w:t>
            </w:r>
          </w:p>
        </w:tc>
        <w:tc>
          <w:tcPr/>
          <w:p>
            <w:pPr>
              <w:pStyle w:val="Compact"/>
              <w:jc w:val="center"/>
            </w:pPr>
            <w:r>
              <w:t xml:space="preserve">5004.3</w:t>
            </w:r>
          </w:p>
        </w:tc>
        <w:tc>
          <w:tcPr/>
          <w:p>
            <w:pPr>
              <w:pStyle w:val="Compact"/>
              <w:jc w:val="center"/>
            </w:pPr>
            <w:r>
              <w:t xml:space="preserve">5833.33</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-5.73</w:t>
            </w:r>
            <w:r>
              <w:t xml:space="preserve"> </w:t>
            </w:r>
            <w:r>
              <w:t xml:space="preserve">(-5.96, -5.5)</w:t>
            </w:r>
          </w:p>
        </w:tc>
        <w:tc>
          <w:tcPr/>
          <w:p>
            <w:pPr>
              <w:pStyle w:val="Compact"/>
              <w:jc w:val="center"/>
            </w:pPr>
            <w:r>
              <w:t xml:space="preserve">4917.44</w:t>
            </w:r>
          </w:p>
        </w:tc>
        <w:tc>
          <w:tcPr/>
          <w:p>
            <w:pPr>
              <w:pStyle w:val="Compact"/>
              <w:jc w:val="center"/>
            </w:pPr>
            <w:r>
              <w:t xml:space="preserve">5128.91</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w:t>
      </w:r>
      <w:r>
        <w:t xml:space="preserve"> </w:t>
      </w:r>
      <w:r>
        <w:t xml:space="preserve">ESS = effective sample size. HPD = highest posterior density.</w:t>
      </w:r>
    </w:p>
    <w:bookmarkEnd w:id="88"/>
    <w:bookmarkStart w:id="90" w:name="s9-table."/>
    <w:p>
      <w:pPr>
        <w:pStyle w:val="Heading4"/>
      </w:pPr>
      <w:r>
        <w:t xml:space="preserve">S9 Table.</w:t>
      </w:r>
    </w:p>
    <w:p>
      <w:pPr>
        <w:pStyle w:val="FirstParagraph"/>
      </w:pPr>
      <w:bookmarkStart w:id="89" w:name="empirical_comm_table"/>
      <w:bookmarkEnd w:id="89"/>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(-0.19, 0.01)</w:t>
            </w:r>
          </w:p>
        </w:tc>
        <w:tc>
          <w:tcPr/>
          <w:p>
            <w:pPr>
              <w:pStyle w:val="Compact"/>
              <w:jc w:val="center"/>
            </w:pPr>
            <w:r>
              <w:t xml:space="preserve">1146.2</w:t>
            </w:r>
          </w:p>
        </w:tc>
        <w:tc>
          <w:tcPr/>
          <w:p>
            <w:pPr>
              <w:pStyle w:val="Compact"/>
              <w:jc w:val="center"/>
            </w:pPr>
            <w:r>
              <w:t xml:space="preserve">1814.41</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(2.46, 2.78)</w:t>
            </w:r>
          </w:p>
        </w:tc>
        <w:tc>
          <w:tcPr/>
          <w:p>
            <w:pPr>
              <w:pStyle w:val="Compact"/>
              <w:jc w:val="center"/>
            </w:pPr>
            <w:r>
              <w:t xml:space="preserve">1169.91</w:t>
            </w:r>
          </w:p>
        </w:tc>
        <w:tc>
          <w:tcPr/>
          <w:p>
            <w:pPr>
              <w:pStyle w:val="Compact"/>
              <w:jc w:val="center"/>
            </w:pPr>
            <w:r>
              <w:t xml:space="preserve">2091.67</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0.86</w:t>
            </w:r>
            <w:r>
              <w:t xml:space="preserve"> </w:t>
            </w:r>
            <w:r>
              <w:t xml:space="preserve">(0.76, 0.95)</w:t>
            </w:r>
          </w:p>
        </w:tc>
        <w:tc>
          <w:tcPr/>
          <w:p>
            <w:pPr>
              <w:pStyle w:val="Compact"/>
              <w:jc w:val="center"/>
            </w:pPr>
            <w:r>
              <w:t xml:space="preserve">1305.16</w:t>
            </w:r>
          </w:p>
        </w:tc>
        <w:tc>
          <w:tcPr/>
          <w:p>
            <w:pPr>
              <w:pStyle w:val="Compact"/>
              <w:jc w:val="center"/>
            </w:pPr>
            <w:r>
              <w:t xml:space="preserve">2202.41</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1.51</w:t>
            </w:r>
            <w:r>
              <w:t xml:space="preserve"> </w:t>
            </w:r>
            <w:r>
              <w:t xml:space="preserve">(1.38, 1.64)</w:t>
            </w:r>
          </w:p>
        </w:tc>
        <w:tc>
          <w:tcPr/>
          <w:p>
            <w:pPr>
              <w:pStyle w:val="Compact"/>
              <w:jc w:val="center"/>
            </w:pPr>
            <w:r>
              <w:t xml:space="preserve">2171.41</w:t>
            </w:r>
          </w:p>
        </w:tc>
        <w:tc>
          <w:tcPr/>
          <w:p>
            <w:pPr>
              <w:pStyle w:val="Compact"/>
              <w:jc w:val="center"/>
            </w:pPr>
            <w:r>
              <w:t xml:space="preserve">3907.97</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(1.46, 1.59)</w:t>
            </w:r>
          </w:p>
        </w:tc>
        <w:tc>
          <w:tcPr/>
          <w:p>
            <w:pPr>
              <w:pStyle w:val="Compact"/>
              <w:jc w:val="center"/>
            </w:pPr>
            <w:r>
              <w:t xml:space="preserve">4013.69</w:t>
            </w:r>
          </w:p>
        </w:tc>
        <w:tc>
          <w:tcPr/>
          <w:p>
            <w:pPr>
              <w:pStyle w:val="Compact"/>
              <w:jc w:val="center"/>
            </w:pPr>
            <w:r>
              <w:t xml:space="preserve">5383.67</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-3.16</w:t>
            </w:r>
            <w:r>
              <w:t xml:space="preserve"> </w:t>
            </w:r>
            <w:r>
              <w:t xml:space="preserve">(-3.73, -2.67)</w:t>
            </w:r>
          </w:p>
        </w:tc>
        <w:tc>
          <w:tcPr/>
          <w:p>
            <w:pPr>
              <w:pStyle w:val="Compact"/>
              <w:jc w:val="center"/>
            </w:pPr>
            <w:r>
              <w:t xml:space="preserve">5543.81</w:t>
            </w:r>
          </w:p>
        </w:tc>
        <w:tc>
          <w:tcPr/>
          <w:p>
            <w:pPr>
              <w:pStyle w:val="Compact"/>
              <w:jc w:val="center"/>
            </w:pPr>
            <w:r>
              <w:t xml:space="preserve">5487.07</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0.76</w:t>
            </w:r>
            <w:r>
              <w:t xml:space="preserve"> </w:t>
            </w:r>
            <w:r>
              <w:t xml:space="preserve">(0.27, 1.3)</w:t>
            </w:r>
          </w:p>
        </w:tc>
        <w:tc>
          <w:tcPr/>
          <w:p>
            <w:pPr>
              <w:pStyle w:val="Compact"/>
              <w:jc w:val="center"/>
            </w:pPr>
            <w:r>
              <w:t xml:space="preserve">7418.81</w:t>
            </w:r>
          </w:p>
        </w:tc>
        <w:tc>
          <w:tcPr/>
          <w:p>
            <w:pPr>
              <w:pStyle w:val="Compact"/>
              <w:jc w:val="center"/>
            </w:pPr>
            <w:r>
              <w:t xml:space="preserve">6411.46</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(bait)</w:t>
            </w:r>
          </w:p>
        </w:tc>
        <w:tc>
          <w:tcPr/>
          <w:p>
            <w:pPr>
              <w:pStyle w:val="Compact"/>
              <w:jc w:val="center"/>
            </w:pPr>
            <w:r>
              <w:t xml:space="preserve">Normal(0,1)</w:t>
            </w:r>
          </w:p>
        </w:tc>
        <w:tc>
          <w:tcPr/>
          <w:p>
            <w:pPr>
              <w:pStyle w:val="Compact"/>
              <w:jc w:val="center"/>
            </w:pPr>
            <w:r>
              <w:t xml:space="preserve">-0.28</w:t>
            </w:r>
            <w:r>
              <w:t xml:space="preserve"> </w:t>
            </w:r>
            <w:r>
              <w:t xml:space="preserve">(-0.7, 0.17)</w:t>
            </w:r>
          </w:p>
        </w:tc>
        <w:tc>
          <w:tcPr/>
          <w:p>
            <w:pPr>
              <w:pStyle w:val="Compact"/>
              <w:jc w:val="center"/>
            </w:pPr>
            <w:r>
              <w:t xml:space="preserve">7430</w:t>
            </w:r>
          </w:p>
        </w:tc>
        <w:tc>
          <w:tcPr/>
          <w:p>
            <w:pPr>
              <w:pStyle w:val="Compact"/>
              <w:jc w:val="center"/>
            </w:pPr>
            <w:r>
              <w:t xml:space="preserve">5696.73</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0.31</w:t>
            </w:r>
            <w:r>
              <w:t xml:space="preserve"> </w:t>
            </w:r>
            <w:r>
              <w:t xml:space="preserve">(0.13, 0.49)</w:t>
            </w:r>
          </w:p>
        </w:tc>
        <w:tc>
          <w:tcPr/>
          <w:p>
            <w:pPr>
              <w:pStyle w:val="Compact"/>
              <w:jc w:val="center"/>
            </w:pPr>
            <w:r>
              <w:t xml:space="preserve">4610.3</w:t>
            </w:r>
          </w:p>
        </w:tc>
        <w:tc>
          <w:tcPr/>
          <w:p>
            <w:pPr>
              <w:pStyle w:val="Compact"/>
              <w:jc w:val="center"/>
            </w:pPr>
            <w:r>
              <w:t xml:space="preserve">6765.86</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-5.75</w:t>
            </w:r>
            <w:r>
              <w:t xml:space="preserve"> </w:t>
            </w:r>
            <w:r>
              <w:t xml:space="preserve">(-5.99, -5.52)</w:t>
            </w:r>
          </w:p>
        </w:tc>
        <w:tc>
          <w:tcPr/>
          <w:p>
            <w:pPr>
              <w:pStyle w:val="Compact"/>
              <w:jc w:val="center"/>
            </w:pPr>
            <w:r>
              <w:t xml:space="preserve">4828.24</w:t>
            </w:r>
          </w:p>
        </w:tc>
        <w:tc>
          <w:tcPr/>
          <w:p>
            <w:pPr>
              <w:pStyle w:val="Compact"/>
              <w:jc w:val="center"/>
            </w:pPr>
            <w:r>
              <w:t xml:space="preserve">5368.65</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 with community type as a putative risk factor for harboring multiple infections</w:t>
      </w:r>
      <w:r>
        <w:t xml:space="preserve"> </w:t>
      </w:r>
      <w:r>
        <w:t xml:space="preserve">ESS = effective sample size. HPD = highest posterior density.</w:t>
      </w:r>
    </w:p>
    <w:bookmarkEnd w:id="90"/>
    <w:bookmarkStart w:id="92" w:name="s10-table."/>
    <w:p>
      <w:pPr>
        <w:pStyle w:val="Heading4"/>
      </w:pPr>
      <w:r>
        <w:t xml:space="preserve">S10 Table.</w:t>
      </w:r>
    </w:p>
    <w:p>
      <w:pPr>
        <w:pStyle w:val="FirstParagraph"/>
      </w:pPr>
      <w:bookmarkStart w:id="91" w:name="empirical_seq_table"/>
      <w:bookmarkEnd w:id="91"/>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(-0.19, 0)</w:t>
            </w:r>
          </w:p>
        </w:tc>
        <w:tc>
          <w:tcPr/>
          <w:p>
            <w:pPr>
              <w:pStyle w:val="Compact"/>
              <w:jc w:val="center"/>
            </w:pPr>
            <w:r>
              <w:t xml:space="preserve">525.87</w:t>
            </w:r>
          </w:p>
        </w:tc>
        <w:tc>
          <w:tcPr/>
          <w:p>
            <w:pPr>
              <w:pStyle w:val="Compact"/>
              <w:jc w:val="center"/>
            </w:pPr>
            <w:r>
              <w:t xml:space="preserve">1229.28</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(2.46, 2.78)</w:t>
            </w:r>
          </w:p>
        </w:tc>
        <w:tc>
          <w:tcPr/>
          <w:p>
            <w:pPr>
              <w:pStyle w:val="Compact"/>
              <w:jc w:val="center"/>
            </w:pPr>
            <w:r>
              <w:t xml:space="preserve">657.52</w:t>
            </w:r>
          </w:p>
        </w:tc>
        <w:tc>
          <w:tcPr/>
          <w:p>
            <w:pPr>
              <w:pStyle w:val="Compact"/>
              <w:jc w:val="center"/>
            </w:pPr>
            <w:r>
              <w:t xml:space="preserve">1460.72</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0.86</w:t>
            </w:r>
            <w:r>
              <w:t xml:space="preserve"> </w:t>
            </w:r>
            <w:r>
              <w:t xml:space="preserve">(0.76, 0.95)</w:t>
            </w:r>
          </w:p>
        </w:tc>
        <w:tc>
          <w:tcPr/>
          <w:p>
            <w:pPr>
              <w:pStyle w:val="Compact"/>
              <w:jc w:val="center"/>
            </w:pPr>
            <w:r>
              <w:t xml:space="preserve">646.06</w:t>
            </w:r>
          </w:p>
        </w:tc>
        <w:tc>
          <w:tcPr/>
          <w:p>
            <w:pPr>
              <w:pStyle w:val="Compact"/>
              <w:jc w:val="center"/>
            </w:pPr>
            <w:r>
              <w:t xml:space="preserve">1269.78</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(1.39, 1.64)</w:t>
            </w:r>
          </w:p>
        </w:tc>
        <w:tc>
          <w:tcPr/>
          <w:p>
            <w:pPr>
              <w:pStyle w:val="Compact"/>
              <w:jc w:val="center"/>
            </w:pPr>
            <w:r>
              <w:t xml:space="preserve">942.2</w:t>
            </w:r>
          </w:p>
        </w:tc>
        <w:tc>
          <w:tcPr/>
          <w:p>
            <w:pPr>
              <w:pStyle w:val="Compact"/>
              <w:jc w:val="center"/>
            </w:pPr>
            <w:r>
              <w:t xml:space="preserve">1762.16</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(1.45, 1.59)</w:t>
            </w:r>
          </w:p>
        </w:tc>
        <w:tc>
          <w:tcPr/>
          <w:p>
            <w:pPr>
              <w:pStyle w:val="Compact"/>
              <w:jc w:val="center"/>
            </w:pPr>
            <w:r>
              <w:t xml:space="preserve">2843.24</w:t>
            </w:r>
          </w:p>
        </w:tc>
        <w:tc>
          <w:tcPr/>
          <w:p>
            <w:pPr>
              <w:pStyle w:val="Compact"/>
              <w:jc w:val="center"/>
            </w:pPr>
            <w:r>
              <w:t xml:space="preserve">4276.61</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-2.54</w:t>
            </w:r>
            <w:r>
              <w:t xml:space="preserve"> </w:t>
            </w:r>
            <w:r>
              <w:t xml:space="preserve">(-2.86, -2.25)</w:t>
            </w:r>
          </w:p>
        </w:tc>
        <w:tc>
          <w:tcPr/>
          <w:p>
            <w:pPr>
              <w:pStyle w:val="Compact"/>
              <w:jc w:val="center"/>
            </w:pPr>
            <w:r>
              <w:t xml:space="preserve">3234</w:t>
            </w:r>
          </w:p>
        </w:tc>
        <w:tc>
          <w:tcPr/>
          <w:p>
            <w:pPr>
              <w:pStyle w:val="Compact"/>
              <w:jc w:val="center"/>
            </w:pPr>
            <w:r>
              <w:t xml:space="preserve">5148.56</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(bait)</w:t>
            </w:r>
          </w:p>
        </w:tc>
        <w:tc>
          <w:tcPr/>
          <w:p>
            <w:pPr>
              <w:pStyle w:val="Compact"/>
              <w:jc w:val="center"/>
            </w:pPr>
            <w:r>
              <w:t xml:space="preserve">Normal(0,1)</w:t>
            </w:r>
          </w:p>
        </w:tc>
        <w:tc>
          <w:tcPr/>
          <w:p>
            <w:pPr>
              <w:pStyle w:val="Compact"/>
              <w:jc w:val="center"/>
            </w:pPr>
            <w:r>
              <w:t xml:space="preserve">-0.45</w:t>
            </w:r>
            <w:r>
              <w:t xml:space="preserve"> </w:t>
            </w:r>
            <w:r>
              <w:t xml:space="preserve">(-0.87, -0.03)</w:t>
            </w:r>
          </w:p>
        </w:tc>
        <w:tc>
          <w:tcPr/>
          <w:p>
            <w:pPr>
              <w:pStyle w:val="Compact"/>
              <w:jc w:val="center"/>
            </w:pPr>
            <w:r>
              <w:t xml:space="preserve">3981.07</w:t>
            </w:r>
          </w:p>
        </w:tc>
        <w:tc>
          <w:tcPr/>
          <w:p>
            <w:pPr>
              <w:pStyle w:val="Compact"/>
              <w:jc w:val="center"/>
            </w:pPr>
            <w:r>
              <w:t xml:space="preserve">5737</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0.29</w:t>
            </w:r>
            <w:r>
              <w:t xml:space="preserve"> </w:t>
            </w:r>
            <w:r>
              <w:t xml:space="preserve">(0.11, 0.46)</w:t>
            </w:r>
          </w:p>
        </w:tc>
        <w:tc>
          <w:tcPr/>
          <w:p>
            <w:pPr>
              <w:pStyle w:val="Compact"/>
              <w:jc w:val="center"/>
            </w:pPr>
            <w:r>
              <w:t xml:space="preserve">2888.58</w:t>
            </w:r>
          </w:p>
        </w:tc>
        <w:tc>
          <w:tcPr/>
          <w:p>
            <w:pPr>
              <w:pStyle w:val="Compact"/>
              <w:jc w:val="center"/>
            </w:pPr>
            <w:r>
              <w:t xml:space="preserve">4248.63</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-5.73</w:t>
            </w:r>
            <w:r>
              <w:t xml:space="preserve"> </w:t>
            </w:r>
            <w:r>
              <w:t xml:space="preserve">(-5.96, -5.5)</w:t>
            </w:r>
          </w:p>
        </w:tc>
        <w:tc>
          <w:tcPr/>
          <w:p>
            <w:pPr>
              <w:pStyle w:val="Compact"/>
              <w:jc w:val="center"/>
            </w:pPr>
            <w:r>
              <w:t xml:space="preserve">3106.38</w:t>
            </w:r>
          </w:p>
        </w:tc>
        <w:tc>
          <w:tcPr/>
          <w:p>
            <w:pPr>
              <w:pStyle w:val="Compact"/>
              <w:jc w:val="center"/>
            </w:pPr>
            <w:r>
              <w:t xml:space="preserve">4689.05</w:t>
            </w:r>
          </w:p>
        </w:tc>
        <w:tc>
          <w:tcPr/>
          <w:p>
            <w:pPr>
              <w:pStyle w:val="Compact"/>
              <w:jc w:val="center"/>
            </w:pPr>
            <w:r>
              <w:t xml:space="preserve">1</w:t>
            </w:r>
          </w:p>
        </w:tc>
      </w:tr>
    </w:tbl>
    <w:p>
      <w:pPr>
        <w:pStyle w:val="BodyText"/>
      </w:pPr>
      <w:r>
        <w:rPr>
          <w:b/>
          <w:bCs/>
        </w:rPr>
        <w:t xml:space="preserve">Parameter estimates for full model fit to deep-sequence data from 2,029 RCCS participants living with viremic HIV with deep-sequencing protocol as a predictor harboring multiple infections.</w:t>
      </w:r>
      <w:r>
        <w:t xml:space="preserve"> </w:t>
      </w:r>
      <w:r>
        <w:t xml:space="preserve">ESS = effective sample size. HPD = highest posterior density.</w:t>
      </w:r>
    </w:p>
    <w:bookmarkEnd w:id="92"/>
    <w:bookmarkStart w:id="94" w:name="s11-table."/>
    <w:p>
      <w:pPr>
        <w:pStyle w:val="Heading4"/>
      </w:pPr>
      <w:r>
        <w:t xml:space="preserve">S11 Table.</w:t>
      </w:r>
    </w:p>
    <w:p>
      <w:pPr>
        <w:pStyle w:val="FirstParagraph"/>
      </w:pPr>
      <w:bookmarkStart w:id="93" w:name="empirical_sexpever_men_table"/>
      <w:bookmarkEnd w:id="93"/>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0.03</w:t>
            </w:r>
            <w:r>
              <w:t xml:space="preserve"> </w:t>
            </w:r>
            <w:r>
              <w:t xml:space="preserve">(-0.13, 0.19)</w:t>
            </w:r>
          </w:p>
        </w:tc>
        <w:tc>
          <w:tcPr/>
          <w:p>
            <w:pPr>
              <w:pStyle w:val="Compact"/>
              <w:jc w:val="center"/>
            </w:pPr>
            <w:r>
              <w:t xml:space="preserve">1339.58</w:t>
            </w:r>
          </w:p>
        </w:tc>
        <w:tc>
          <w:tcPr/>
          <w:p>
            <w:pPr>
              <w:pStyle w:val="Compact"/>
              <w:jc w:val="center"/>
            </w:pPr>
            <w:r>
              <w:t xml:space="preserve">2427.25</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2.78</w:t>
            </w:r>
            <w:r>
              <w:t xml:space="preserve"> </w:t>
            </w:r>
            <w:r>
              <w:t xml:space="preserve">(2.55, 3.02)</w:t>
            </w:r>
          </w:p>
        </w:tc>
        <w:tc>
          <w:tcPr/>
          <w:p>
            <w:pPr>
              <w:pStyle w:val="Compact"/>
              <w:jc w:val="center"/>
            </w:pPr>
            <w:r>
              <w:t xml:space="preserve">1753.89</w:t>
            </w:r>
          </w:p>
        </w:tc>
        <w:tc>
          <w:tcPr/>
          <w:p>
            <w:pPr>
              <w:pStyle w:val="Compact"/>
              <w:jc w:val="center"/>
            </w:pPr>
            <w:r>
              <w:t xml:space="preserve">3032.01</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0.87</w:t>
            </w:r>
            <w:r>
              <w:t xml:space="preserve"> </w:t>
            </w:r>
            <w:r>
              <w:t xml:space="preserve">(0.72, 1.03)</w:t>
            </w:r>
          </w:p>
        </w:tc>
        <w:tc>
          <w:tcPr/>
          <w:p>
            <w:pPr>
              <w:pStyle w:val="Compact"/>
              <w:jc w:val="center"/>
            </w:pPr>
            <w:r>
              <w:t xml:space="preserve">1543.34</w:t>
            </w:r>
          </w:p>
        </w:tc>
        <w:tc>
          <w:tcPr/>
          <w:p>
            <w:pPr>
              <w:pStyle w:val="Compact"/>
              <w:jc w:val="center"/>
            </w:pPr>
            <w:r>
              <w:t xml:space="preserve">2738.45</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1.45</w:t>
            </w:r>
            <w:r>
              <w:t xml:space="preserve"> </w:t>
            </w:r>
            <w:r>
              <w:t xml:space="preserve">(1.27, 1.63)</w:t>
            </w:r>
          </w:p>
        </w:tc>
        <w:tc>
          <w:tcPr/>
          <w:p>
            <w:pPr>
              <w:pStyle w:val="Compact"/>
              <w:jc w:val="center"/>
            </w:pPr>
            <w:r>
              <w:t xml:space="preserve">2386.46</w:t>
            </w:r>
          </w:p>
        </w:tc>
        <w:tc>
          <w:tcPr/>
          <w:p>
            <w:pPr>
              <w:pStyle w:val="Compact"/>
              <w:jc w:val="center"/>
            </w:pPr>
            <w:r>
              <w:t xml:space="preserve">4352.04</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1.57</w:t>
            </w:r>
            <w:r>
              <w:t xml:space="preserve"> </w:t>
            </w:r>
            <w:r>
              <w:t xml:space="preserve">(1.47, 1.67)</w:t>
            </w:r>
          </w:p>
        </w:tc>
        <w:tc>
          <w:tcPr/>
          <w:p>
            <w:pPr>
              <w:pStyle w:val="Compact"/>
              <w:jc w:val="center"/>
            </w:pPr>
            <w:r>
              <w:t xml:space="preserve">3828.27</w:t>
            </w:r>
          </w:p>
        </w:tc>
        <w:tc>
          <w:tcPr/>
          <w:p>
            <w:pPr>
              <w:pStyle w:val="Compact"/>
              <w:jc w:val="center"/>
            </w:pPr>
            <w:r>
              <w:t xml:space="preserve">5678.22</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-3.1</w:t>
            </w:r>
            <w:r>
              <w:t xml:space="preserve"> </w:t>
            </w:r>
            <w:r>
              <w:t xml:space="preserve">(-3.93, -2.39)</w:t>
            </w:r>
          </w:p>
        </w:tc>
        <w:tc>
          <w:tcPr/>
          <w:p>
            <w:pPr>
              <w:pStyle w:val="Compact"/>
              <w:jc w:val="center"/>
            </w:pPr>
            <w:r>
              <w:t xml:space="preserve">6078.09</w:t>
            </w:r>
          </w:p>
        </w:tc>
        <w:tc>
          <w:tcPr/>
          <w:p>
            <w:pPr>
              <w:pStyle w:val="Compact"/>
              <w:jc w:val="center"/>
            </w:pPr>
            <w:r>
              <w:t xml:space="preserve">5053.03</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0.78</w:t>
            </w:r>
            <w:r>
              <w:t xml:space="preserve"> </w:t>
            </w:r>
            <w:r>
              <w:t xml:space="preserve">(0.11, 1.55)</w:t>
            </w:r>
          </w:p>
        </w:tc>
        <w:tc>
          <w:tcPr/>
          <w:p>
            <w:pPr>
              <w:pStyle w:val="Compact"/>
              <w:jc w:val="center"/>
            </w:pPr>
            <w:r>
              <w:t xml:space="preserve">7428.5</w:t>
            </w:r>
          </w:p>
        </w:tc>
        <w:tc>
          <w:tcPr/>
          <w:p>
            <w:pPr>
              <w:pStyle w:val="Compact"/>
              <w:jc w:val="center"/>
            </w:pPr>
            <w:r>
              <w:t xml:space="preserve">5205.68</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(bait)</w:t>
            </w:r>
          </w:p>
        </w:tc>
        <w:tc>
          <w:tcPr/>
          <w:p>
            <w:pPr>
              <w:pStyle w:val="Compact"/>
              <w:jc w:val="center"/>
            </w:pPr>
            <w:r>
              <w:t xml:space="preserve">Normal(0,1)</w:t>
            </w:r>
          </w:p>
        </w:tc>
        <w:tc>
          <w:tcPr/>
          <w:p>
            <w:pPr>
              <w:pStyle w:val="Compact"/>
              <w:jc w:val="center"/>
            </w:pPr>
            <w:r>
              <w:t xml:space="preserve">-0.17</w:t>
            </w:r>
            <w:r>
              <w:t xml:space="preserve"> </w:t>
            </w:r>
            <w:r>
              <w:t xml:space="preserve">(-0.72, 0.38)</w:t>
            </w:r>
          </w:p>
        </w:tc>
        <w:tc>
          <w:tcPr/>
          <w:p>
            <w:pPr>
              <w:pStyle w:val="Compact"/>
              <w:jc w:val="center"/>
            </w:pPr>
            <w:r>
              <w:t xml:space="preserve">9545.07</w:t>
            </w:r>
          </w:p>
        </w:tc>
        <w:tc>
          <w:tcPr/>
          <w:p>
            <w:pPr>
              <w:pStyle w:val="Compact"/>
              <w:jc w:val="center"/>
            </w:pPr>
            <w:r>
              <w:t xml:space="preserve">6134.2</w:t>
            </w:r>
          </w:p>
        </w:tc>
        <w:tc>
          <w:tcPr/>
          <w:p>
            <w:pPr>
              <w:pStyle w:val="Compact"/>
              <w:jc w:val="center"/>
            </w:pPr>
            <w:r>
              <w:t xml:space="preserve">1</w:t>
            </w:r>
          </w:p>
        </w:tc>
      </w:tr>
      <w:tr>
        <w:tc>
          <w:tcPr/>
          <w:p>
            <w:pPr>
              <w:pStyle w:val="Compact"/>
              <w:jc w:val="left"/>
            </w:pPr>
            <m:oMath>
              <m:sSub>
                <m:e>
                  <m:r>
                    <m:t>β</m:t>
                  </m:r>
                </m:e>
                <m:sub>
                  <m:r>
                    <m:t>3</m:t>
                  </m:r>
                </m:sub>
              </m:sSub>
            </m:oMath>
            <w:r>
              <w:t xml:space="preserve"> </w:t>
            </w:r>
            <w:r>
              <w:t xml:space="preserve">(inland:sexpever)</w:t>
            </w:r>
          </w:p>
        </w:tc>
        <w:tc>
          <w:tcPr/>
          <w:p>
            <w:pPr>
              <w:pStyle w:val="Compact"/>
              <w:jc w:val="center"/>
            </w:pPr>
            <w:r>
              <w:t xml:space="preserve">Normal(0,1)</w:t>
            </w:r>
          </w:p>
        </w:tc>
        <w:tc>
          <w:tcPr/>
          <w:p>
            <w:pPr>
              <w:pStyle w:val="Compact"/>
              <w:jc w:val="center"/>
            </w:pPr>
            <w:r>
              <w:t xml:space="preserve">-0.01</w:t>
            </w:r>
            <w:r>
              <w:t xml:space="preserve"> </w:t>
            </w:r>
            <w:r>
              <w:t xml:space="preserve">(-0.17, 0.1)</w:t>
            </w:r>
          </w:p>
        </w:tc>
        <w:tc>
          <w:tcPr/>
          <w:p>
            <w:pPr>
              <w:pStyle w:val="Compact"/>
              <w:jc w:val="center"/>
            </w:pPr>
            <w:r>
              <w:t xml:space="preserve">4917.47</w:t>
            </w:r>
          </w:p>
        </w:tc>
        <w:tc>
          <w:tcPr/>
          <w:p>
            <w:pPr>
              <w:pStyle w:val="Compact"/>
              <w:jc w:val="center"/>
            </w:pPr>
            <w:r>
              <w:t xml:space="preserve">5644.04</w:t>
            </w:r>
          </w:p>
        </w:tc>
        <w:tc>
          <w:tcPr/>
          <w:p>
            <w:pPr>
              <w:pStyle w:val="Compact"/>
              <w:jc w:val="center"/>
            </w:pPr>
            <w:r>
              <w:t xml:space="preserve">1</w:t>
            </w:r>
          </w:p>
        </w:tc>
      </w:tr>
      <w:tr>
        <w:tc>
          <w:tcPr/>
          <w:p>
            <w:pPr>
              <w:pStyle w:val="Compact"/>
              <w:jc w:val="left"/>
            </w:pPr>
            <m:oMath>
              <m:sSub>
                <m:e>
                  <m:r>
                    <m:t>β</m:t>
                  </m:r>
                </m:e>
                <m:sub>
                  <m:r>
                    <m:t>4</m:t>
                  </m:r>
                </m:sub>
              </m:sSub>
            </m:oMath>
            <w:r>
              <w:t xml:space="preserve"> </w:t>
            </w:r>
            <w:r>
              <w:t xml:space="preserve">(fishing:sexpever)</w:t>
            </w:r>
          </w:p>
        </w:tc>
        <w:tc>
          <w:tcPr/>
          <w:p>
            <w:pPr>
              <w:pStyle w:val="Compact"/>
              <w:jc w:val="center"/>
            </w:pPr>
            <w:r>
              <w:t xml:space="preserve">Normal(0,1)</w:t>
            </w:r>
          </w:p>
        </w:tc>
        <w:tc>
          <w:tcPr/>
          <w:p>
            <w:pPr>
              <w:pStyle w:val="Compact"/>
              <w:jc w:val="center"/>
            </w:pPr>
            <w:r>
              <w:t xml:space="preserve">0.03</w:t>
            </w:r>
            <w:r>
              <w:t xml:space="preserve"> </w:t>
            </w:r>
            <w:r>
              <w:t xml:space="preserve">(0, 0.07)</w:t>
            </w:r>
          </w:p>
        </w:tc>
        <w:tc>
          <w:tcPr/>
          <w:p>
            <w:pPr>
              <w:pStyle w:val="Compact"/>
              <w:jc w:val="center"/>
            </w:pPr>
            <w:r>
              <w:t xml:space="preserve">4686.68</w:t>
            </w:r>
          </w:p>
        </w:tc>
        <w:tc>
          <w:tcPr/>
          <w:p>
            <w:pPr>
              <w:pStyle w:val="Compact"/>
              <w:jc w:val="center"/>
            </w:pPr>
            <w:r>
              <w:t xml:space="preserve">5224.49</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0.51</w:t>
            </w:r>
            <w:r>
              <w:t xml:space="preserve"> </w:t>
            </w:r>
            <w:r>
              <w:t xml:space="preserve">(0.32, 0.69)</w:t>
            </w:r>
          </w:p>
        </w:tc>
        <w:tc>
          <w:tcPr/>
          <w:p>
            <w:pPr>
              <w:pStyle w:val="Compact"/>
              <w:jc w:val="center"/>
            </w:pPr>
            <w:r>
              <w:t xml:space="preserve">7346.01</w:t>
            </w:r>
          </w:p>
        </w:tc>
        <w:tc>
          <w:tcPr/>
          <w:p>
            <w:pPr>
              <w:pStyle w:val="Compact"/>
              <w:jc w:val="center"/>
            </w:pPr>
            <w:r>
              <w:t xml:space="preserve">5940.72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-5.92</w:t>
            </w:r>
            <w:r>
              <w:t xml:space="preserve"> </w:t>
            </w:r>
            <w:r>
              <w:t xml:space="preserve">(-6.25, -5.6)</w:t>
            </w:r>
          </w:p>
        </w:tc>
        <w:tc>
          <w:tcPr/>
          <w:p>
            <w:pPr>
              <w:pStyle w:val="Compact"/>
              <w:jc w:val="center"/>
            </w:pPr>
            <w:r>
              <w:t xml:space="preserve">6534.59</w:t>
            </w:r>
          </w:p>
        </w:tc>
        <w:tc>
          <w:tcPr/>
          <w:p>
            <w:pPr>
              <w:pStyle w:val="Compact"/>
              <w:jc w:val="center"/>
            </w:pPr>
            <w:r>
              <w:t xml:space="preserve">6058.7</w:t>
            </w:r>
          </w:p>
        </w:tc>
        <w:tc>
          <w:tcPr/>
          <w:p>
            <w:pPr>
              <w:pStyle w:val="Compact"/>
              <w:jc w:val="center"/>
            </w:pPr>
            <w:r>
              <w:t xml:space="preserve">1</w:t>
            </w:r>
          </w:p>
        </w:tc>
      </w:tr>
    </w:tbl>
    <w:p>
      <w:pPr>
        <w:pStyle w:val="BodyText"/>
      </w:pPr>
      <w:r>
        <w:rPr>
          <w:b/>
          <w:bCs/>
        </w:rPr>
        <w:t xml:space="preserve">Parameter estimates for full model fit to deep-sequence data from 997 men who participated in the RCCS living with viremic HIV with community type and number of lifetime sex partners as a risk factor for harboring multiple infections adjusted for deep-sequencing protocol..</w:t>
      </w:r>
      <w:r>
        <w:t xml:space="preserve"> </w:t>
      </w:r>
      <w:r>
        <w:t xml:space="preserve">ESS = effective sample size. HPD = highest posterior density.</w:t>
      </w:r>
    </w:p>
    <w:bookmarkEnd w:id="94"/>
    <w:bookmarkStart w:id="96" w:name="s12-table."/>
    <w:p>
      <w:pPr>
        <w:pStyle w:val="Heading4"/>
      </w:pPr>
      <w:r>
        <w:t xml:space="preserve">S12 Table.</w:t>
      </w:r>
    </w:p>
    <w:p>
      <w:pPr>
        <w:pStyle w:val="FirstParagraph"/>
      </w:pPr>
      <w:bookmarkStart w:id="95" w:name="empirical_sexpever_men_complete_table"/>
      <w:bookmarkEnd w:id="95"/>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0.11</w:t>
            </w:r>
            <w:r>
              <w:t xml:space="preserve"> </w:t>
            </w:r>
            <w:r>
              <w:t xml:space="preserve">(-0.07, 0.31)</w:t>
            </w:r>
          </w:p>
        </w:tc>
        <w:tc>
          <w:tcPr/>
          <w:p>
            <w:pPr>
              <w:pStyle w:val="Compact"/>
              <w:jc w:val="center"/>
            </w:pPr>
            <w:r>
              <w:t xml:space="preserve">716.17</w:t>
            </w:r>
          </w:p>
        </w:tc>
        <w:tc>
          <w:tcPr/>
          <w:p>
            <w:pPr>
              <w:pStyle w:val="Compact"/>
              <w:jc w:val="center"/>
            </w:pPr>
            <w:r>
              <w:t xml:space="preserve">1357.05</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2.38</w:t>
            </w:r>
            <w:r>
              <w:t xml:space="preserve"> </w:t>
            </w:r>
            <w:r>
              <w:t xml:space="preserve">(2.08, 2.7)</w:t>
            </w:r>
          </w:p>
        </w:tc>
        <w:tc>
          <w:tcPr/>
          <w:p>
            <w:pPr>
              <w:pStyle w:val="Compact"/>
              <w:jc w:val="center"/>
            </w:pPr>
            <w:r>
              <w:t xml:space="preserve">820.82</w:t>
            </w:r>
          </w:p>
        </w:tc>
        <w:tc>
          <w:tcPr/>
          <w:p>
            <w:pPr>
              <w:pStyle w:val="Compact"/>
              <w:jc w:val="center"/>
            </w:pPr>
            <w:r>
              <w:t xml:space="preserve">1636.68</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0.93</w:t>
            </w:r>
            <w:r>
              <w:t xml:space="preserve"> </w:t>
            </w:r>
            <w:r>
              <w:t xml:space="preserve">(0.74, 1.11)</w:t>
            </w:r>
          </w:p>
        </w:tc>
        <w:tc>
          <w:tcPr/>
          <w:p>
            <w:pPr>
              <w:pStyle w:val="Compact"/>
              <w:jc w:val="center"/>
            </w:pPr>
            <w:r>
              <w:t xml:space="preserve">796.43</w:t>
            </w:r>
          </w:p>
        </w:tc>
        <w:tc>
          <w:tcPr/>
          <w:p>
            <w:pPr>
              <w:pStyle w:val="Compact"/>
              <w:jc w:val="center"/>
            </w:pPr>
            <w:r>
              <w:t xml:space="preserve">1657.19</w:t>
            </w:r>
          </w:p>
        </w:tc>
        <w:tc>
          <w:tcPr/>
          <w:p>
            <w:pPr>
              <w:pStyle w:val="Compact"/>
              <w:jc w:val="center"/>
            </w:pPr>
            <w:r>
              <w:t xml:space="preserve">1.01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1.2</w:t>
            </w:r>
            <w:r>
              <w:t xml:space="preserve"> </w:t>
            </w:r>
            <w:r>
              <w:t xml:space="preserve">(0.95, 1.45)</w:t>
            </w:r>
          </w:p>
        </w:tc>
        <w:tc>
          <w:tcPr/>
          <w:p>
            <w:pPr>
              <w:pStyle w:val="Compact"/>
              <w:jc w:val="center"/>
            </w:pPr>
            <w:r>
              <w:t xml:space="preserve">1066.29</w:t>
            </w:r>
          </w:p>
        </w:tc>
        <w:tc>
          <w:tcPr/>
          <w:p>
            <w:pPr>
              <w:pStyle w:val="Compact"/>
              <w:jc w:val="center"/>
            </w:pPr>
            <w:r>
              <w:t xml:space="preserve">2056.84</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1.51</w:t>
            </w:r>
            <w:r>
              <w:t xml:space="preserve"> </w:t>
            </w:r>
            <w:r>
              <w:t xml:space="preserve">(1.38, 1.64)</w:t>
            </w:r>
          </w:p>
        </w:tc>
        <w:tc>
          <w:tcPr/>
          <w:p>
            <w:pPr>
              <w:pStyle w:val="Compact"/>
              <w:jc w:val="center"/>
            </w:pPr>
            <w:r>
              <w:t xml:space="preserve">2916.56</w:t>
            </w:r>
          </w:p>
        </w:tc>
        <w:tc>
          <w:tcPr/>
          <w:p>
            <w:pPr>
              <w:pStyle w:val="Compact"/>
              <w:jc w:val="center"/>
            </w:pPr>
            <w:r>
              <w:t xml:space="preserve">5210.72</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-3.22</w:t>
            </w:r>
            <w:r>
              <w:t xml:space="preserve"> </w:t>
            </w:r>
            <w:r>
              <w:t xml:space="preserve">(-4.25, -2.21)</w:t>
            </w:r>
          </w:p>
        </w:tc>
        <w:tc>
          <w:tcPr/>
          <w:p>
            <w:pPr>
              <w:pStyle w:val="Compact"/>
              <w:jc w:val="center"/>
            </w:pPr>
            <w:r>
              <w:t xml:space="preserve">2833.64</w:t>
            </w:r>
          </w:p>
        </w:tc>
        <w:tc>
          <w:tcPr/>
          <w:p>
            <w:pPr>
              <w:pStyle w:val="Compact"/>
              <w:jc w:val="center"/>
            </w:pPr>
            <w:r>
              <w:t xml:space="preserve">3766.81</w:t>
            </w:r>
          </w:p>
        </w:tc>
        <w:tc>
          <w:tcPr/>
          <w:p>
            <w:pPr>
              <w:pStyle w:val="Compact"/>
              <w:jc w:val="center"/>
            </w:pPr>
            <w:r>
              <w:t xml:space="preserve">1</w:t>
            </w:r>
          </w:p>
        </w:tc>
        <w:tc>
          <w:tcPr/>
          <w:p>
            <w:pPr>
              <w:pStyle w:val="Compact"/>
            </w:pPr>
          </w:p>
        </w:tc>
      </w:tr>
      <w:tr>
        <w:tc>
          <w:tcPr/>
          <w:p>
            <w:pPr>
              <w:pStyle w:val="Compact"/>
              <w:jc w:val="left"/>
            </w:pPr>
            <m:oMath>
              <m:sSub>
                <m:e>
                  <m:r>
                    <m:t>β</m:t>
                  </m:r>
                </m:e>
                <m:sub>
                  <m:r>
                    <m:t>1</m:t>
                  </m:r>
                </m:sub>
              </m:sSub>
            </m:oMath>
            <w:r>
              <w:t xml:space="preserve"> </w:t>
            </w:r>
            <w:r>
              <w:t xml:space="preserve">(fishing)</w:t>
            </w:r>
          </w:p>
        </w:tc>
        <w:tc>
          <w:tcPr/>
          <w:p>
            <w:pPr>
              <w:pStyle w:val="Compact"/>
              <w:jc w:val="center"/>
            </w:pPr>
            <w:r>
              <w:t xml:space="preserve">Normal(0,1)</w:t>
            </w:r>
          </w:p>
        </w:tc>
        <w:tc>
          <w:tcPr/>
          <w:p>
            <w:pPr>
              <w:pStyle w:val="Compact"/>
              <w:jc w:val="center"/>
            </w:pPr>
            <w:r>
              <w:t xml:space="preserve">1.09</w:t>
            </w:r>
            <w:r>
              <w:t xml:space="preserve"> </w:t>
            </w:r>
            <w:r>
              <w:t xml:space="preserve">(0.15, 2.1)</w:t>
            </w:r>
          </w:p>
        </w:tc>
        <w:tc>
          <w:tcPr/>
          <w:p>
            <w:pPr>
              <w:pStyle w:val="Compact"/>
              <w:jc w:val="center"/>
            </w:pPr>
            <w:r>
              <w:t xml:space="preserve">3272.91</w:t>
            </w:r>
          </w:p>
        </w:tc>
        <w:tc>
          <w:tcPr/>
          <w:p>
            <w:pPr>
              <w:pStyle w:val="Compact"/>
              <w:jc w:val="center"/>
            </w:pPr>
            <w:r>
              <w:t xml:space="preserve">4008.3</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(bait)</w:t>
            </w:r>
          </w:p>
        </w:tc>
        <w:tc>
          <w:tcPr/>
          <w:p>
            <w:pPr>
              <w:pStyle w:val="Compact"/>
              <w:jc w:val="center"/>
            </w:pPr>
            <w:r>
              <w:t xml:space="preserve">Normal(0,1)</w:t>
            </w:r>
          </w:p>
        </w:tc>
        <w:tc>
          <w:tcPr/>
          <w:p>
            <w:pPr>
              <w:pStyle w:val="Compact"/>
              <w:jc w:val="center"/>
            </w:pPr>
            <w:r>
              <w:t xml:space="preserve">-0.37</w:t>
            </w:r>
            <w:r>
              <w:t xml:space="preserve"> </w:t>
            </w:r>
            <w:r>
              <w:t xml:space="preserve">(-1.19, 0.41)</w:t>
            </w:r>
          </w:p>
        </w:tc>
        <w:tc>
          <w:tcPr/>
          <w:p>
            <w:pPr>
              <w:pStyle w:val="Compact"/>
              <w:jc w:val="center"/>
            </w:pPr>
            <w:r>
              <w:t xml:space="preserve">6469.05</w:t>
            </w:r>
          </w:p>
        </w:tc>
        <w:tc>
          <w:tcPr/>
          <w:p>
            <w:pPr>
              <w:pStyle w:val="Compact"/>
              <w:jc w:val="center"/>
            </w:pPr>
            <w:r>
              <w:t xml:space="preserve">5471.96</w:t>
            </w:r>
          </w:p>
        </w:tc>
        <w:tc>
          <w:tcPr/>
          <w:p>
            <w:pPr>
              <w:pStyle w:val="Compact"/>
              <w:jc w:val="center"/>
            </w:pPr>
            <w:r>
              <w:t xml:space="preserve">1</w:t>
            </w:r>
          </w:p>
        </w:tc>
      </w:tr>
      <w:tr>
        <w:tc>
          <w:tcPr/>
          <w:p>
            <w:pPr>
              <w:pStyle w:val="Compact"/>
              <w:jc w:val="left"/>
            </w:pPr>
            <m:oMath>
              <m:sSub>
                <m:e>
                  <m:r>
                    <m:t>β</m:t>
                  </m:r>
                </m:e>
                <m:sub>
                  <m:r>
                    <m:t>3</m:t>
                  </m:r>
                </m:sub>
              </m:sSub>
            </m:oMath>
            <w:r>
              <w:t xml:space="preserve"> </w:t>
            </w:r>
            <w:r>
              <w:t xml:space="preserve">(inland:sexpever)</w:t>
            </w:r>
          </w:p>
        </w:tc>
        <w:tc>
          <w:tcPr/>
          <w:p>
            <w:pPr>
              <w:pStyle w:val="Compact"/>
              <w:jc w:val="center"/>
            </w:pPr>
            <w:r>
              <w:t xml:space="preserve">Normal(0,1)</w:t>
            </w:r>
          </w:p>
        </w:tc>
        <w:tc>
          <w:tcPr/>
          <w:p>
            <w:pPr>
              <w:pStyle w:val="Compact"/>
              <w:jc w:val="center"/>
            </w:pPr>
            <w:r>
              <w:t xml:space="preserve">-0.02</w:t>
            </w:r>
            <w:r>
              <w:t xml:space="preserve"> </w:t>
            </w:r>
            <w:r>
              <w:t xml:space="preserve">(-0.19, 0.1)</w:t>
            </w:r>
          </w:p>
        </w:tc>
        <w:tc>
          <w:tcPr/>
          <w:p>
            <w:pPr>
              <w:pStyle w:val="Compact"/>
              <w:jc w:val="center"/>
            </w:pPr>
            <w:r>
              <w:t xml:space="preserve">5411.12</w:t>
            </w:r>
          </w:p>
        </w:tc>
        <w:tc>
          <w:tcPr/>
          <w:p>
            <w:pPr>
              <w:pStyle w:val="Compact"/>
              <w:jc w:val="center"/>
            </w:pPr>
            <w:r>
              <w:t xml:space="preserve">4042.59</w:t>
            </w:r>
          </w:p>
        </w:tc>
        <w:tc>
          <w:tcPr/>
          <w:p>
            <w:pPr>
              <w:pStyle w:val="Compact"/>
              <w:jc w:val="center"/>
            </w:pPr>
            <w:r>
              <w:t xml:space="preserve">1</w:t>
            </w:r>
          </w:p>
        </w:tc>
      </w:tr>
      <w:tr>
        <w:tc>
          <w:tcPr/>
          <w:p>
            <w:pPr>
              <w:pStyle w:val="Compact"/>
              <w:jc w:val="left"/>
            </w:pPr>
            <m:oMath>
              <m:sSub>
                <m:e>
                  <m:r>
                    <m:t>β</m:t>
                  </m:r>
                </m:e>
                <m:sub>
                  <m:r>
                    <m:t>4</m:t>
                  </m:r>
                </m:sub>
              </m:sSub>
            </m:oMath>
            <w:r>
              <w:t xml:space="preserve"> </w:t>
            </w:r>
            <w:r>
              <w:t xml:space="preserve">(fishing:sexpever)</w:t>
            </w:r>
          </w:p>
        </w:tc>
        <w:tc>
          <w:tcPr/>
          <w:p>
            <w:pPr>
              <w:pStyle w:val="Compact"/>
              <w:jc w:val="center"/>
            </w:pPr>
            <w:r>
              <w:t xml:space="preserve">Normal(0,1)</w:t>
            </w:r>
          </w:p>
        </w:tc>
        <w:tc>
          <w:tcPr/>
          <w:p>
            <w:pPr>
              <w:pStyle w:val="Compact"/>
              <w:jc w:val="center"/>
            </w:pPr>
            <w:r>
              <w:t xml:space="preserve">0.03</w:t>
            </w:r>
            <w:r>
              <w:t xml:space="preserve"> </w:t>
            </w:r>
            <w:r>
              <w:t xml:space="preserve">(0, 0.07)</w:t>
            </w:r>
          </w:p>
        </w:tc>
        <w:tc>
          <w:tcPr/>
          <w:p>
            <w:pPr>
              <w:pStyle w:val="Compact"/>
              <w:jc w:val="center"/>
            </w:pPr>
            <w:r>
              <w:t xml:space="preserve">4007.77</w:t>
            </w:r>
          </w:p>
        </w:tc>
        <w:tc>
          <w:tcPr/>
          <w:p>
            <w:pPr>
              <w:pStyle w:val="Compact"/>
              <w:jc w:val="center"/>
            </w:pPr>
            <w:r>
              <w:t xml:space="preserve">4906.82</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0.73</w:t>
            </w:r>
            <w:r>
              <w:t xml:space="preserve"> </w:t>
            </w:r>
            <w:r>
              <w:t xml:space="preserve">(0.41, 1.04)</w:t>
            </w:r>
          </w:p>
        </w:tc>
        <w:tc>
          <w:tcPr/>
          <w:p>
            <w:pPr>
              <w:pStyle w:val="Compact"/>
              <w:jc w:val="center"/>
            </w:pPr>
            <w:r>
              <w:t xml:space="preserve">3562.87</w:t>
            </w:r>
          </w:p>
        </w:tc>
        <w:tc>
          <w:tcPr/>
          <w:p>
            <w:pPr>
              <w:pStyle w:val="Compact"/>
              <w:jc w:val="center"/>
            </w:pPr>
            <w:r>
              <w:t xml:space="preserve">5578.15</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-5.84</w:t>
            </w:r>
            <w:r>
              <w:t xml:space="preserve"> </w:t>
            </w:r>
            <w:r>
              <w:t xml:space="preserve">(-6.34, -5.37)</w:t>
            </w:r>
          </w:p>
        </w:tc>
        <w:tc>
          <w:tcPr/>
          <w:p>
            <w:pPr>
              <w:pStyle w:val="Compact"/>
              <w:jc w:val="center"/>
            </w:pPr>
            <w:r>
              <w:t xml:space="preserve">3775.04</w:t>
            </w:r>
          </w:p>
        </w:tc>
        <w:tc>
          <w:tcPr/>
          <w:p>
            <w:pPr>
              <w:pStyle w:val="Compact"/>
              <w:jc w:val="center"/>
            </w:pPr>
            <w:r>
              <w:t xml:space="preserve">5281.16</w:t>
            </w:r>
          </w:p>
        </w:tc>
        <w:tc>
          <w:tcPr/>
          <w:p>
            <w:pPr>
              <w:pStyle w:val="Compact"/>
              <w:jc w:val="center"/>
            </w:pPr>
            <w:r>
              <w:t xml:space="preserve">1</w:t>
            </w:r>
          </w:p>
        </w:tc>
      </w:tr>
    </w:tbl>
    <w:p>
      <w:pPr>
        <w:pStyle w:val="BodyText"/>
      </w:pPr>
      <w:r>
        <w:rPr>
          <w:b/>
          <w:bCs/>
        </w:rPr>
        <w:t xml:space="preserve">Parameter estimates for full model fit to deep-sequence data from 516 men who participated in the RCCS living with viremic HIV with community type and number of lifetime sex partners as a risk factor for harboring multiple infections.</w:t>
      </w:r>
      <w:r>
        <w:t xml:space="preserve"> </w:t>
      </w:r>
      <w:r>
        <w:t xml:space="preserve">Excludes participants with ambiguous or missing data on the number of lifetime sex partners. ESS = effective sample size. HPD = highest posterior density.</w:t>
      </w:r>
    </w:p>
    <w:bookmarkEnd w:id="96"/>
    <w:bookmarkStart w:id="98" w:name="s13-table."/>
    <w:p>
      <w:pPr>
        <w:pStyle w:val="Heading4"/>
      </w:pPr>
      <w:r>
        <w:t xml:space="preserve">S13 Table.</w:t>
      </w:r>
    </w:p>
    <w:p>
      <w:pPr>
        <w:pStyle w:val="FirstParagraph"/>
      </w:pPr>
      <w:bookmarkStart w:id="97" w:name="empirical_var_select_table"/>
      <w:bookmarkEnd w:id="97"/>
    </w:p>
    <w:tbl>
      <w:tblPr>
        <w:tblStyle w:val="Table"/>
        <w:tblW w:type="auto" w:w="0"/>
        <w:tblLook w:firstRow="0" w:lastRow="0" w:firstColumn="0" w:lastColumn="0" w:noHBand="0" w:noVBand="0" w:val="0000"/>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-0.09</w:t>
            </w:r>
            <w:r>
              <w:t xml:space="preserve"> </w:t>
            </w:r>
            <w:r>
              <w:t xml:space="preserve">(-0.19, 0.02)</w:t>
            </w:r>
          </w:p>
        </w:tc>
        <w:tc>
          <w:tcPr/>
          <w:p>
            <w:pPr>
              <w:pStyle w:val="Compact"/>
              <w:jc w:val="center"/>
            </w:pPr>
            <w:r>
              <w:t xml:space="preserve">837.75</w:t>
            </w:r>
          </w:p>
        </w:tc>
        <w:tc>
          <w:tcPr/>
          <w:p>
            <w:pPr>
              <w:pStyle w:val="Compact"/>
              <w:jc w:val="center"/>
            </w:pPr>
            <w:r>
              <w:t xml:space="preserve">1484.8</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2.63</w:t>
            </w:r>
            <w:r>
              <w:t xml:space="preserve"> </w:t>
            </w:r>
            <w:r>
              <w:t xml:space="preserve">(2.47, 2.79)</w:t>
            </w:r>
          </w:p>
        </w:tc>
        <w:tc>
          <w:tcPr/>
          <w:p>
            <w:pPr>
              <w:pStyle w:val="Compact"/>
              <w:jc w:val="center"/>
            </w:pPr>
            <w:r>
              <w:t xml:space="preserve">864.33</w:t>
            </w:r>
          </w:p>
        </w:tc>
        <w:tc>
          <w:tcPr/>
          <w:p>
            <w:pPr>
              <w:pStyle w:val="Compact"/>
              <w:jc w:val="center"/>
            </w:pPr>
            <w:r>
              <w:t xml:space="preserve">1965.51</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0.87</w:t>
            </w:r>
            <w:r>
              <w:t xml:space="preserve"> </w:t>
            </w:r>
            <w:r>
              <w:t xml:space="preserve">(0.77, 0.97)</w:t>
            </w:r>
          </w:p>
        </w:tc>
        <w:tc>
          <w:tcPr/>
          <w:p>
            <w:pPr>
              <w:pStyle w:val="Compact"/>
              <w:jc w:val="center"/>
            </w:pPr>
            <w:r>
              <w:t xml:space="preserve">921.69</w:t>
            </w:r>
          </w:p>
        </w:tc>
        <w:tc>
          <w:tcPr/>
          <w:p>
            <w:pPr>
              <w:pStyle w:val="Compact"/>
              <w:jc w:val="center"/>
            </w:pPr>
            <w:r>
              <w:t xml:space="preserve">2317.86</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(1.39, 1.65)</w:t>
            </w:r>
          </w:p>
        </w:tc>
        <w:tc>
          <w:tcPr/>
          <w:p>
            <w:pPr>
              <w:pStyle w:val="Compact"/>
              <w:jc w:val="center"/>
            </w:pPr>
            <w:r>
              <w:t xml:space="preserve">1126.56</w:t>
            </w:r>
          </w:p>
        </w:tc>
        <w:tc>
          <w:tcPr/>
          <w:p>
            <w:pPr>
              <w:pStyle w:val="Compact"/>
              <w:jc w:val="center"/>
            </w:pPr>
            <w:r>
              <w:t xml:space="preserve">2436.46</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1.53</w:t>
            </w:r>
            <w:r>
              <w:t xml:space="preserve"> </w:t>
            </w:r>
            <w:r>
              <w:t xml:space="preserve">(1.47, 1.6)</w:t>
            </w:r>
          </w:p>
        </w:tc>
        <w:tc>
          <w:tcPr/>
          <w:p>
            <w:pPr>
              <w:pStyle w:val="Compact"/>
              <w:jc w:val="center"/>
            </w:pPr>
            <w:r>
              <w:t xml:space="preserve">3666.66</w:t>
            </w:r>
          </w:p>
        </w:tc>
        <w:tc>
          <w:tcPr/>
          <w:p>
            <w:pPr>
              <w:pStyle w:val="Compact"/>
              <w:jc w:val="center"/>
            </w:pPr>
            <w:r>
              <w:t xml:space="preserve">5360.88</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w:r>
              <w:t xml:space="preserve"> </w:t>
            </w:r>
            <m:oMath>
              <m:sSup>
                <m:e>
                  <m:r>
                    <m:t>3.16</m:t>
                  </m:r>
                </m:e>
                <m:sup>
                  <m:r>
                    <m:t>2</m:t>
                  </m:r>
                </m:sup>
              </m:sSup>
            </m:oMath>
            <w:r>
              <w:t xml:space="preserve">)</w:t>
            </w:r>
          </w:p>
        </w:tc>
        <w:tc>
          <w:tcPr/>
          <w:p>
            <w:pPr>
              <w:pStyle w:val="Compact"/>
              <w:jc w:val="center"/>
            </w:pPr>
            <w:r>
              <w:t xml:space="preserve">-3.08</w:t>
            </w:r>
            <w:r>
              <w:t xml:space="preserve"> </w:t>
            </w:r>
            <w:r>
              <w:t xml:space="preserve">(-3.85, -2.54)</w:t>
            </w:r>
          </w:p>
        </w:tc>
        <w:tc>
          <w:tcPr/>
          <w:p>
            <w:pPr>
              <w:pStyle w:val="Compact"/>
              <w:jc w:val="center"/>
            </w:pPr>
            <w:r>
              <w:t xml:space="preserve">2837.74</w:t>
            </w:r>
          </w:p>
        </w:tc>
        <w:tc>
          <w:tcPr/>
          <w:p>
            <w:pPr>
              <w:pStyle w:val="Compact"/>
              <w:jc w:val="center"/>
            </w:pPr>
            <w:r>
              <w:t xml:space="preserve">3621.39</w:t>
            </w:r>
          </w:p>
        </w:tc>
        <w:tc>
          <w:tcPr/>
          <w:p>
            <w:pPr>
              <w:pStyle w:val="Compact"/>
              <w:jc w:val="center"/>
            </w:pPr>
            <w:r>
              <w:t xml:space="preserve">1</w:t>
            </w:r>
          </w:p>
        </w:tc>
      </w:tr>
      <w:tr>
        <w:tc>
          <w:tcPr/>
          <w:p>
            <w:pPr>
              <w:pStyle w:val="Compact"/>
              <w:jc w:val="left"/>
            </w:pPr>
            <m:oMath>
              <m:sSub>
                <m:e>
                  <m:r>
                    <m:t>β</m:t>
                  </m:r>
                </m:e>
                <m:sub>
                  <m:r>
                    <m:t>1</m:t>
                  </m:r>
                </m:sub>
              </m:sSub>
            </m:oMath>
            <w:r>
              <w:t xml:space="preserve"> </w:t>
            </w:r>
            <w:r>
              <w:t xml:space="preserve">(2012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0.02</w:t>
            </w:r>
            <w:r>
              <w:t xml:space="preserve"> </w:t>
            </w:r>
            <w:r>
              <w:t xml:space="preserve">(-0.18, 0.45)</w:t>
            </w:r>
          </w:p>
        </w:tc>
        <w:tc>
          <w:tcPr/>
          <w:p>
            <w:pPr>
              <w:pStyle w:val="Compact"/>
              <w:jc w:val="center"/>
            </w:pPr>
            <w:r>
              <w:t xml:space="preserve">7245.51</w:t>
            </w:r>
          </w:p>
        </w:tc>
        <w:tc>
          <w:tcPr/>
          <w:p>
            <w:pPr>
              <w:pStyle w:val="Compact"/>
              <w:jc w:val="center"/>
            </w:pPr>
            <w:r>
              <w:t xml:space="preserve">7140.83</w:t>
            </w:r>
          </w:p>
        </w:tc>
        <w:tc>
          <w:tcPr/>
          <w:p>
            <w:pPr>
              <w:pStyle w:val="Compact"/>
              <w:jc w:val="center"/>
            </w:pPr>
            <w:r>
              <w:t xml:space="preserve">1</w:t>
            </w:r>
          </w:p>
        </w:tc>
      </w:tr>
      <w:tr>
        <w:tc>
          <w:tcPr/>
          <w:p>
            <w:pPr>
              <w:pStyle w:val="Compact"/>
              <w:jc w:val="left"/>
            </w:pPr>
            <m:oMath>
              <m:sSub>
                <m:e>
                  <m:r>
                    <m:t>β</m:t>
                  </m:r>
                </m:e>
                <m:sub>
                  <m:r>
                    <m:t>2</m:t>
                  </m:r>
                </m:sub>
              </m:sSub>
            </m:oMath>
            <w:r>
              <w:t xml:space="preserve"> </w:t>
            </w:r>
            <w:r>
              <w:t xml:space="preserve">(2014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(-0.32, 0.31)</w:t>
            </w:r>
          </w:p>
        </w:tc>
        <w:tc>
          <w:tcPr/>
          <w:p>
            <w:pPr>
              <w:pStyle w:val="Compact"/>
              <w:jc w:val="center"/>
            </w:pPr>
            <w:r>
              <w:t xml:space="preserve">5964.5</w:t>
            </w:r>
          </w:p>
        </w:tc>
        <w:tc>
          <w:tcPr/>
          <w:p>
            <w:pPr>
              <w:pStyle w:val="Compact"/>
              <w:jc w:val="center"/>
            </w:pPr>
            <w:r>
              <w:t xml:space="preserve">1549.83</w:t>
            </w:r>
          </w:p>
        </w:tc>
        <w:tc>
          <w:tcPr/>
          <w:p>
            <w:pPr>
              <w:pStyle w:val="Compact"/>
              <w:jc w:val="center"/>
            </w:pPr>
            <w:r>
              <w:t xml:space="preserve">1</w:t>
            </w:r>
          </w:p>
        </w:tc>
      </w:tr>
      <w:tr>
        <w:tc>
          <w:tcPr/>
          <w:p>
            <w:pPr>
              <w:pStyle w:val="Compact"/>
              <w:jc w:val="left"/>
            </w:pPr>
            <m:oMath>
              <m:sSub>
                <m:e>
                  <m:r>
                    <m:t>β</m:t>
                  </m:r>
                </m:e>
                <m:sub>
                  <m:r>
                    <m:t>3</m:t>
                  </m:r>
                </m:sub>
              </m:sSub>
            </m:oMath>
            <w:r>
              <w:t xml:space="preserve"> </w:t>
            </w:r>
            <w:r>
              <w:t xml:space="preserve">(2015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(-0.32, 0.24)</w:t>
            </w:r>
          </w:p>
        </w:tc>
        <w:tc>
          <w:tcPr/>
          <w:p>
            <w:pPr>
              <w:pStyle w:val="Compact"/>
              <w:jc w:val="center"/>
            </w:pPr>
            <w:r>
              <w:t xml:space="preserve">8421.54</w:t>
            </w:r>
          </w:p>
        </w:tc>
        <w:tc>
          <w:tcPr/>
          <w:p>
            <w:pPr>
              <w:pStyle w:val="Compact"/>
              <w:jc w:val="center"/>
            </w:pPr>
            <w:r>
              <w:t xml:space="preserve">6564.58</w:t>
            </w:r>
          </w:p>
        </w:tc>
        <w:tc>
          <w:tcPr/>
          <w:p>
            <w:pPr>
              <w:pStyle w:val="Compact"/>
              <w:jc w:val="center"/>
            </w:pPr>
            <w:r>
              <w:t xml:space="preserve">1</w:t>
            </w:r>
          </w:p>
        </w:tc>
      </w:tr>
      <w:tr>
        <w:tc>
          <w:tcPr/>
          <w:p>
            <w:pPr>
              <w:pStyle w:val="Compact"/>
              <w:jc w:val="left"/>
            </w:pPr>
            <m:oMath>
              <m:sSub>
                <m:e>
                  <m:r>
                    <m:t>β</m:t>
                  </m:r>
                </m:e>
                <m:sub>
                  <m:r>
                    <m:t>4</m:t>
                  </m:r>
                </m:sub>
              </m:sSub>
            </m:oMath>
            <w:r>
              <w:t xml:space="preserve"> </w:t>
            </w:r>
            <w:r>
              <w:t xml:space="preserve">(2017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 0.26)</w:t>
            </w:r>
          </w:p>
        </w:tc>
        <w:tc>
          <w:tcPr/>
          <w:p>
            <w:pPr>
              <w:pStyle w:val="Compact"/>
              <w:jc w:val="center"/>
            </w:pPr>
            <w:r>
              <w:t xml:space="preserve">8990.45</w:t>
            </w:r>
          </w:p>
        </w:tc>
        <w:tc>
          <w:tcPr/>
          <w:p>
            <w:pPr>
              <w:pStyle w:val="Compact"/>
              <w:jc w:val="center"/>
            </w:pPr>
            <w:r>
              <w:t xml:space="preserve">7144.04</w:t>
            </w:r>
          </w:p>
        </w:tc>
        <w:tc>
          <w:tcPr/>
          <w:p>
            <w:pPr>
              <w:pStyle w:val="Compact"/>
              <w:jc w:val="center"/>
            </w:pPr>
            <w:r>
              <w:t xml:space="preserve">1</w:t>
            </w:r>
          </w:p>
        </w:tc>
      </w:tr>
      <w:tr>
        <w:tc>
          <w:tcPr/>
          <w:p>
            <w:pPr>
              <w:pStyle w:val="Compact"/>
              <w:jc w:val="left"/>
            </w:pPr>
            <m:oMath>
              <m:sSub>
                <m:e>
                  <m:r>
                    <m:t>β</m:t>
                  </m:r>
                </m:e>
                <m:sub>
                  <m:r>
                    <m:t>5</m:t>
                  </m:r>
                </m:sub>
              </m:sSub>
            </m:oMath>
            <w:r>
              <w:t xml:space="preserve"> </w:t>
            </w:r>
            <w:r>
              <w:t xml:space="preserve">(2019 survey)</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-0.02</w:t>
            </w:r>
            <w:r>
              <w:t xml:space="preserve"> </w:t>
            </w:r>
            <w:r>
              <w:t xml:space="preserve">(-0.8, 0.33)</w:t>
            </w:r>
          </w:p>
        </w:tc>
        <w:tc>
          <w:tcPr/>
          <w:p>
            <w:pPr>
              <w:pStyle w:val="Compact"/>
              <w:jc w:val="center"/>
            </w:pPr>
            <w:r>
              <w:t xml:space="preserve">5241.28</w:t>
            </w:r>
          </w:p>
        </w:tc>
        <w:tc>
          <w:tcPr/>
          <w:p>
            <w:pPr>
              <w:pStyle w:val="Compact"/>
              <w:jc w:val="center"/>
            </w:pPr>
            <w:r>
              <w:t xml:space="preserve">5275.69</w:t>
            </w:r>
          </w:p>
        </w:tc>
        <w:tc>
          <w:tcPr/>
          <w:p>
            <w:pPr>
              <w:pStyle w:val="Compact"/>
              <w:jc w:val="center"/>
            </w:pPr>
            <w:r>
              <w:t xml:space="preserve">1</w:t>
            </w:r>
          </w:p>
        </w:tc>
      </w:tr>
      <w:tr>
        <w:tc>
          <w:tcPr/>
          <w:p>
            <w:pPr>
              <w:pStyle w:val="Compact"/>
              <w:jc w:val="left"/>
            </w:pPr>
            <m:oMath>
              <m:sSub>
                <m:e>
                  <m:r>
                    <m:t>β</m:t>
                  </m:r>
                </m:e>
                <m:sub>
                  <m:r>
                    <m:t>6</m:t>
                  </m:r>
                </m:sub>
              </m:sSub>
            </m:oMath>
            <w:r>
              <w:t xml:space="preserve"> </w:t>
            </w:r>
            <w:r>
              <w:t xml:space="preserve">(male circumcision)</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(-0.4, 0.21)</w:t>
            </w:r>
          </w:p>
        </w:tc>
        <w:tc>
          <w:tcPr/>
          <w:p>
            <w:pPr>
              <w:pStyle w:val="Compact"/>
              <w:jc w:val="center"/>
            </w:pPr>
            <w:r>
              <w:t xml:space="preserve">8738.47</w:t>
            </w:r>
          </w:p>
        </w:tc>
        <w:tc>
          <w:tcPr/>
          <w:p>
            <w:pPr>
              <w:pStyle w:val="Compact"/>
              <w:jc w:val="center"/>
            </w:pPr>
            <w:r>
              <w:t xml:space="preserve">7427.83</w:t>
            </w:r>
          </w:p>
        </w:tc>
        <w:tc>
          <w:tcPr/>
          <w:p>
            <w:pPr>
              <w:pStyle w:val="Compact"/>
              <w:jc w:val="center"/>
            </w:pPr>
            <w:r>
              <w:t xml:space="preserve">1</w:t>
            </w:r>
          </w:p>
        </w:tc>
      </w:tr>
      <w:tr>
        <w:tc>
          <w:tcPr/>
          <w:p>
            <w:pPr>
              <w:pStyle w:val="Compact"/>
              <w:jc w:val="left"/>
            </w:pPr>
            <m:oMath>
              <m:sSub>
                <m:e>
                  <m:r>
                    <m:t>β</m:t>
                  </m:r>
                </m:e>
                <m:sub>
                  <m:r>
                    <m:t>7</m:t>
                  </m:r>
                </m:sub>
              </m:sSub>
            </m:oMath>
            <w:r>
              <w:t xml:space="preserve"> </w:t>
            </w:r>
            <w:r>
              <w:t xml:space="preserve">(fishing)</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0.3</w:t>
            </w:r>
            <w:r>
              <w:t xml:space="preserve"> </w:t>
            </w:r>
            <w:r>
              <w:t xml:space="preserve">(-0.11, 1.22)</w:t>
            </w:r>
          </w:p>
        </w:tc>
        <w:tc>
          <w:tcPr/>
          <w:p>
            <w:pPr>
              <w:pStyle w:val="Compact"/>
              <w:jc w:val="center"/>
            </w:pPr>
            <w:r>
              <w:t xml:space="preserve">2090.19</w:t>
            </w:r>
          </w:p>
        </w:tc>
        <w:tc>
          <w:tcPr/>
          <w:p>
            <w:pPr>
              <w:pStyle w:val="Compact"/>
              <w:jc w:val="center"/>
            </w:pPr>
            <w:r>
              <w:t xml:space="preserve">4116.45</w:t>
            </w:r>
          </w:p>
        </w:tc>
        <w:tc>
          <w:tcPr/>
          <w:p>
            <w:pPr>
              <w:pStyle w:val="Compact"/>
              <w:jc w:val="center"/>
            </w:pPr>
            <w:r>
              <w:t xml:space="preserve">1</w:t>
            </w:r>
          </w:p>
        </w:tc>
      </w:tr>
      <w:tr>
        <w:tc>
          <w:tcPr/>
          <w:p>
            <w:pPr>
              <w:pStyle w:val="Compact"/>
              <w:jc w:val="left"/>
            </w:pPr>
            <m:oMath>
              <m:sSub>
                <m:e>
                  <m:r>
                    <m:t>β</m:t>
                  </m:r>
                </m:e>
                <m:sub>
                  <m:r>
                    <m:t>8</m:t>
                  </m:r>
                </m:sub>
              </m:sSub>
            </m:oMath>
            <w:r>
              <w:t xml:space="preserve"> </w:t>
            </w:r>
            <w:r>
              <w:t xml:space="preserve">(bait)</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(-0.39, 0.2)</w:t>
            </w:r>
          </w:p>
        </w:tc>
        <w:tc>
          <w:tcPr/>
          <w:p>
            <w:pPr>
              <w:pStyle w:val="Compact"/>
              <w:jc w:val="center"/>
            </w:pPr>
            <w:r>
              <w:t xml:space="preserve">8077.58</w:t>
            </w:r>
          </w:p>
        </w:tc>
        <w:tc>
          <w:tcPr/>
          <w:p>
            <w:pPr>
              <w:pStyle w:val="Compact"/>
              <w:jc w:val="center"/>
            </w:pPr>
            <w:r>
              <w:t xml:space="preserve">6284.62</w:t>
            </w:r>
          </w:p>
        </w:tc>
        <w:tc>
          <w:tcPr/>
          <w:p>
            <w:pPr>
              <w:pStyle w:val="Compact"/>
              <w:jc w:val="center"/>
            </w:pPr>
            <w:r>
              <w:t xml:space="preserve">1</w:t>
            </w:r>
          </w:p>
        </w:tc>
      </w:tr>
      <w:tr>
        <w:tc>
          <w:tcPr/>
          <w:p>
            <w:pPr>
              <w:pStyle w:val="Compact"/>
              <w:jc w:val="left"/>
            </w:pPr>
            <m:oMath>
              <m:sSub>
                <m:e>
                  <m:r>
                    <m:t>β</m:t>
                  </m:r>
                </m:e>
                <m:sub>
                  <m:r>
                    <m:t>9</m:t>
                  </m:r>
                </m:sub>
              </m:sSub>
            </m:oMath>
            <w:r>
              <w:t xml:space="preserve"> </w:t>
            </w:r>
            <w:r>
              <w:t xml:space="preserve">(inland:male)</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(-0.43, 0.31)</w:t>
            </w:r>
          </w:p>
        </w:tc>
        <w:tc>
          <w:tcPr/>
          <w:p>
            <w:pPr>
              <w:pStyle w:val="Compact"/>
              <w:jc w:val="center"/>
            </w:pPr>
            <w:r>
              <w:t xml:space="preserve">7324.33</w:t>
            </w:r>
          </w:p>
        </w:tc>
        <w:tc>
          <w:tcPr/>
          <w:p>
            <w:pPr>
              <w:pStyle w:val="Compact"/>
              <w:jc w:val="center"/>
            </w:pPr>
            <w:r>
              <w:t xml:space="preserve">6642.86</w:t>
            </w:r>
          </w:p>
        </w:tc>
        <w:tc>
          <w:tcPr/>
          <w:p>
            <w:pPr>
              <w:pStyle w:val="Compact"/>
              <w:jc w:val="center"/>
            </w:pPr>
            <w:r>
              <w:t xml:space="preserve">1</w:t>
            </w:r>
          </w:p>
        </w:tc>
      </w:tr>
      <w:tr>
        <w:tc>
          <w:tcPr/>
          <w:p>
            <w:pPr>
              <w:pStyle w:val="Compact"/>
              <w:jc w:val="left"/>
            </w:pPr>
            <m:oMath>
              <m:sSub>
                <m:e>
                  <m:r>
                    <m:t>β</m:t>
                  </m:r>
                </m:e>
                <m:sub>
                  <m:r>
                    <m:t>10</m:t>
                  </m:r>
                </m:sub>
              </m:sSub>
            </m:oMath>
            <w:r>
              <w:t xml:space="preserve"> </w:t>
            </w:r>
            <w:r>
              <w:t xml:space="preserve">(fishing:male)</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0.04</w:t>
            </w:r>
            <w:r>
              <w:t xml:space="preserve"> </w:t>
            </w:r>
            <w:r>
              <w:t xml:space="preserve">(-0.15, 0.58)</w:t>
            </w:r>
          </w:p>
        </w:tc>
        <w:tc>
          <w:tcPr/>
          <w:p>
            <w:pPr>
              <w:pStyle w:val="Compact"/>
              <w:jc w:val="center"/>
            </w:pPr>
            <w:r>
              <w:t xml:space="preserve">3314.58</w:t>
            </w:r>
          </w:p>
        </w:tc>
        <w:tc>
          <w:tcPr/>
          <w:p>
            <w:pPr>
              <w:pStyle w:val="Compact"/>
              <w:jc w:val="center"/>
            </w:pPr>
            <w:r>
              <w:t xml:space="preserve">1522.5</w:t>
            </w:r>
          </w:p>
        </w:tc>
        <w:tc>
          <w:tcPr/>
          <w:p>
            <w:pPr>
              <w:pStyle w:val="Compact"/>
              <w:jc w:val="center"/>
            </w:pPr>
            <w:r>
              <w:t xml:space="preserve">1</w:t>
            </w:r>
          </w:p>
        </w:tc>
      </w:tr>
      <w:tr>
        <w:tc>
          <w:tcPr/>
          <w:p>
            <w:pPr>
              <w:pStyle w:val="Compact"/>
              <w:jc w:val="left"/>
            </w:pPr>
            <m:oMath>
              <m:sSub>
                <m:e>
                  <m:r>
                    <m:t>β</m:t>
                  </m:r>
                </m:e>
                <m:sub>
                  <m:r>
                    <m:t>11</m:t>
                  </m:r>
                </m:sub>
              </m:sSub>
            </m:oMath>
            <w:r>
              <w:t xml:space="preserve"> </w:t>
            </w:r>
            <w:r>
              <w:t xml:space="preserve">(inland:married)</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(-0.5, 0.29)</w:t>
            </w:r>
          </w:p>
        </w:tc>
        <w:tc>
          <w:tcPr/>
          <w:p>
            <w:pPr>
              <w:pStyle w:val="Compact"/>
              <w:jc w:val="center"/>
            </w:pPr>
            <w:r>
              <w:t xml:space="preserve">7415.64</w:t>
            </w:r>
          </w:p>
        </w:tc>
        <w:tc>
          <w:tcPr/>
          <w:p>
            <w:pPr>
              <w:pStyle w:val="Compact"/>
              <w:jc w:val="center"/>
            </w:pPr>
            <w:r>
              <w:t xml:space="preserve">5418.41</w:t>
            </w:r>
          </w:p>
        </w:tc>
        <w:tc>
          <w:tcPr/>
          <w:p>
            <w:pPr>
              <w:pStyle w:val="Compact"/>
              <w:jc w:val="center"/>
            </w:pPr>
            <w:r>
              <w:t xml:space="preserve">1</w:t>
            </w:r>
          </w:p>
        </w:tc>
      </w:tr>
      <w:tr>
        <w:tc>
          <w:tcPr/>
          <w:p>
            <w:pPr>
              <w:pStyle w:val="Compact"/>
              <w:jc w:val="left"/>
            </w:pPr>
            <m:oMath>
              <m:sSub>
                <m:e>
                  <m:r>
                    <m:t>β</m:t>
                  </m:r>
                </m:e>
                <m:sub>
                  <m:r>
                    <m:t>12</m:t>
                  </m:r>
                </m:sub>
              </m:sSub>
            </m:oMath>
            <w:r>
              <w:t xml:space="preserve"> </w:t>
            </w:r>
            <w:r>
              <w:t xml:space="preserve">(fishing:married)</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(-0.33, 0.22)</w:t>
            </w:r>
          </w:p>
        </w:tc>
        <w:tc>
          <w:tcPr/>
          <w:p>
            <w:pPr>
              <w:pStyle w:val="Compact"/>
              <w:jc w:val="center"/>
            </w:pPr>
            <w:r>
              <w:t xml:space="preserve">7880.17</w:t>
            </w:r>
          </w:p>
        </w:tc>
        <w:tc>
          <w:tcPr/>
          <w:p>
            <w:pPr>
              <w:pStyle w:val="Compact"/>
              <w:jc w:val="center"/>
            </w:pPr>
            <w:r>
              <w:t xml:space="preserve">7198.54</w:t>
            </w:r>
          </w:p>
        </w:tc>
        <w:tc>
          <w:tcPr/>
          <w:p>
            <w:pPr>
              <w:pStyle w:val="Compact"/>
              <w:jc w:val="center"/>
            </w:pPr>
            <w:r>
              <w:t xml:space="preserve">1</w:t>
            </w:r>
          </w:p>
        </w:tc>
      </w:tr>
      <w:tr>
        <w:tc>
          <w:tcPr/>
          <w:p>
            <w:pPr>
              <w:pStyle w:val="Compact"/>
              <w:jc w:val="left"/>
            </w:pPr>
            <m:oMath>
              <m:sSub>
                <m:e>
                  <m:r>
                    <m:t>β</m:t>
                  </m:r>
                </m:e>
                <m:sub>
                  <m:r>
                    <m:t>13</m:t>
                  </m:r>
                </m:sub>
              </m:sSub>
            </m:oMath>
            <w:r>
              <w:t xml:space="preserve"> </w:t>
            </w:r>
            <w:r>
              <w:t xml:space="preserve">(inland: (24,34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(-0.42, 0.3)</w:t>
            </w:r>
          </w:p>
        </w:tc>
        <w:tc>
          <w:tcPr/>
          <w:p>
            <w:pPr>
              <w:pStyle w:val="Compact"/>
              <w:jc w:val="center"/>
            </w:pPr>
            <w:r>
              <w:t xml:space="preserve">7488.31</w:t>
            </w:r>
          </w:p>
        </w:tc>
        <w:tc>
          <w:tcPr/>
          <w:p>
            <w:pPr>
              <w:pStyle w:val="Compact"/>
              <w:jc w:val="center"/>
            </w:pPr>
            <w:r>
              <w:t xml:space="preserve">4936.84</w:t>
            </w:r>
          </w:p>
        </w:tc>
        <w:tc>
          <w:tcPr/>
          <w:p>
            <w:pPr>
              <w:pStyle w:val="Compact"/>
              <w:jc w:val="center"/>
            </w:pPr>
            <w:r>
              <w:t xml:space="preserve">1</w:t>
            </w:r>
          </w:p>
        </w:tc>
      </w:tr>
      <w:tr>
        <w:tc>
          <w:tcPr/>
          <w:p>
            <w:pPr>
              <w:pStyle w:val="Compact"/>
              <w:jc w:val="left"/>
            </w:pPr>
            <m:oMath>
              <m:sSub>
                <m:e>
                  <m:r>
                    <m:t>β</m:t>
                  </m:r>
                </m:e>
                <m:sub>
                  <m:r>
                    <m:t>14</m:t>
                  </m:r>
                </m:sub>
              </m:sSub>
            </m:oMath>
            <w:r>
              <w:t xml:space="preserve"> </w:t>
            </w:r>
            <w:r>
              <w:t xml:space="preserve">(Fishing: (24,34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(-0.26, 0.3)</w:t>
            </w:r>
          </w:p>
        </w:tc>
        <w:tc>
          <w:tcPr/>
          <w:p>
            <w:pPr>
              <w:pStyle w:val="Compact"/>
              <w:jc w:val="center"/>
            </w:pPr>
            <w:r>
              <w:t xml:space="preserve">9362.47</w:t>
            </w:r>
          </w:p>
        </w:tc>
        <w:tc>
          <w:tcPr/>
          <w:p>
            <w:pPr>
              <w:pStyle w:val="Compact"/>
              <w:jc w:val="center"/>
            </w:pPr>
            <w:r>
              <w:t xml:space="preserve">7388.62</w:t>
            </w:r>
          </w:p>
        </w:tc>
        <w:tc>
          <w:tcPr/>
          <w:p>
            <w:pPr>
              <w:pStyle w:val="Compact"/>
              <w:jc w:val="center"/>
            </w:pPr>
            <w:r>
              <w:t xml:space="preserve">1</w:t>
            </w:r>
          </w:p>
        </w:tc>
      </w:tr>
      <w:tr>
        <w:tc>
          <w:tcPr/>
          <w:p>
            <w:pPr>
              <w:pStyle w:val="Compact"/>
              <w:jc w:val="left"/>
            </w:pPr>
            <m:oMath>
              <m:sSub>
                <m:e>
                  <m:r>
                    <m:t>β</m:t>
                  </m:r>
                </m:e>
                <m:sub>
                  <m:r>
                    <m:t>15</m:t>
                  </m:r>
                </m:sub>
              </m:sSub>
            </m:oMath>
            <w:r>
              <w:t xml:space="preserve"> </w:t>
            </w:r>
            <w:r>
              <w:t xml:space="preserve">(inland: (34,49]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(-0.59, 0.32)</w:t>
            </w:r>
          </w:p>
        </w:tc>
        <w:tc>
          <w:tcPr/>
          <w:p>
            <w:pPr>
              <w:pStyle w:val="Compact"/>
              <w:jc w:val="center"/>
            </w:pPr>
            <w:r>
              <w:t xml:space="preserve">4871.52</w:t>
            </w:r>
          </w:p>
        </w:tc>
        <w:tc>
          <w:tcPr/>
          <w:p>
            <w:pPr>
              <w:pStyle w:val="Compact"/>
              <w:jc w:val="center"/>
            </w:pPr>
            <w:r>
              <w:t xml:space="preserve">1575.23</w:t>
            </w:r>
          </w:p>
        </w:tc>
        <w:tc>
          <w:tcPr/>
          <w:p>
            <w:pPr>
              <w:pStyle w:val="Compact"/>
              <w:jc w:val="center"/>
            </w:pPr>
            <w:r>
              <w:t xml:space="preserve">1</w:t>
            </w:r>
          </w:p>
        </w:tc>
      </w:tr>
      <w:tr>
        <w:tc>
          <w:tcPr/>
          <w:p>
            <w:pPr>
              <w:pStyle w:val="Compact"/>
              <w:jc w:val="left"/>
            </w:pPr>
            <m:oMath>
              <m:sSub>
                <m:e>
                  <m:r>
                    <m:t>β</m:t>
                  </m:r>
                </m:e>
                <m:sub>
                  <m:r>
                    <m:t>16</m:t>
                  </m:r>
                </m:sub>
              </m:sSub>
            </m:oMath>
            <w:r>
              <w:t xml:space="preserve"> </w:t>
            </w:r>
            <w:r>
              <w:t xml:space="preserve">(fishing: (34,49] years])</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0.02</w:t>
            </w:r>
            <w:r>
              <w:t xml:space="preserve"> </w:t>
            </w:r>
            <w:r>
              <w:t xml:space="preserve">(-0.18, 0.47)</w:t>
            </w:r>
          </w:p>
        </w:tc>
        <w:tc>
          <w:tcPr/>
          <w:p>
            <w:pPr>
              <w:pStyle w:val="Compact"/>
              <w:jc w:val="center"/>
            </w:pPr>
            <w:r>
              <w:t xml:space="preserve">7563.45</w:t>
            </w:r>
          </w:p>
        </w:tc>
        <w:tc>
          <w:tcPr/>
          <w:p>
            <w:pPr>
              <w:pStyle w:val="Compact"/>
              <w:jc w:val="center"/>
            </w:pPr>
            <w:r>
              <w:t xml:space="preserve">7515.7</w:t>
            </w:r>
          </w:p>
        </w:tc>
        <w:tc>
          <w:tcPr/>
          <w:p>
            <w:pPr>
              <w:pStyle w:val="Compact"/>
              <w:jc w:val="center"/>
            </w:pPr>
            <w:r>
              <w:t xml:space="preserve">1</w:t>
            </w:r>
          </w:p>
        </w:tc>
      </w:tr>
      <w:tr>
        <w:tc>
          <w:tcPr/>
          <w:p>
            <w:pPr>
              <w:pStyle w:val="Compact"/>
              <w:jc w:val="left"/>
            </w:pPr>
            <m:oMath>
              <m:sSub>
                <m:e>
                  <m:r>
                    <m:t>β</m:t>
                  </m:r>
                </m:e>
                <m:sub>
                  <m:r>
                    <m:t>17</m:t>
                  </m:r>
                </m:sub>
              </m:sSub>
            </m:oMath>
            <w:r>
              <w:t xml:space="preserve"> </w:t>
            </w:r>
            <w:r>
              <w:t xml:space="preserve">(inland:in migrant)</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(-0.32, 0.48)</w:t>
            </w:r>
          </w:p>
        </w:tc>
        <w:tc>
          <w:tcPr/>
          <w:p>
            <w:pPr>
              <w:pStyle w:val="Compact"/>
              <w:jc w:val="center"/>
            </w:pPr>
            <w:r>
              <w:t xml:space="preserve">5595.16</w:t>
            </w:r>
          </w:p>
        </w:tc>
        <w:tc>
          <w:tcPr/>
          <w:p>
            <w:pPr>
              <w:pStyle w:val="Compact"/>
              <w:jc w:val="center"/>
            </w:pPr>
            <w:r>
              <w:t xml:space="preserve">4250.7</w:t>
            </w:r>
          </w:p>
        </w:tc>
        <w:tc>
          <w:tcPr/>
          <w:p>
            <w:pPr>
              <w:pStyle w:val="Compact"/>
              <w:jc w:val="center"/>
            </w:pPr>
            <w:r>
              <w:t xml:space="preserve">1</w:t>
            </w:r>
          </w:p>
        </w:tc>
      </w:tr>
      <w:tr>
        <w:tc>
          <w:tcPr/>
          <w:p>
            <w:pPr>
              <w:pStyle w:val="Compact"/>
              <w:jc w:val="left"/>
            </w:pPr>
            <m:oMath>
              <m:sSub>
                <m:e>
                  <m:r>
                    <m:t>β</m:t>
                  </m:r>
                </m:e>
                <m:sub>
                  <m:r>
                    <m:t>18</m:t>
                  </m:r>
                </m:sub>
              </m:sSub>
            </m:oMath>
            <w:r>
              <w:t xml:space="preserve"> </w:t>
            </w:r>
            <w:r>
              <w:t xml:space="preserve">(fishing:in migrant)</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0.01</w:t>
            </w:r>
            <w:r>
              <w:t xml:space="preserve"> </w:t>
            </w:r>
            <w:r>
              <w:t xml:space="preserve">(-0.23, 0.42)</w:t>
            </w:r>
          </w:p>
        </w:tc>
        <w:tc>
          <w:tcPr/>
          <w:p>
            <w:pPr>
              <w:pStyle w:val="Compact"/>
              <w:jc w:val="center"/>
            </w:pPr>
            <w:r>
              <w:t xml:space="preserve">8559.46</w:t>
            </w:r>
          </w:p>
        </w:tc>
        <w:tc>
          <w:tcPr/>
          <w:p>
            <w:pPr>
              <w:pStyle w:val="Compact"/>
              <w:jc w:val="center"/>
            </w:pPr>
            <w:r>
              <w:t xml:space="preserve">6865.78</w:t>
            </w:r>
          </w:p>
        </w:tc>
        <w:tc>
          <w:tcPr/>
          <w:p>
            <w:pPr>
              <w:pStyle w:val="Compact"/>
              <w:jc w:val="center"/>
            </w:pPr>
            <w:r>
              <w:t xml:space="preserve">1</w:t>
            </w:r>
          </w:p>
        </w:tc>
      </w:tr>
      <w:tr>
        <w:tc>
          <w:tcPr/>
          <w:p>
            <w:pPr>
              <w:pStyle w:val="Compact"/>
              <w:jc w:val="left"/>
            </w:pPr>
            <m:oMath>
              <m:sSub>
                <m:e>
                  <m:r>
                    <m:t>β</m:t>
                  </m:r>
                </m:e>
                <m:sub>
                  <m:r>
                    <m:t>19</m:t>
                  </m:r>
                </m:sub>
              </m:sSub>
            </m:oMath>
            <w:r>
              <w:t xml:space="preserve"> </w:t>
            </w:r>
            <w:r>
              <w:t xml:space="preserve">(inland:sex &amp; bar/rest. worker)</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(-0.45, 0.36)</w:t>
            </w:r>
          </w:p>
        </w:tc>
        <w:tc>
          <w:tcPr/>
          <w:p>
            <w:pPr>
              <w:pStyle w:val="Compact"/>
              <w:jc w:val="center"/>
            </w:pPr>
            <w:r>
              <w:t xml:space="preserve">8079.66</w:t>
            </w:r>
          </w:p>
        </w:tc>
        <w:tc>
          <w:tcPr/>
          <w:p>
            <w:pPr>
              <w:pStyle w:val="Compact"/>
              <w:jc w:val="center"/>
            </w:pPr>
            <w:r>
              <w:t xml:space="preserve">6377.58</w:t>
            </w:r>
          </w:p>
        </w:tc>
        <w:tc>
          <w:tcPr/>
          <w:p>
            <w:pPr>
              <w:pStyle w:val="Compact"/>
              <w:jc w:val="center"/>
            </w:pPr>
            <w:r>
              <w:t xml:space="preserve">1</w:t>
            </w:r>
          </w:p>
        </w:tc>
      </w:tr>
      <w:tr>
        <w:tc>
          <w:tcPr/>
          <w:p>
            <w:pPr>
              <w:pStyle w:val="Compact"/>
              <w:jc w:val="left"/>
            </w:pPr>
            <m:oMath>
              <m:sSub>
                <m:e>
                  <m:r>
                    <m:t>β</m:t>
                  </m:r>
                </m:e>
                <m:sub>
                  <m:r>
                    <m:t>20</m:t>
                  </m:r>
                </m:sub>
              </m:sSub>
            </m:oMath>
            <w:r>
              <w:t xml:space="preserve"> </w:t>
            </w:r>
            <w:r>
              <w:t xml:space="preserve">(fishing:sex &amp; bar/rest. worker)</w:t>
            </w:r>
          </w:p>
        </w:tc>
        <w:tc>
          <w:tcPr/>
          <w:p>
            <w:pPr>
              <w:pStyle w:val="Compact"/>
              <w:jc w:val="center"/>
            </w:pPr>
            <w:r>
              <w:t xml:space="preserve">Normal(0,</w:t>
            </w:r>
            <m:oMath>
              <m:sSup>
                <m:e>
                  <m:r>
                    <m:t>ξ</m:t>
                  </m:r>
                </m:e>
                <m:sup>
                  <m:r>
                    <m:t>2</m:t>
                  </m:r>
                </m:sup>
              </m:sSup>
              <m:sSup>
                <m:e>
                  <m:r>
                    <m:t>τ</m:t>
                  </m:r>
                </m:e>
                <m:sup>
                  <m:r>
                    <m:t>2</m:t>
                  </m:r>
                </m:sup>
              </m:sSup>
            </m:oMath>
            <w:r>
              <w:t xml:space="preserve">)</w:t>
            </w:r>
          </w:p>
        </w:tc>
        <w:tc>
          <w:tcPr/>
          <w:p>
            <w:pPr>
              <w:pStyle w:val="Compact"/>
              <w:jc w:val="center"/>
            </w:pPr>
            <w:r>
              <w:t xml:space="preserve">0</w:t>
            </w:r>
            <w:r>
              <w:t xml:space="preserve"> </w:t>
            </w:r>
            <w:r>
              <w:t xml:space="preserve">(-0.32, 0.24)</w:t>
            </w:r>
          </w:p>
        </w:tc>
        <w:tc>
          <w:tcPr/>
          <w:p>
            <w:pPr>
              <w:pStyle w:val="Compact"/>
              <w:jc w:val="center"/>
            </w:pPr>
            <w:r>
              <w:t xml:space="preserve">5655.2</w:t>
            </w:r>
          </w:p>
        </w:tc>
        <w:tc>
          <w:tcPr/>
          <w:p>
            <w:pPr>
              <w:pStyle w:val="Compact"/>
              <w:jc w:val="center"/>
            </w:pPr>
            <w:r>
              <w:t xml:space="preserve">1593.87</w:t>
            </w:r>
          </w:p>
        </w:tc>
        <w:tc>
          <w:tcPr/>
          <w:p>
            <w:pPr>
              <w:pStyle w:val="Compact"/>
              <w:jc w:val="center"/>
            </w:pPr>
            <w:r>
              <w:t xml:space="preserve">1</w:t>
            </w:r>
          </w:p>
        </w:tc>
      </w:tr>
      <w:tr>
        <w:tc>
          <w:tcPr/>
          <w:p>
            <w:pPr>
              <w:pStyle w:val="Compact"/>
              <w:jc w:val="left"/>
            </w:pPr>
            <m:oMath>
              <m:r>
                <m:t>τ</m:t>
              </m:r>
            </m:oMath>
          </w:p>
        </w:tc>
        <w:tc>
          <w:tcPr/>
          <w:p>
            <w:pPr>
              <w:pStyle w:val="Compact"/>
              <w:jc w:val="center"/>
            </w:pPr>
            <w:r>
              <w:t xml:space="preserve">Half-Cauchy(0, 1)</w:t>
            </w:r>
          </w:p>
        </w:tc>
        <w:tc>
          <w:tcPr/>
          <w:p>
            <w:pPr>
              <w:pStyle w:val="Compact"/>
              <w:jc w:val="center"/>
            </w:pPr>
            <w:r>
              <w:t xml:space="preserve">0.13</w:t>
            </w:r>
            <w:r>
              <w:t xml:space="preserve"> </w:t>
            </w:r>
            <w:r>
              <w:t xml:space="preserve">(0, 0.33)</w:t>
            </w:r>
          </w:p>
        </w:tc>
        <w:tc>
          <w:tcPr/>
          <w:p>
            <w:pPr>
              <w:pStyle w:val="Compact"/>
              <w:jc w:val="center"/>
            </w:pPr>
            <w:r>
              <w:t xml:space="preserve">2490.43</w:t>
            </w:r>
          </w:p>
        </w:tc>
        <w:tc>
          <w:tcPr/>
          <w:p>
            <w:pPr>
              <w:pStyle w:val="Compact"/>
              <w:jc w:val="center"/>
            </w:pPr>
            <w:r>
              <w:t xml:space="preserve">3529.27</w:t>
            </w:r>
          </w:p>
        </w:tc>
        <w:tc>
          <w:tcPr/>
          <w:p>
            <w:pPr>
              <w:pStyle w:val="Compact"/>
              <w:jc w:val="center"/>
            </w:pPr>
            <w:r>
              <w:t xml:space="preserve">1</w:t>
            </w:r>
          </w:p>
        </w:tc>
      </w:tr>
      <w:tr>
        <w:tc>
          <w:tcPr/>
          <w:p>
            <w:pPr>
              <w:pStyle w:val="Compact"/>
              <w:jc w:val="left"/>
            </w:pPr>
            <m:oMath>
              <m:sSub>
                <m:e>
                  <m:r>
                    <m:t>ξ</m:t>
                  </m:r>
                </m:e>
                <m:sub>
                  <m:r>
                    <m:t>1</m:t>
                  </m:r>
                </m:sub>
              </m:sSub>
            </m:oMath>
          </w:p>
        </w:tc>
        <w:tc>
          <w:tcPr/>
          <w:p>
            <w:pPr>
              <w:pStyle w:val="Compact"/>
              <w:jc w:val="center"/>
            </w:pPr>
            <w:r>
              <w:t xml:space="preserve">Half-Cauchy(0,1)</w:t>
            </w:r>
          </w:p>
        </w:tc>
        <w:tc>
          <w:tcPr/>
          <w:p>
            <w:pPr>
              <w:pStyle w:val="Compact"/>
              <w:jc w:val="center"/>
            </w:pPr>
            <w:r>
              <w:t xml:space="preserve">0.8</w:t>
            </w:r>
            <w:r>
              <w:t xml:space="preserve"> </w:t>
            </w:r>
            <w:r>
              <w:t xml:space="preserve">(0, 3.64)</w:t>
            </w:r>
          </w:p>
        </w:tc>
        <w:tc>
          <w:tcPr/>
          <w:p>
            <w:pPr>
              <w:pStyle w:val="Compact"/>
              <w:jc w:val="center"/>
            </w:pPr>
            <w:r>
              <w:t xml:space="preserve">5527.61</w:t>
            </w:r>
          </w:p>
        </w:tc>
        <w:tc>
          <w:tcPr/>
          <w:p>
            <w:pPr>
              <w:pStyle w:val="Compact"/>
              <w:jc w:val="center"/>
            </w:pPr>
            <w:r>
              <w:t xml:space="preserve">4198.86</w:t>
            </w:r>
          </w:p>
        </w:tc>
        <w:tc>
          <w:tcPr/>
          <w:p>
            <w:pPr>
              <w:pStyle w:val="Compact"/>
              <w:jc w:val="center"/>
            </w:pPr>
            <w:r>
              <w:t xml:space="preserve">1</w:t>
            </w:r>
          </w:p>
        </w:tc>
      </w:tr>
      <w:tr>
        <w:tc>
          <w:tcPr/>
          <w:p>
            <w:pPr>
              <w:pStyle w:val="Compact"/>
              <w:jc w:val="left"/>
            </w:pPr>
            <m:oMath>
              <m:sSub>
                <m:e>
                  <m:r>
                    <m:t>ξ</m:t>
                  </m:r>
                </m:e>
                <m:sub>
                  <m:r>
                    <m:t>2</m:t>
                  </m:r>
                </m:sub>
              </m:sSub>
            </m:oMath>
          </w:p>
        </w:tc>
        <w:tc>
          <w:tcPr/>
          <w:p>
            <w:pPr>
              <w:pStyle w:val="Compact"/>
              <w:jc w:val="center"/>
            </w:pPr>
            <w:r>
              <w:t xml:space="preserve">Half-Cauchy(0,1)</w:t>
            </w:r>
          </w:p>
        </w:tc>
        <w:tc>
          <w:tcPr/>
          <w:p>
            <w:pPr>
              <w:pStyle w:val="Compact"/>
              <w:jc w:val="center"/>
            </w:pPr>
            <w:r>
              <w:t xml:space="preserve">0.71</w:t>
            </w:r>
            <w:r>
              <w:t xml:space="preserve"> </w:t>
            </w:r>
            <w:r>
              <w:t xml:space="preserve">(0, 3.16)</w:t>
            </w:r>
          </w:p>
        </w:tc>
        <w:tc>
          <w:tcPr/>
          <w:p>
            <w:pPr>
              <w:pStyle w:val="Compact"/>
              <w:jc w:val="center"/>
            </w:pPr>
            <w:r>
              <w:t xml:space="preserve">5530.84</w:t>
            </w:r>
          </w:p>
        </w:tc>
        <w:tc>
          <w:tcPr/>
          <w:p>
            <w:pPr>
              <w:pStyle w:val="Compact"/>
              <w:jc w:val="center"/>
            </w:pPr>
            <w:r>
              <w:t xml:space="preserve">4354.07</w:t>
            </w:r>
          </w:p>
        </w:tc>
        <w:tc>
          <w:tcPr/>
          <w:p>
            <w:pPr>
              <w:pStyle w:val="Compact"/>
              <w:jc w:val="center"/>
            </w:pPr>
            <w:r>
              <w:t xml:space="preserve">1</w:t>
            </w:r>
          </w:p>
        </w:tc>
      </w:tr>
      <w:tr>
        <w:tc>
          <w:tcPr/>
          <w:p>
            <w:pPr>
              <w:pStyle w:val="Compact"/>
              <w:jc w:val="left"/>
            </w:pPr>
            <m:oMath>
              <m:sSub>
                <m:e>
                  <m:r>
                    <m:t>ξ</m:t>
                  </m:r>
                </m:e>
                <m:sub>
                  <m:r>
                    <m:t>3</m:t>
                  </m:r>
                </m:sub>
              </m:sSub>
            </m:oMath>
          </w:p>
        </w:tc>
        <w:tc>
          <w:tcPr/>
          <w:p>
            <w:pPr>
              <w:pStyle w:val="Compact"/>
              <w:jc w:val="center"/>
            </w:pPr>
            <w:r>
              <w:t xml:space="preserve">Half-Cauchy(0,1)</w:t>
            </w:r>
          </w:p>
        </w:tc>
        <w:tc>
          <w:tcPr/>
          <w:p>
            <w:pPr>
              <w:pStyle w:val="Compact"/>
              <w:jc w:val="center"/>
            </w:pPr>
            <w:r>
              <w:t xml:space="preserve">0.7</w:t>
            </w:r>
            <w:r>
              <w:t xml:space="preserve"> </w:t>
            </w:r>
            <w:r>
              <w:t xml:space="preserve">(0, 3.17)</w:t>
            </w:r>
          </w:p>
        </w:tc>
        <w:tc>
          <w:tcPr/>
          <w:p>
            <w:pPr>
              <w:pStyle w:val="Compact"/>
              <w:jc w:val="center"/>
            </w:pPr>
            <w:r>
              <w:t xml:space="preserve">5619.71</w:t>
            </w:r>
          </w:p>
        </w:tc>
        <w:tc>
          <w:tcPr/>
          <w:p>
            <w:pPr>
              <w:pStyle w:val="Compact"/>
              <w:jc w:val="center"/>
            </w:pPr>
            <w:r>
              <w:t xml:space="preserve">4028.1</w:t>
            </w:r>
          </w:p>
        </w:tc>
        <w:tc>
          <w:tcPr/>
          <w:p>
            <w:pPr>
              <w:pStyle w:val="Compact"/>
              <w:jc w:val="center"/>
            </w:pPr>
            <w:r>
              <w:t xml:space="preserve">1</w:t>
            </w:r>
          </w:p>
        </w:tc>
      </w:tr>
      <w:tr>
        <w:tc>
          <w:tcPr/>
          <w:p>
            <w:pPr>
              <w:pStyle w:val="Compact"/>
              <w:jc w:val="left"/>
            </w:pPr>
            <m:oMath>
              <m:sSub>
                <m:e>
                  <m:r>
                    <m:t>ξ</m:t>
                  </m:r>
                </m:e>
                <m:sub>
                  <m:r>
                    <m:t>4</m:t>
                  </m:r>
                </m:sub>
              </m:sSub>
            </m:oMath>
          </w:p>
        </w:tc>
        <w:tc>
          <w:tcPr/>
          <w:p>
            <w:pPr>
              <w:pStyle w:val="Compact"/>
              <w:jc w:val="center"/>
            </w:pPr>
            <w:r>
              <w:t xml:space="preserve">Half-Cauchy(0,1)</w:t>
            </w:r>
          </w:p>
        </w:tc>
        <w:tc>
          <w:tcPr/>
          <w:p>
            <w:pPr>
              <w:pStyle w:val="Compact"/>
              <w:jc w:val="center"/>
            </w:pPr>
            <w:r>
              <w:t xml:space="preserve">0.7</w:t>
            </w:r>
            <w:r>
              <w:t xml:space="preserve"> </w:t>
            </w:r>
            <w:r>
              <w:t xml:space="preserve">(0, 3.16)</w:t>
            </w:r>
          </w:p>
        </w:tc>
        <w:tc>
          <w:tcPr/>
          <w:p>
            <w:pPr>
              <w:pStyle w:val="Compact"/>
              <w:jc w:val="center"/>
            </w:pPr>
            <w:r>
              <w:t xml:space="preserve">5339.12</w:t>
            </w:r>
          </w:p>
        </w:tc>
        <w:tc>
          <w:tcPr/>
          <w:p>
            <w:pPr>
              <w:pStyle w:val="Compact"/>
              <w:jc w:val="center"/>
            </w:pPr>
            <w:r>
              <w:t xml:space="preserve">4298.68</w:t>
            </w:r>
          </w:p>
        </w:tc>
        <w:tc>
          <w:tcPr/>
          <w:p>
            <w:pPr>
              <w:pStyle w:val="Compact"/>
              <w:jc w:val="center"/>
            </w:pPr>
            <w:r>
              <w:t xml:space="preserve">1</w:t>
            </w:r>
          </w:p>
        </w:tc>
      </w:tr>
      <w:tr>
        <w:tc>
          <w:tcPr/>
          <w:p>
            <w:pPr>
              <w:pStyle w:val="Compact"/>
              <w:jc w:val="left"/>
            </w:pPr>
            <m:oMath>
              <m:sSub>
                <m:e>
                  <m:r>
                    <m:t>ξ</m:t>
                  </m:r>
                </m:e>
                <m:sub>
                  <m:r>
                    <m:t>5</m:t>
                  </m:r>
                </m:sub>
              </m:sSub>
            </m:oMath>
          </w:p>
        </w:tc>
        <w:tc>
          <w:tcPr/>
          <w:p>
            <w:pPr>
              <w:pStyle w:val="Compact"/>
              <w:jc w:val="center"/>
            </w:pPr>
            <w:r>
              <w:t xml:space="preserve">Half-Cauchy(0,1)</w:t>
            </w:r>
          </w:p>
        </w:tc>
        <w:tc>
          <w:tcPr/>
          <w:p>
            <w:pPr>
              <w:pStyle w:val="Compact"/>
              <w:jc w:val="center"/>
            </w:pPr>
            <w:r>
              <w:t xml:space="preserve">0.87</w:t>
            </w:r>
            <w:r>
              <w:t xml:space="preserve"> </w:t>
            </w:r>
            <w:r>
              <w:t xml:space="preserve">(0, 4.74)</w:t>
            </w:r>
          </w:p>
        </w:tc>
        <w:tc>
          <w:tcPr/>
          <w:p>
            <w:pPr>
              <w:pStyle w:val="Compact"/>
              <w:jc w:val="center"/>
            </w:pPr>
            <w:r>
              <w:t xml:space="preserve">4017.01</w:t>
            </w:r>
          </w:p>
        </w:tc>
        <w:tc>
          <w:tcPr/>
          <w:p>
            <w:pPr>
              <w:pStyle w:val="Compact"/>
              <w:jc w:val="center"/>
            </w:pPr>
            <w:r>
              <w:t xml:space="preserve">3410.4</w:t>
            </w:r>
          </w:p>
        </w:tc>
        <w:tc>
          <w:tcPr/>
          <w:p>
            <w:pPr>
              <w:pStyle w:val="Compact"/>
              <w:jc w:val="center"/>
            </w:pPr>
            <w:r>
              <w:t xml:space="preserve">1</w:t>
            </w:r>
          </w:p>
        </w:tc>
      </w:tr>
      <w:tr>
        <w:tc>
          <w:tcPr/>
          <w:p>
            <w:pPr>
              <w:pStyle w:val="Compact"/>
              <w:jc w:val="left"/>
            </w:pPr>
            <m:oMath>
              <m:sSub>
                <m:e>
                  <m:r>
                    <m:t>ξ</m:t>
                  </m:r>
                </m:e>
                <m:sub>
                  <m:r>
                    <m:t>6</m:t>
                  </m:r>
                </m:sub>
              </m:sSub>
            </m:oMath>
          </w:p>
        </w:tc>
        <w:tc>
          <w:tcPr/>
          <w:p>
            <w:pPr>
              <w:pStyle w:val="Compact"/>
              <w:jc w:val="center"/>
            </w:pPr>
            <w:r>
              <w:t xml:space="preserve">Half-Cauchy(0,1)</w:t>
            </w:r>
          </w:p>
        </w:tc>
        <w:tc>
          <w:tcPr/>
          <w:p>
            <w:pPr>
              <w:pStyle w:val="Compact"/>
              <w:jc w:val="center"/>
            </w:pPr>
            <w:r>
              <w:t xml:space="preserve">0.73</w:t>
            </w:r>
            <w:r>
              <w:t xml:space="preserve"> </w:t>
            </w:r>
            <w:r>
              <w:t xml:space="preserve">(0, 3.24)</w:t>
            </w:r>
          </w:p>
        </w:tc>
        <w:tc>
          <w:tcPr/>
          <w:p>
            <w:pPr>
              <w:pStyle w:val="Compact"/>
              <w:jc w:val="center"/>
            </w:pPr>
            <w:r>
              <w:t xml:space="preserve">5385.23</w:t>
            </w:r>
          </w:p>
        </w:tc>
        <w:tc>
          <w:tcPr/>
          <w:p>
            <w:pPr>
              <w:pStyle w:val="Compact"/>
              <w:jc w:val="center"/>
            </w:pPr>
            <w:r>
              <w:t xml:space="preserve">4137.06</w:t>
            </w:r>
          </w:p>
        </w:tc>
        <w:tc>
          <w:tcPr/>
          <w:p>
            <w:pPr>
              <w:pStyle w:val="Compact"/>
              <w:jc w:val="center"/>
            </w:pPr>
            <w:r>
              <w:t xml:space="preserve">1</w:t>
            </w:r>
          </w:p>
        </w:tc>
      </w:tr>
      <w:tr>
        <w:tc>
          <w:tcPr/>
          <w:p>
            <w:pPr>
              <w:pStyle w:val="Compact"/>
              <w:jc w:val="left"/>
            </w:pPr>
            <m:oMath>
              <m:sSub>
                <m:e>
                  <m:r>
                    <m:t>ξ</m:t>
                  </m:r>
                </m:e>
                <m:sub>
                  <m:r>
                    <m:t>7</m:t>
                  </m:r>
                </m:sub>
              </m:sSub>
            </m:oMath>
          </w:p>
        </w:tc>
        <w:tc>
          <w:tcPr/>
          <w:p>
            <w:pPr>
              <w:pStyle w:val="Compact"/>
              <w:jc w:val="center"/>
            </w:pPr>
            <w:r>
              <w:t xml:space="preserve">Half-Cauchy(0,1)</w:t>
            </w:r>
          </w:p>
        </w:tc>
        <w:tc>
          <w:tcPr/>
          <w:p>
            <w:pPr>
              <w:pStyle w:val="Compact"/>
              <w:jc w:val="center"/>
            </w:pPr>
            <w:r>
              <w:t xml:space="preserve">1.91</w:t>
            </w:r>
            <w:r>
              <w:t xml:space="preserve"> </w:t>
            </w:r>
            <w:r>
              <w:t xml:space="preserve">(0, 11.22)</w:t>
            </w:r>
          </w:p>
        </w:tc>
        <w:tc>
          <w:tcPr/>
          <w:p>
            <w:pPr>
              <w:pStyle w:val="Compact"/>
              <w:jc w:val="center"/>
            </w:pPr>
            <w:r>
              <w:t xml:space="preserve">1908.35</w:t>
            </w:r>
          </w:p>
        </w:tc>
        <w:tc>
          <w:tcPr/>
          <w:p>
            <w:pPr>
              <w:pStyle w:val="Compact"/>
              <w:jc w:val="center"/>
            </w:pPr>
            <w:r>
              <w:t xml:space="preserve">1348.64</w:t>
            </w:r>
          </w:p>
        </w:tc>
        <w:tc>
          <w:tcPr/>
          <w:p>
            <w:pPr>
              <w:pStyle w:val="Compact"/>
              <w:jc w:val="center"/>
            </w:pPr>
            <w:r>
              <w:t xml:space="preserve">1</w:t>
            </w:r>
          </w:p>
        </w:tc>
      </w:tr>
      <w:tr>
        <w:tc>
          <w:tcPr/>
          <w:p>
            <w:pPr>
              <w:pStyle w:val="Compact"/>
              <w:jc w:val="left"/>
            </w:pPr>
            <m:oMath>
              <m:sSub>
                <m:e>
                  <m:r>
                    <m:t>ξ</m:t>
                  </m:r>
                </m:e>
                <m:sub>
                  <m:r>
                    <m:t>8</m:t>
                  </m:r>
                </m:sub>
              </m:sSub>
            </m:oMath>
          </w:p>
        </w:tc>
        <w:tc>
          <w:tcPr/>
          <w:p>
            <w:pPr>
              <w:pStyle w:val="Compact"/>
              <w:jc w:val="center"/>
            </w:pPr>
            <w:r>
              <w:t xml:space="preserve">Half-Cauchy(0,1)</w:t>
            </w:r>
          </w:p>
        </w:tc>
        <w:tc>
          <w:tcPr/>
          <w:p>
            <w:pPr>
              <w:pStyle w:val="Compact"/>
              <w:jc w:val="center"/>
            </w:pPr>
            <w:r>
              <w:t xml:space="preserve">0.71</w:t>
            </w:r>
            <w:r>
              <w:t xml:space="preserve"> </w:t>
            </w:r>
            <w:r>
              <w:t xml:space="preserve">(0, 3.24)</w:t>
            </w:r>
          </w:p>
        </w:tc>
        <w:tc>
          <w:tcPr/>
          <w:p>
            <w:pPr>
              <w:pStyle w:val="Compact"/>
              <w:jc w:val="center"/>
            </w:pPr>
            <w:r>
              <w:t xml:space="preserve">3990.62</w:t>
            </w:r>
          </w:p>
        </w:tc>
        <w:tc>
          <w:tcPr/>
          <w:p>
            <w:pPr>
              <w:pStyle w:val="Compact"/>
              <w:jc w:val="center"/>
            </w:pPr>
            <w:r>
              <w:t xml:space="preserve">3145.32</w:t>
            </w:r>
          </w:p>
        </w:tc>
        <w:tc>
          <w:tcPr/>
          <w:p>
            <w:pPr>
              <w:pStyle w:val="Compact"/>
              <w:jc w:val="center"/>
            </w:pPr>
            <w:r>
              <w:t xml:space="preserve">1</w:t>
            </w:r>
          </w:p>
        </w:tc>
      </w:tr>
      <w:tr>
        <w:tc>
          <w:tcPr/>
          <w:p>
            <w:pPr>
              <w:pStyle w:val="Compact"/>
              <w:jc w:val="left"/>
            </w:pPr>
            <m:oMath>
              <m:sSub>
                <m:e>
                  <m:r>
                    <m:t>ξ</m:t>
                  </m:r>
                </m:e>
                <m:sub>
                  <m:r>
                    <m:t>9</m:t>
                  </m:r>
                </m:sub>
              </m:sSub>
            </m:oMath>
          </w:p>
        </w:tc>
        <w:tc>
          <w:tcPr/>
          <w:p>
            <w:pPr>
              <w:pStyle w:val="Compact"/>
              <w:jc w:val="center"/>
            </w:pPr>
            <w:r>
              <w:t xml:space="preserve">Half-Cauchy(0,1)</w:t>
            </w:r>
          </w:p>
        </w:tc>
        <w:tc>
          <w:tcPr/>
          <w:p>
            <w:pPr>
              <w:pStyle w:val="Compact"/>
              <w:jc w:val="center"/>
            </w:pPr>
            <w:r>
              <w:t xml:space="preserve">0.76</w:t>
            </w:r>
            <w:r>
              <w:t xml:space="preserve"> </w:t>
            </w:r>
            <w:r>
              <w:t xml:space="preserve">(0, 3.46)</w:t>
            </w:r>
          </w:p>
        </w:tc>
        <w:tc>
          <w:tcPr/>
          <w:p>
            <w:pPr>
              <w:pStyle w:val="Compact"/>
              <w:jc w:val="center"/>
            </w:pPr>
            <w:r>
              <w:t xml:space="preserve">3943.2</w:t>
            </w:r>
          </w:p>
        </w:tc>
        <w:tc>
          <w:tcPr/>
          <w:p>
            <w:pPr>
              <w:pStyle w:val="Compact"/>
              <w:jc w:val="center"/>
            </w:pPr>
            <w:r>
              <w:t xml:space="preserve">3327.54</w:t>
            </w:r>
          </w:p>
        </w:tc>
        <w:tc>
          <w:tcPr/>
          <w:p>
            <w:pPr>
              <w:pStyle w:val="Compact"/>
              <w:jc w:val="center"/>
            </w:pPr>
            <w:r>
              <w:t xml:space="preserve">1</w:t>
            </w:r>
          </w:p>
        </w:tc>
      </w:tr>
      <w:tr>
        <w:tc>
          <w:tcPr/>
          <w:p>
            <w:pPr>
              <w:pStyle w:val="Compact"/>
              <w:jc w:val="left"/>
            </w:pPr>
            <m:oMath>
              <m:sSub>
                <m:e>
                  <m:r>
                    <m:t>ξ</m:t>
                  </m:r>
                </m:e>
                <m:sub>
                  <m:r>
                    <m:t>10</m:t>
                  </m:r>
                </m:sub>
              </m:sSub>
            </m:oMath>
          </w:p>
        </w:tc>
        <w:tc>
          <w:tcPr/>
          <w:p>
            <w:pPr>
              <w:pStyle w:val="Compact"/>
              <w:jc w:val="center"/>
            </w:pPr>
            <w:r>
              <w:t xml:space="preserve">Half-Cauchy(0,1)</w:t>
            </w:r>
          </w:p>
        </w:tc>
        <w:tc>
          <w:tcPr/>
          <w:p>
            <w:pPr>
              <w:pStyle w:val="Compact"/>
              <w:jc w:val="center"/>
            </w:pPr>
            <w:r>
              <w:t xml:space="preserve">0.93</w:t>
            </w:r>
            <w:r>
              <w:t xml:space="preserve"> </w:t>
            </w:r>
            <w:r>
              <w:t xml:space="preserve">(0, 4.44)</w:t>
            </w:r>
          </w:p>
        </w:tc>
        <w:tc>
          <w:tcPr/>
          <w:p>
            <w:pPr>
              <w:pStyle w:val="Compact"/>
              <w:jc w:val="center"/>
            </w:pPr>
            <w:r>
              <w:t xml:space="preserve">3591.49</w:t>
            </w:r>
          </w:p>
        </w:tc>
        <w:tc>
          <w:tcPr/>
          <w:p>
            <w:pPr>
              <w:pStyle w:val="Compact"/>
              <w:jc w:val="center"/>
            </w:pPr>
            <w:r>
              <w:t xml:space="preserve">3176.66</w:t>
            </w:r>
          </w:p>
        </w:tc>
        <w:tc>
          <w:tcPr/>
          <w:p>
            <w:pPr>
              <w:pStyle w:val="Compact"/>
              <w:jc w:val="center"/>
            </w:pPr>
            <w:r>
              <w:t xml:space="preserve">1</w:t>
            </w:r>
          </w:p>
        </w:tc>
      </w:tr>
      <w:tr>
        <w:tc>
          <w:tcPr/>
          <w:p>
            <w:pPr>
              <w:pStyle w:val="Compact"/>
              <w:jc w:val="left"/>
            </w:pPr>
            <m:oMath>
              <m:sSub>
                <m:e>
                  <m:r>
                    <m:t>ξ</m:t>
                  </m:r>
                </m:e>
                <m:sub>
                  <m:r>
                    <m:t>11</m:t>
                  </m:r>
                </m:sub>
              </m:sSub>
            </m:oMath>
          </w:p>
        </w:tc>
        <w:tc>
          <w:tcPr/>
          <w:p>
            <w:pPr>
              <w:pStyle w:val="Compact"/>
              <w:jc w:val="center"/>
            </w:pPr>
            <w:r>
              <w:t xml:space="preserve">Half-Cauchy(0,1)</w:t>
            </w:r>
          </w:p>
        </w:tc>
        <w:tc>
          <w:tcPr/>
          <w:p>
            <w:pPr>
              <w:pStyle w:val="Compact"/>
              <w:jc w:val="center"/>
            </w:pPr>
            <w:r>
              <w:t xml:space="preserve">0.78</w:t>
            </w:r>
            <w:r>
              <w:t xml:space="preserve"> </w:t>
            </w:r>
            <w:r>
              <w:t xml:space="preserve">(0, 3.69)</w:t>
            </w:r>
          </w:p>
        </w:tc>
        <w:tc>
          <w:tcPr/>
          <w:p>
            <w:pPr>
              <w:pStyle w:val="Compact"/>
              <w:jc w:val="center"/>
            </w:pPr>
            <w:r>
              <w:t xml:space="preserve">4937.19</w:t>
            </w:r>
          </w:p>
        </w:tc>
        <w:tc>
          <w:tcPr/>
          <w:p>
            <w:pPr>
              <w:pStyle w:val="Compact"/>
              <w:jc w:val="center"/>
            </w:pPr>
            <w:r>
              <w:t xml:space="preserve">3571.01</w:t>
            </w:r>
          </w:p>
        </w:tc>
        <w:tc>
          <w:tcPr/>
          <w:p>
            <w:pPr>
              <w:pStyle w:val="Compact"/>
              <w:jc w:val="center"/>
            </w:pPr>
            <w:r>
              <w:t xml:space="preserve">1</w:t>
            </w:r>
          </w:p>
        </w:tc>
      </w:tr>
      <w:tr>
        <w:tc>
          <w:tcPr/>
          <w:p>
            <w:pPr>
              <w:pStyle w:val="Compact"/>
              <w:jc w:val="left"/>
            </w:pPr>
            <m:oMath>
              <m:sSub>
                <m:e>
                  <m:r>
                    <m:t>ξ</m:t>
                  </m:r>
                </m:e>
                <m:sub>
                  <m:r>
                    <m:t>12</m:t>
                  </m:r>
                </m:sub>
              </m:sSub>
            </m:oMath>
          </w:p>
        </w:tc>
        <w:tc>
          <w:tcPr/>
          <w:p>
            <w:pPr>
              <w:pStyle w:val="Compact"/>
              <w:jc w:val="center"/>
            </w:pPr>
            <w:r>
              <w:t xml:space="preserve">Half-Cauchy(0,1)</w:t>
            </w:r>
          </w:p>
        </w:tc>
        <w:tc>
          <w:tcPr/>
          <w:p>
            <w:pPr>
              <w:pStyle w:val="Compact"/>
              <w:jc w:val="center"/>
            </w:pPr>
            <w:r>
              <w:t xml:space="preserve">0.68</w:t>
            </w:r>
            <w:r>
              <w:t xml:space="preserve"> </w:t>
            </w:r>
            <w:r>
              <w:t xml:space="preserve">(0, 3)</w:t>
            </w:r>
          </w:p>
        </w:tc>
        <w:tc>
          <w:tcPr/>
          <w:p>
            <w:pPr>
              <w:pStyle w:val="Compact"/>
              <w:jc w:val="center"/>
            </w:pPr>
            <w:r>
              <w:t xml:space="preserve">4362.46</w:t>
            </w:r>
          </w:p>
        </w:tc>
        <w:tc>
          <w:tcPr/>
          <w:p>
            <w:pPr>
              <w:pStyle w:val="Compact"/>
              <w:jc w:val="center"/>
            </w:pPr>
            <w:r>
              <w:t xml:space="preserve">1313.24</w:t>
            </w:r>
          </w:p>
        </w:tc>
        <w:tc>
          <w:tcPr/>
          <w:p>
            <w:pPr>
              <w:pStyle w:val="Compact"/>
              <w:jc w:val="center"/>
            </w:pPr>
            <w:r>
              <w:t xml:space="preserve">1</w:t>
            </w:r>
          </w:p>
        </w:tc>
      </w:tr>
      <w:tr>
        <w:tc>
          <w:tcPr/>
          <w:p>
            <w:pPr>
              <w:pStyle w:val="Compact"/>
              <w:jc w:val="left"/>
            </w:pPr>
            <m:oMath>
              <m:sSub>
                <m:e>
                  <m:r>
                    <m:t>ξ</m:t>
                  </m:r>
                </m:e>
                <m:sub>
                  <m:r>
                    <m:t>13</m:t>
                  </m:r>
                </m:sub>
              </m:sSub>
            </m:oMath>
          </w:p>
        </w:tc>
        <w:tc>
          <w:tcPr/>
          <w:p>
            <w:pPr>
              <w:pStyle w:val="Compact"/>
              <w:jc w:val="center"/>
            </w:pPr>
            <w:r>
              <w:t xml:space="preserve">Half-Cauchy(0,1)</w:t>
            </w:r>
          </w:p>
        </w:tc>
        <w:tc>
          <w:tcPr/>
          <w:p>
            <w:pPr>
              <w:pStyle w:val="Compact"/>
              <w:jc w:val="center"/>
            </w:pPr>
            <w:r>
              <w:t xml:space="preserve">0.74</w:t>
            </w:r>
            <w:r>
              <w:t xml:space="preserve"> </w:t>
            </w:r>
            <w:r>
              <w:t xml:space="preserve">(0, 3.43)</w:t>
            </w:r>
          </w:p>
        </w:tc>
        <w:tc>
          <w:tcPr/>
          <w:p>
            <w:pPr>
              <w:pStyle w:val="Compact"/>
              <w:jc w:val="center"/>
            </w:pPr>
            <w:r>
              <w:t xml:space="preserve">4566.12</w:t>
            </w:r>
          </w:p>
        </w:tc>
        <w:tc>
          <w:tcPr/>
          <w:p>
            <w:pPr>
              <w:pStyle w:val="Compact"/>
              <w:jc w:val="center"/>
            </w:pPr>
            <w:r>
              <w:t xml:space="preserve">2842.43</w:t>
            </w:r>
          </w:p>
        </w:tc>
        <w:tc>
          <w:tcPr/>
          <w:p>
            <w:pPr>
              <w:pStyle w:val="Compact"/>
              <w:jc w:val="center"/>
            </w:pPr>
            <w:r>
              <w:t xml:space="preserve">1</w:t>
            </w:r>
          </w:p>
        </w:tc>
      </w:tr>
      <w:tr>
        <w:tc>
          <w:tcPr/>
          <w:p>
            <w:pPr>
              <w:pStyle w:val="Compact"/>
              <w:jc w:val="left"/>
            </w:pPr>
            <m:oMath>
              <m:sSub>
                <m:e>
                  <m:r>
                    <m:t>ξ</m:t>
                  </m:r>
                </m:e>
                <m:sub>
                  <m:r>
                    <m:t>14</m:t>
                  </m:r>
                </m:sub>
              </m:sSub>
            </m:oMath>
          </w:p>
        </w:tc>
        <w:tc>
          <w:tcPr/>
          <w:p>
            <w:pPr>
              <w:pStyle w:val="Compact"/>
              <w:jc w:val="center"/>
            </w:pPr>
            <w:r>
              <w:t xml:space="preserve">Half-Cauchy(0,1)</w:t>
            </w:r>
          </w:p>
        </w:tc>
        <w:tc>
          <w:tcPr/>
          <w:p>
            <w:pPr>
              <w:pStyle w:val="Compact"/>
              <w:jc w:val="center"/>
            </w:pPr>
            <w:r>
              <w:t xml:space="preserve">0.69</w:t>
            </w:r>
            <w:r>
              <w:t xml:space="preserve"> </w:t>
            </w:r>
            <w:r>
              <w:t xml:space="preserve">(0, 3.07)</w:t>
            </w:r>
          </w:p>
        </w:tc>
        <w:tc>
          <w:tcPr/>
          <w:p>
            <w:pPr>
              <w:pStyle w:val="Compact"/>
              <w:jc w:val="center"/>
            </w:pPr>
            <w:r>
              <w:t xml:space="preserve">5724.75</w:t>
            </w:r>
          </w:p>
        </w:tc>
        <w:tc>
          <w:tcPr/>
          <w:p>
            <w:pPr>
              <w:pStyle w:val="Compact"/>
              <w:jc w:val="center"/>
            </w:pPr>
            <w:r>
              <w:t xml:space="preserve">3701.21</w:t>
            </w:r>
          </w:p>
        </w:tc>
        <w:tc>
          <w:tcPr/>
          <w:p>
            <w:pPr>
              <w:pStyle w:val="Compact"/>
              <w:jc w:val="center"/>
            </w:pPr>
            <w:r>
              <w:t xml:space="preserve">1</w:t>
            </w:r>
          </w:p>
        </w:tc>
      </w:tr>
      <w:tr>
        <w:tc>
          <w:tcPr/>
          <w:p>
            <w:pPr>
              <w:pStyle w:val="Compact"/>
              <w:jc w:val="left"/>
            </w:pPr>
            <m:oMath>
              <m:sSub>
                <m:e>
                  <m:r>
                    <m:t>ξ</m:t>
                  </m:r>
                </m:e>
                <m:sub>
                  <m:r>
                    <m:t>15</m:t>
                  </m:r>
                </m:sub>
              </m:sSub>
            </m:oMath>
          </w:p>
        </w:tc>
        <w:tc>
          <w:tcPr/>
          <w:p>
            <w:pPr>
              <w:pStyle w:val="Compact"/>
              <w:jc w:val="center"/>
            </w:pPr>
            <w:r>
              <w:t xml:space="preserve">Half-Cauchy(0,1)</w:t>
            </w:r>
          </w:p>
        </w:tc>
        <w:tc>
          <w:tcPr/>
          <w:p>
            <w:pPr>
              <w:pStyle w:val="Compact"/>
              <w:jc w:val="center"/>
            </w:pPr>
            <w:r>
              <w:t xml:space="preserve">0.8</w:t>
            </w:r>
            <w:r>
              <w:t xml:space="preserve"> </w:t>
            </w:r>
            <w:r>
              <w:t xml:space="preserve">(0, 3.84)</w:t>
            </w:r>
          </w:p>
        </w:tc>
        <w:tc>
          <w:tcPr/>
          <w:p>
            <w:pPr>
              <w:pStyle w:val="Compact"/>
              <w:jc w:val="center"/>
            </w:pPr>
            <w:r>
              <w:t xml:space="preserve">4790.29</w:t>
            </w:r>
          </w:p>
        </w:tc>
        <w:tc>
          <w:tcPr/>
          <w:p>
            <w:pPr>
              <w:pStyle w:val="Compact"/>
              <w:jc w:val="center"/>
            </w:pPr>
            <w:r>
              <w:t xml:space="preserve">4245.85</w:t>
            </w:r>
          </w:p>
        </w:tc>
        <w:tc>
          <w:tcPr/>
          <w:p>
            <w:pPr>
              <w:pStyle w:val="Compact"/>
              <w:jc w:val="center"/>
            </w:pPr>
            <w:r>
              <w:t xml:space="preserve">1</w:t>
            </w:r>
          </w:p>
        </w:tc>
      </w:tr>
      <w:tr>
        <w:tc>
          <w:tcPr/>
          <w:p>
            <w:pPr>
              <w:pStyle w:val="Compact"/>
              <w:jc w:val="left"/>
            </w:pPr>
            <m:oMath>
              <m:sSub>
                <m:e>
                  <m:r>
                    <m:t>ξ</m:t>
                  </m:r>
                </m:e>
                <m:sub>
                  <m:r>
                    <m:t>16</m:t>
                  </m:r>
                </m:sub>
              </m:sSub>
            </m:oMath>
          </w:p>
        </w:tc>
        <w:tc>
          <w:tcPr/>
          <w:p>
            <w:pPr>
              <w:pStyle w:val="Compact"/>
              <w:jc w:val="center"/>
            </w:pPr>
            <w:r>
              <w:t xml:space="preserve">Half-Cauchy(0,1)</w:t>
            </w:r>
          </w:p>
        </w:tc>
        <w:tc>
          <w:tcPr/>
          <w:p>
            <w:pPr>
              <w:pStyle w:val="Compact"/>
              <w:jc w:val="center"/>
            </w:pPr>
            <w:r>
              <w:t xml:space="preserve">0.79</w:t>
            </w:r>
            <w:r>
              <w:t xml:space="preserve"> </w:t>
            </w:r>
            <w:r>
              <w:t xml:space="preserve">(0, 3.46)</w:t>
            </w:r>
          </w:p>
        </w:tc>
        <w:tc>
          <w:tcPr/>
          <w:p>
            <w:pPr>
              <w:pStyle w:val="Compact"/>
              <w:jc w:val="center"/>
            </w:pPr>
            <w:r>
              <w:t xml:space="preserve">3647.84</w:t>
            </w:r>
          </w:p>
        </w:tc>
        <w:tc>
          <w:tcPr/>
          <w:p>
            <w:pPr>
              <w:pStyle w:val="Compact"/>
              <w:jc w:val="center"/>
            </w:pPr>
            <w:r>
              <w:t xml:space="preserve">2712.66</w:t>
            </w:r>
          </w:p>
        </w:tc>
        <w:tc>
          <w:tcPr/>
          <w:p>
            <w:pPr>
              <w:pStyle w:val="Compact"/>
              <w:jc w:val="center"/>
            </w:pPr>
            <w:r>
              <w:t xml:space="preserve">1</w:t>
            </w:r>
          </w:p>
        </w:tc>
      </w:tr>
      <w:tr>
        <w:tc>
          <w:tcPr/>
          <w:p>
            <w:pPr>
              <w:pStyle w:val="Compact"/>
              <w:jc w:val="left"/>
            </w:pPr>
            <m:oMath>
              <m:sSub>
                <m:e>
                  <m:r>
                    <m:t>ξ</m:t>
                  </m:r>
                </m:e>
                <m:sub>
                  <m:r>
                    <m:t>17</m:t>
                  </m:r>
                </m:sub>
              </m:sSub>
            </m:oMath>
          </w:p>
        </w:tc>
        <w:tc>
          <w:tcPr/>
          <w:p>
            <w:pPr>
              <w:pStyle w:val="Compact"/>
              <w:jc w:val="center"/>
            </w:pPr>
            <w:r>
              <w:t xml:space="preserve">Half-Cauchy(0,1)</w:t>
            </w:r>
          </w:p>
        </w:tc>
        <w:tc>
          <w:tcPr/>
          <w:p>
            <w:pPr>
              <w:pStyle w:val="Compact"/>
              <w:jc w:val="center"/>
            </w:pPr>
            <w:r>
              <w:t xml:space="preserve">0.77</w:t>
            </w:r>
            <w:r>
              <w:t xml:space="preserve"> </w:t>
            </w:r>
            <w:r>
              <w:t xml:space="preserve">(0, 3.43)</w:t>
            </w:r>
          </w:p>
        </w:tc>
        <w:tc>
          <w:tcPr/>
          <w:p>
            <w:pPr>
              <w:pStyle w:val="Compact"/>
              <w:jc w:val="center"/>
            </w:pPr>
            <w:r>
              <w:t xml:space="preserve">5954.65</w:t>
            </w:r>
          </w:p>
        </w:tc>
        <w:tc>
          <w:tcPr/>
          <w:p>
            <w:pPr>
              <w:pStyle w:val="Compact"/>
              <w:jc w:val="center"/>
            </w:pPr>
            <w:r>
              <w:t xml:space="preserve">4227.72</w:t>
            </w:r>
          </w:p>
        </w:tc>
        <w:tc>
          <w:tcPr/>
          <w:p>
            <w:pPr>
              <w:pStyle w:val="Compact"/>
              <w:jc w:val="center"/>
            </w:pPr>
            <w:r>
              <w:t xml:space="preserve">1</w:t>
            </w:r>
          </w:p>
        </w:tc>
      </w:tr>
      <w:tr>
        <w:tc>
          <w:tcPr/>
          <w:p>
            <w:pPr>
              <w:pStyle w:val="Compact"/>
              <w:jc w:val="left"/>
            </w:pPr>
            <m:oMath>
              <m:sSub>
                <m:e>
                  <m:r>
                    <m:t>ξ</m:t>
                  </m:r>
                </m:e>
                <m:sub>
                  <m:r>
                    <m:t>18</m:t>
                  </m:r>
                </m:sub>
              </m:sSub>
            </m:oMath>
          </w:p>
        </w:tc>
        <w:tc>
          <w:tcPr/>
          <w:p>
            <w:pPr>
              <w:pStyle w:val="Compact"/>
              <w:jc w:val="center"/>
            </w:pPr>
            <w:r>
              <w:t xml:space="preserve">Half-Cauchy(0,1)</w:t>
            </w:r>
          </w:p>
        </w:tc>
        <w:tc>
          <w:tcPr/>
          <w:p>
            <w:pPr>
              <w:pStyle w:val="Compact"/>
              <w:jc w:val="center"/>
            </w:pPr>
            <w:r>
              <w:t xml:space="preserve">0.76</w:t>
            </w:r>
            <w:r>
              <w:t xml:space="preserve"> </w:t>
            </w:r>
            <w:r>
              <w:t xml:space="preserve">(0, 3.28)</w:t>
            </w:r>
          </w:p>
        </w:tc>
        <w:tc>
          <w:tcPr/>
          <w:p>
            <w:pPr>
              <w:pStyle w:val="Compact"/>
              <w:jc w:val="center"/>
            </w:pPr>
            <w:r>
              <w:t xml:space="preserve">5410.16</w:t>
            </w:r>
          </w:p>
        </w:tc>
        <w:tc>
          <w:tcPr/>
          <w:p>
            <w:pPr>
              <w:pStyle w:val="Compact"/>
              <w:jc w:val="center"/>
            </w:pPr>
            <w:r>
              <w:t xml:space="preserve">4099.88</w:t>
            </w:r>
          </w:p>
        </w:tc>
        <w:tc>
          <w:tcPr/>
          <w:p>
            <w:pPr>
              <w:pStyle w:val="Compact"/>
              <w:jc w:val="center"/>
            </w:pPr>
            <w:r>
              <w:t xml:space="preserve">1</w:t>
            </w:r>
          </w:p>
        </w:tc>
      </w:tr>
      <w:tr>
        <w:tc>
          <w:tcPr/>
          <w:p>
            <w:pPr>
              <w:pStyle w:val="Compact"/>
              <w:jc w:val="left"/>
            </w:pPr>
            <m:oMath>
              <m:sSub>
                <m:e>
                  <m:r>
                    <m:t>ξ</m:t>
                  </m:r>
                </m:e>
                <m:sub>
                  <m:r>
                    <m:t>19</m:t>
                  </m:r>
                </m:sub>
              </m:sSub>
            </m:oMath>
          </w:p>
        </w:tc>
        <w:tc>
          <w:tcPr/>
          <w:p>
            <w:pPr>
              <w:pStyle w:val="Compact"/>
              <w:jc w:val="center"/>
            </w:pPr>
            <w:r>
              <w:t xml:space="preserve">Half-Cauchy(0,1)</w:t>
            </w:r>
          </w:p>
        </w:tc>
        <w:tc>
          <w:tcPr/>
          <w:p>
            <w:pPr>
              <w:pStyle w:val="Compact"/>
              <w:jc w:val="center"/>
            </w:pPr>
            <w:r>
              <w:t xml:space="preserve">0.76</w:t>
            </w:r>
            <w:r>
              <w:t xml:space="preserve"> </w:t>
            </w:r>
            <w:r>
              <w:t xml:space="preserve">(0, 3.82)</w:t>
            </w:r>
          </w:p>
        </w:tc>
        <w:tc>
          <w:tcPr/>
          <w:p>
            <w:pPr>
              <w:pStyle w:val="Compact"/>
              <w:jc w:val="center"/>
            </w:pPr>
            <w:r>
              <w:t xml:space="preserve">5667.42</w:t>
            </w:r>
          </w:p>
        </w:tc>
        <w:tc>
          <w:tcPr/>
          <w:p>
            <w:pPr>
              <w:pStyle w:val="Compact"/>
              <w:jc w:val="center"/>
            </w:pPr>
            <w:r>
              <w:t xml:space="preserve">3895.84</w:t>
            </w:r>
          </w:p>
        </w:tc>
        <w:tc>
          <w:tcPr/>
          <w:p>
            <w:pPr>
              <w:pStyle w:val="Compact"/>
              <w:jc w:val="center"/>
            </w:pPr>
            <w:r>
              <w:t xml:space="preserve">1</w:t>
            </w:r>
          </w:p>
        </w:tc>
      </w:tr>
      <w:tr>
        <w:tc>
          <w:tcPr/>
          <w:p>
            <w:pPr>
              <w:pStyle w:val="Compact"/>
              <w:jc w:val="left"/>
            </w:pPr>
            <m:oMath>
              <m:sSub>
                <m:e>
                  <m:r>
                    <m:t>ξ</m:t>
                  </m:r>
                </m:e>
                <m:sub>
                  <m:r>
                    <m:t>20</m:t>
                  </m:r>
                </m:sub>
              </m:sSub>
            </m:oMath>
          </w:p>
        </w:tc>
        <w:tc>
          <w:tcPr/>
          <w:p>
            <w:pPr>
              <w:pStyle w:val="Compact"/>
              <w:jc w:val="center"/>
            </w:pPr>
            <w:r>
              <w:t xml:space="preserve">Half-Cauchy(0,1)</w:t>
            </w:r>
          </w:p>
        </w:tc>
        <w:tc>
          <w:tcPr/>
          <w:p>
            <w:pPr>
              <w:pStyle w:val="Compact"/>
              <w:jc w:val="center"/>
            </w:pPr>
            <w:r>
              <w:t xml:space="preserve">0.69</w:t>
            </w:r>
            <w:r>
              <w:t xml:space="preserve"> </w:t>
            </w:r>
            <w:r>
              <w:t xml:space="preserve">(0, 2.99)</w:t>
            </w:r>
          </w:p>
        </w:tc>
        <w:tc>
          <w:tcPr/>
          <w:p>
            <w:pPr>
              <w:pStyle w:val="Compact"/>
              <w:jc w:val="center"/>
            </w:pPr>
            <w:r>
              <w:t xml:space="preserve">5903.18</w:t>
            </w:r>
          </w:p>
        </w:tc>
        <w:tc>
          <w:tcPr/>
          <w:p>
            <w:pPr>
              <w:pStyle w:val="Compact"/>
              <w:jc w:val="center"/>
            </w:pPr>
            <w:r>
              <w:t xml:space="preserve">3498.75</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0.31</w:t>
            </w:r>
            <w:r>
              <w:t xml:space="preserve"> </w:t>
            </w:r>
            <w:r>
              <w:t xml:space="preserve">(0.12, 0.49)</w:t>
            </w:r>
          </w:p>
        </w:tc>
        <w:tc>
          <w:tcPr/>
          <w:p>
            <w:pPr>
              <w:pStyle w:val="Compact"/>
              <w:jc w:val="center"/>
            </w:pPr>
            <w:r>
              <w:t xml:space="preserve">2332.48</w:t>
            </w:r>
          </w:p>
        </w:tc>
        <w:tc>
          <w:tcPr/>
          <w:p>
            <w:pPr>
              <w:pStyle w:val="Compact"/>
              <w:jc w:val="center"/>
            </w:pPr>
            <w:r>
              <w:t xml:space="preserve">1558.42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-5.75</w:t>
            </w:r>
            <w:r>
              <w:t xml:space="preserve"> </w:t>
            </w:r>
            <w:r>
              <w:t xml:space="preserve">(-5.98, -5.5)</w:t>
            </w:r>
          </w:p>
        </w:tc>
        <w:tc>
          <w:tcPr/>
          <w:p>
            <w:pPr>
              <w:pStyle w:val="Compact"/>
              <w:jc w:val="center"/>
            </w:pPr>
            <w:r>
              <w:t xml:space="preserve">3461.42</w:t>
            </w:r>
          </w:p>
        </w:tc>
        <w:tc>
          <w:tcPr/>
          <w:p>
            <w:pPr>
              <w:pStyle w:val="Compact"/>
              <w:jc w:val="center"/>
            </w:pPr>
            <w:r>
              <w:t xml:space="preserve">3211.9</w:t>
            </w:r>
          </w:p>
        </w:tc>
        <w:tc>
          <w:tcPr/>
          <w:p>
            <w:pPr>
              <w:pStyle w:val="Compact"/>
              <w:jc w:val="center"/>
            </w:pPr>
            <w:r>
              <w:t xml:space="preserve">1</w:t>
            </w:r>
          </w:p>
        </w:tc>
      </w:tr>
    </w:tbl>
    <w:p>
      <w:pPr>
        <w:pStyle w:val="BodyText"/>
      </w:pPr>
      <w:r>
        <w:rPr>
          <w:b/>
          <w:bCs/>
        </w:rPr>
        <w:t xml:space="preserve">Parameter estimates for full model fit to deep-sequence data from 1,970 RCCS participants living with viremic HIV with putative risk factors of harboring multiple infection and Bayesian shrinkage priors.</w:t>
      </w:r>
      <w:r>
        <w:t xml:space="preserve"> </w:t>
      </w:r>
      <w:r>
        <w:t xml:space="preserve">ESS = effective sample size. HPD = highest posterior density.</w:t>
      </w:r>
    </w:p>
    <w:bookmarkEnd w:id="98"/>
    <w:bookmarkEnd w:id="99"/>
    <w:bookmarkStart w:id="321" w:name="references-1"/>
    <w:p>
      <w:pPr>
        <w:pStyle w:val="Heading1"/>
      </w:pPr>
      <w:r>
        <w:t xml:space="preserve">References</w:t>
      </w:r>
    </w:p>
    <w:bookmarkStart w:id="320" w:name="refs"/>
    <w:bookmarkStart w:id="101" w:name="ref-abeler-dorner2019"/>
    <w:p>
      <w:pPr>
        <w:pStyle w:val="Bibliography"/>
      </w:pPr>
      <w:r>
        <w:t xml:space="preserve">Abeler-Dörner, Lucie, Mary K. Grabowski, Andrew Rambaut, Deenan Pillay, and Christophe Fraser. 2019.</w:t>
      </w:r>
      <w:r>
        <w:t xml:space="preserve"> </w:t>
      </w:r>
      <w:r>
        <w:t xml:space="preserve">“</w:t>
      </w:r>
      <w:r>
        <w:t xml:space="preserve">PANGEA</w:t>
      </w:r>
      <w:r>
        <w:t xml:space="preserve">-</w:t>
      </w:r>
      <w:r>
        <w:t xml:space="preserve">HIV</w:t>
      </w:r>
      <w:r>
        <w:t xml:space="preserve"> </w:t>
      </w:r>
      <w:r>
        <w:t xml:space="preserve">2: Phylogenetics and Networks for Generalised Epidemics in Africa.”</w:t>
      </w:r>
      <w:r>
        <w:t xml:space="preserve"> </w:t>
      </w:r>
      <w:r>
        <w:rPr>
          <w:i/>
          <w:iCs/>
        </w:rPr>
        <w:t xml:space="preserve">Current Opinion in</w:t>
      </w:r>
      <w:r>
        <w:rPr>
          <w:i/>
          <w:iCs/>
        </w:rPr>
        <w:t xml:space="preserve"> </w:t>
      </w:r>
      <w:r>
        <w:rPr>
          <w:i/>
          <w:iCs/>
        </w:rPr>
        <w:t xml:space="preserve">HIV</w:t>
      </w:r>
      <w:r>
        <w:rPr>
          <w:i/>
          <w:iCs/>
        </w:rPr>
        <w:t xml:space="preserve"> </w:t>
      </w:r>
      <w:r>
        <w:rPr>
          <w:i/>
          <w:iCs/>
        </w:rPr>
        <w:t xml:space="preserve">and</w:t>
      </w:r>
      <w:r>
        <w:rPr>
          <w:i/>
          <w:iCs/>
        </w:rPr>
        <w:t xml:space="preserve"> </w:t>
      </w:r>
      <w:r>
        <w:rPr>
          <w:i/>
          <w:iCs/>
        </w:rPr>
        <w:t xml:space="preserve">AIDS</w:t>
      </w:r>
      <w:r>
        <w:t xml:space="preserve"> </w:t>
      </w:r>
      <w:r>
        <w:t xml:space="preserve">14 (3): 173–80.</w:t>
      </w:r>
      <w:r>
        <w:t xml:space="preserve"> </w:t>
      </w:r>
      <w:hyperlink r:id="rId100">
        <w:r>
          <w:rPr>
            <w:rStyle w:val="Hyperlink"/>
          </w:rPr>
          <w:t xml:space="preserve">https://doi.org/10.1097/COH.0000000000000542</w:t>
        </w:r>
      </w:hyperlink>
      <w:r>
        <w:t xml:space="preserve">.</w:t>
      </w:r>
    </w:p>
    <w:bookmarkEnd w:id="101"/>
    <w:bookmarkStart w:id="103" w:name="ref-abrahams2009"/>
    <w:p>
      <w:pPr>
        <w:pStyle w:val="Bibliography"/>
      </w:pPr>
      <w:r>
        <w:t xml:space="preserve">Abrahams, M.-R., J. A. Anderson, E. E. Giorgi, C. Seoighe, K. Mlisana, L.-H. Ping, G. S. Athreya, et al. 2009.</w:t>
      </w:r>
      <w:r>
        <w:t xml:space="preserve"> </w:t>
      </w:r>
      <w:r>
        <w:t xml:space="preserve">“Quantitating the Multiplicity of Infection with Human Immunodeficiency Virus Type 1 Subtype c Reveals a Non-Poisson Distribution of Transmitted Variants.”</w:t>
      </w:r>
      <w:r>
        <w:t xml:space="preserve"> </w:t>
      </w:r>
      <w:r>
        <w:rPr>
          <w:i/>
          <w:iCs/>
        </w:rPr>
        <w:t xml:space="preserve">Journal of Virology</w:t>
      </w:r>
      <w:r>
        <w:t xml:space="preserve"> </w:t>
      </w:r>
      <w:r>
        <w:t xml:space="preserve">83 (8): 3556–67.</w:t>
      </w:r>
      <w:r>
        <w:t xml:space="preserve"> </w:t>
      </w:r>
      <w:hyperlink r:id="rId102">
        <w:r>
          <w:rPr>
            <w:rStyle w:val="Hyperlink"/>
          </w:rPr>
          <w:t xml:space="preserve">https://doi.org/10.1128/JVI.02132-08</w:t>
        </w:r>
      </w:hyperlink>
      <w:r>
        <w:t xml:space="preserve">.</w:t>
      </w:r>
    </w:p>
    <w:bookmarkEnd w:id="103"/>
    <w:bookmarkStart w:id="105" w:name="ref-anyansi2020"/>
    <w:p>
      <w:pPr>
        <w:pStyle w:val="Bibliography"/>
      </w:pPr>
      <w:r>
        <w:t xml:space="preserve">Anyansi, Christine, Arlin Keo, Bruce J. Walker, Timothy J. Straub, Abigail L. Manson, Ashlee M. Earl, and Thomas Abeel. 2020.</w:t>
      </w:r>
      <w:r>
        <w:t xml:space="preserve"> </w:t>
      </w:r>
      <w:r>
        <w:t xml:space="preserve">“</w:t>
      </w:r>
      <w:r>
        <w:t xml:space="preserve">QuantTB</w:t>
      </w:r>
      <w:r>
        <w:t xml:space="preserve"> </w:t>
      </w:r>
      <w:r>
        <w:t xml:space="preserve">– a Method to Classify Mixed Mycobacterium Tuberculosis Infections Within Whole Genome Sequencing Data.”</w:t>
      </w:r>
      <w:r>
        <w:t xml:space="preserve"> </w:t>
      </w:r>
      <w:r>
        <w:rPr>
          <w:i/>
          <w:iCs/>
        </w:rPr>
        <w:t xml:space="preserve">BMC</w:t>
      </w:r>
      <w:r>
        <w:rPr>
          <w:i/>
          <w:iCs/>
        </w:rPr>
        <w:t xml:space="preserve"> </w:t>
      </w:r>
      <w:r>
        <w:rPr>
          <w:i/>
          <w:iCs/>
        </w:rPr>
        <w:t xml:space="preserve">Genomics</w:t>
      </w:r>
      <w:r>
        <w:t xml:space="preserve"> </w:t>
      </w:r>
      <w:r>
        <w:t xml:space="preserve">21 (1): 80.</w:t>
      </w:r>
      <w:r>
        <w:t xml:space="preserve"> </w:t>
      </w:r>
      <w:hyperlink r:id="rId104">
        <w:r>
          <w:rPr>
            <w:rStyle w:val="Hyperlink"/>
          </w:rPr>
          <w:t xml:space="preserve">https://doi.org/10.1186/s12864-020-6486-3</w:t>
        </w:r>
      </w:hyperlink>
      <w:r>
        <w:t xml:space="preserve">.</w:t>
      </w:r>
    </w:p>
    <w:bookmarkEnd w:id="105"/>
    <w:bookmarkStart w:id="107" w:name="ref-bankevich2012"/>
    <w:p>
      <w:pPr>
        <w:pStyle w:val="Bibliography"/>
      </w:pPr>
      <w:r>
        <w:t xml:space="preserve">Bankevich, Anton, Sergey Nurk, Dmitry Antipov, Alexey A. Gurevich, Mikhail Dvorkin, Alexander S. Kulikov, Valery M. Lesin, et al. 2012.</w:t>
      </w:r>
      <w:r>
        <w:t xml:space="preserve"> </w:t>
      </w:r>
      <w:r>
        <w:t xml:space="preserve">“</w:t>
      </w:r>
      <w:r>
        <w:t xml:space="preserve">SPAdes</w:t>
      </w:r>
      <w:r>
        <w:t xml:space="preserve">: A New Genome Assembly Algorithm and Its Applications to Single-Cell Sequencing.”</w:t>
      </w:r>
      <w:r>
        <w:t xml:space="preserve"> </w:t>
      </w:r>
      <w:r>
        <w:rPr>
          <w:i/>
          <w:iCs/>
        </w:rPr>
        <w:t xml:space="preserve">Journal of Computational Biology</w:t>
      </w:r>
      <w:r>
        <w:t xml:space="preserve"> </w:t>
      </w:r>
      <w:r>
        <w:t xml:space="preserve">19 (5): 455–77.</w:t>
      </w:r>
      <w:r>
        <w:t xml:space="preserve"> </w:t>
      </w:r>
      <w:hyperlink r:id="rId106">
        <w:r>
          <w:rPr>
            <w:rStyle w:val="Hyperlink"/>
          </w:rPr>
          <w:t xml:space="preserve">https://doi.org/10.1089/cmb.2012.0021</w:t>
        </w:r>
      </w:hyperlink>
      <w:r>
        <w:t xml:space="preserve">.</w:t>
      </w:r>
    </w:p>
    <w:bookmarkEnd w:id="107"/>
    <w:bookmarkStart w:id="109" w:name="ref-betancourt2013"/>
    <w:p>
      <w:pPr>
        <w:pStyle w:val="Bibliography"/>
      </w:pPr>
      <w:r>
        <w:t xml:space="preserve">Betancourt, M. J., and Mark Girolami. 2013.</w:t>
      </w:r>
      <w:r>
        <w:t xml:space="preserve"> </w:t>
      </w:r>
      <w:r>
        <w:t xml:space="preserve">“Hamiltonian Monte Carlo for Hierarchical Models.”</w:t>
      </w:r>
      <w:r>
        <w:t xml:space="preserve"> </w:t>
      </w:r>
      <w:r>
        <w:t xml:space="preserve">arXiv</w:t>
      </w:r>
      <w:r>
        <w:t xml:space="preserve">.</w:t>
      </w:r>
      <w:r>
        <w:t xml:space="preserve"> </w:t>
      </w:r>
      <w:hyperlink r:id="rId108">
        <w:r>
          <w:rPr>
            <w:rStyle w:val="Hyperlink"/>
          </w:rPr>
          <w:t xml:space="preserve">https://doi.org/10.48550/ARXIV.1312.0906</w:t>
        </w:r>
      </w:hyperlink>
      <w:r>
        <w:t xml:space="preserve">.</w:t>
      </w:r>
    </w:p>
    <w:bookmarkEnd w:id="109"/>
    <w:bookmarkStart w:id="111" w:name="ref-bolger2014"/>
    <w:p>
      <w:pPr>
        <w:pStyle w:val="Bibliography"/>
      </w:pPr>
      <w:r>
        <w:t xml:space="preserve">Bolger, Anthony M., Marc Lohse, and Bjoern Usadel. 2014.</w:t>
      </w:r>
      <w:r>
        <w:t xml:space="preserve"> </w:t>
      </w:r>
      <w:r>
        <w:t xml:space="preserve">“Trimmomatic: A Flexible Trimmer for Illumina Sequence Data.”</w:t>
      </w:r>
      <w:r>
        <w:t xml:space="preserve"> </w:t>
      </w:r>
      <w:r>
        <w:rPr>
          <w:i/>
          <w:iCs/>
        </w:rPr>
        <w:t xml:space="preserve">Bioinformatics</w:t>
      </w:r>
      <w:r>
        <w:t xml:space="preserve"> </w:t>
      </w:r>
      <w:r>
        <w:t xml:space="preserve">30 (15): 2114–20.</w:t>
      </w:r>
      <w:r>
        <w:t xml:space="preserve"> </w:t>
      </w:r>
      <w:hyperlink r:id="rId110">
        <w:r>
          <w:rPr>
            <w:rStyle w:val="Hyperlink"/>
          </w:rPr>
          <w:t xml:space="preserve">https://doi.org/10.1093/bioinformatics/btu170</w:t>
        </w:r>
      </w:hyperlink>
      <w:r>
        <w:t xml:space="preserve">.</w:t>
      </w:r>
    </w:p>
    <w:bookmarkEnd w:id="111"/>
    <w:bookmarkStart w:id="113" w:name="ref-bonsall2020"/>
    <w:p>
      <w:pPr>
        <w:pStyle w:val="Bibliography"/>
      </w:pPr>
      <w:r>
        <w:t xml:space="preserve">Bonsall, David, Tanya Golubchik, Mariateresa de Cesare, Mohammed Limbada, Barry Kosloff, George MacIntyre-Cockett, Matthew Hall, et al. 2020.</w:t>
      </w:r>
      <w:r>
        <w:t xml:space="preserve"> </w:t>
      </w:r>
      <w:r>
        <w:t xml:space="preserve">“A Comprehensive Genomics Solution for</w:t>
      </w:r>
      <w:r>
        <w:t xml:space="preserve"> </w:t>
      </w:r>
      <w:r>
        <w:t xml:space="preserve">HIV</w:t>
      </w:r>
      <w:r>
        <w:t xml:space="preserve"> </w:t>
      </w:r>
      <w:r>
        <w:t xml:space="preserve">Surveillance and Clinical Monitoring in Low-Income Settings.”</w:t>
      </w:r>
      <w:r>
        <w:t xml:space="preserve"> </w:t>
      </w:r>
      <w:r>
        <w:t xml:space="preserve">Edited by Angela M. Caliendo.</w:t>
      </w:r>
      <w:r>
        <w:t xml:space="preserve"> </w:t>
      </w:r>
      <w:r>
        <w:rPr>
          <w:i/>
          <w:iCs/>
        </w:rPr>
        <w:t xml:space="preserve">Journal of Clinical Microbiology</w:t>
      </w:r>
      <w:r>
        <w:t xml:space="preserve"> </w:t>
      </w:r>
      <w:r>
        <w:t xml:space="preserve">58 (10): e00382–20.</w:t>
      </w:r>
      <w:r>
        <w:t xml:space="preserve"> </w:t>
      </w:r>
      <w:hyperlink r:id="rId112">
        <w:r>
          <w:rPr>
            <w:rStyle w:val="Hyperlink"/>
          </w:rPr>
          <w:t xml:space="preserve">https://doi.org/10.1128/JCM.00382-20</w:t>
        </w:r>
      </w:hyperlink>
      <w:r>
        <w:t xml:space="preserve">.</w:t>
      </w:r>
    </w:p>
    <w:bookmarkEnd w:id="113"/>
    <w:bookmarkStart w:id="115" w:name="ref-brizzi2024"/>
    <w:p>
      <w:pPr>
        <w:pStyle w:val="Bibliography"/>
      </w:pPr>
      <w:r>
        <w:t xml:space="preserve">Brizzi, Andrea, Joseph Kagaayi, Robert Ssekubugu, Lucie Abeler-Dörner, Alexandra Blenkinsop, David Bonsall, Larry W. Chang, et al. 2024.</w:t>
      </w:r>
      <w:r>
        <w:t xml:space="preserve"> </w:t>
      </w:r>
      <w:r>
        <w:t xml:space="preserve">“Age and Gender Profiles of HIV Infection Burden and Viraemia: Novel Metrics for HIV Epidemic Control in African Populations with High Antiretroviral Therapy Coverage.”</w:t>
      </w:r>
      <w:r>
        <w:t xml:space="preserve"> </w:t>
      </w:r>
      <w:r>
        <w:rPr>
          <w:i/>
          <w:iCs/>
        </w:rPr>
        <w:t xml:space="preserve">medRxiv</w:t>
      </w:r>
      <w:r>
        <w:t xml:space="preserve">.</w:t>
      </w:r>
      <w:r>
        <w:t xml:space="preserve"> </w:t>
      </w:r>
      <w:hyperlink r:id="rId114">
        <w:r>
          <w:rPr>
            <w:rStyle w:val="Hyperlink"/>
          </w:rPr>
          <w:t xml:space="preserve">https://doi.org/10.1101/2024.04.21.24306145</w:t>
        </w:r>
      </w:hyperlink>
      <w:r>
        <w:t xml:space="preserve">.</w:t>
      </w:r>
    </w:p>
    <w:bookmarkEnd w:id="115"/>
    <w:bookmarkStart w:id="117" w:name="ref-posterior"/>
    <w:p>
      <w:pPr>
        <w:pStyle w:val="Bibliography"/>
      </w:pPr>
      <w:r>
        <w:t xml:space="preserve">Bürkner, Paul-Christian, Jonah Gabry, Matthew Kay, and Aki Vehtari. 2023.</w:t>
      </w:r>
      <w:r>
        <w:t xml:space="preserve"> </w:t>
      </w:r>
      <w:r>
        <w:t xml:space="preserve">“Posterior: Tools for Working with Posterior Distributions.”</w:t>
      </w:r>
      <w:r>
        <w:t xml:space="preserve"> </w:t>
      </w:r>
      <w:hyperlink r:id="rId116">
        <w:r>
          <w:rPr>
            <w:rStyle w:val="Hyperlink"/>
          </w:rPr>
          <w:t xml:space="preserve">https://mc-stan.org/posterior/</w:t>
        </w:r>
      </w:hyperlink>
      <w:r>
        <w:t xml:space="preserve">.</w:t>
      </w:r>
    </w:p>
    <w:bookmarkEnd w:id="117"/>
    <w:bookmarkStart w:id="119" w:name="ref-carvalho2009"/>
    <w:p>
      <w:pPr>
        <w:pStyle w:val="Bibliography"/>
      </w:pPr>
      <w:r>
        <w:t xml:space="preserve">Carvalho, Carlos M., Nicholas G. Polson, and James G. Scott. 2009.</w:t>
      </w:r>
      <w:r>
        <w:t xml:space="preserve"> </w:t>
      </w:r>
      <w:r>
        <w:t xml:space="preserve">“Handling Sparsity via the Horseshoe.”</w:t>
      </w:r>
      <w:r>
        <w:t xml:space="preserve"> </w:t>
      </w:r>
      <w:r>
        <w:t xml:space="preserve">In</w:t>
      </w:r>
      <w:r>
        <w:t xml:space="preserve"> </w:t>
      </w:r>
      <w:r>
        <w:rPr>
          <w:i/>
          <w:iCs/>
        </w:rPr>
        <w:t xml:space="preserve">Proceedings of the Twelth International Conference on Artificial Intelligence and Statistics</w:t>
      </w:r>
      <w:r>
        <w:t xml:space="preserve">, edited by David van Dyk and Max Welling, 5:73–80. Proceedings of Machine Learning Research. Hilton Clearwater Beach Resort, Clearwater Beach, Florida USA: PMLR.</w:t>
      </w:r>
      <w:r>
        <w:t xml:space="preserve"> </w:t>
      </w:r>
      <w:hyperlink r:id="rId118">
        <w:r>
          <w:rPr>
            <w:rStyle w:val="Hyperlink"/>
          </w:rPr>
          <w:t xml:space="preserve">https://proceedings.mlr.press/v5/carvalho09a.html</w:t>
        </w:r>
      </w:hyperlink>
      <w:r>
        <w:t xml:space="preserve">.</w:t>
      </w:r>
    </w:p>
    <w:bookmarkEnd w:id="119"/>
    <w:bookmarkStart w:id="121" w:name="ref-chang2016"/>
    <w:p>
      <w:pPr>
        <w:pStyle w:val="Bibliography"/>
      </w:pPr>
      <w:r>
        <w:t xml:space="preserve">Chang, Larry W, Mary K Grabowski, Robert Ssekubugu, Fred Nalugoda, Godfrey Kigozi, Betty Nantume, Justin Lessler, et al. 2016.</w:t>
      </w:r>
      <w:r>
        <w:t xml:space="preserve"> </w:t>
      </w:r>
      <w:r>
        <w:t xml:space="preserve">“Heterogeneity of the</w:t>
      </w:r>
      <w:r>
        <w:t xml:space="preserve"> </w:t>
      </w:r>
      <w:r>
        <w:t xml:space="preserve">HIV</w:t>
      </w:r>
      <w:r>
        <w:t xml:space="preserve"> </w:t>
      </w:r>
      <w:r>
        <w:t xml:space="preserve">Epidemic in Agrarian, Trading, and Fishing Communities in Rakai, Uganda: An Observational Epidemiological Study.”</w:t>
      </w:r>
      <w:r>
        <w:t xml:space="preserve"> </w:t>
      </w:r>
      <w:r>
        <w:rPr>
          <w:i/>
          <w:iCs/>
        </w:rPr>
        <w:t xml:space="preserve">The Lancet</w:t>
      </w:r>
      <w:r>
        <w:rPr>
          <w:i/>
          <w:iCs/>
        </w:rPr>
        <w:t xml:space="preserve"> </w:t>
      </w:r>
      <w:r>
        <w:rPr>
          <w:i/>
          <w:iCs/>
        </w:rPr>
        <w:t xml:space="preserve">HIV</w:t>
      </w:r>
      <w:r>
        <w:t xml:space="preserve"> </w:t>
      </w:r>
      <w:r>
        <w:t xml:space="preserve">3 (8): e388–96.</w:t>
      </w:r>
      <w:r>
        <w:t xml:space="preserve"> </w:t>
      </w:r>
      <w:hyperlink r:id="rId120">
        <w:r>
          <w:rPr>
            <w:rStyle w:val="Hyperlink"/>
          </w:rPr>
          <w:t xml:space="preserve">https://doi.org/10.1016/S2352-3018(16)30034-0</w:t>
        </w:r>
      </w:hyperlink>
      <w:r>
        <w:t xml:space="preserve">.</w:t>
      </w:r>
    </w:p>
    <w:bookmarkEnd w:id="121"/>
    <w:bookmarkStart w:id="123" w:name="ref-chaudron2022"/>
    <w:p>
      <w:pPr>
        <w:pStyle w:val="Bibliography"/>
      </w:pPr>
      <w:r>
        <w:t xml:space="preserve">Chaudron, Sandra E, Christine Leemann, Katharina Kusejko, Huyen Nguyen, Nadine Tschumi, Alex Marzel, Michael Huber, et al. 2022.</w:t>
      </w:r>
      <w:r>
        <w:t xml:space="preserve"> </w:t>
      </w:r>
      <w:r>
        <w:t xml:space="preserve">“A</w:t>
      </w:r>
      <w:r>
        <w:t xml:space="preserve"> </w:t>
      </w:r>
      <w:r>
        <w:t xml:space="preserve">Systematic</w:t>
      </w:r>
      <w:r>
        <w:t xml:space="preserve"> </w:t>
      </w:r>
      <w:r>
        <w:t xml:space="preserve">Molecular</w:t>
      </w:r>
      <w:r>
        <w:t xml:space="preserve"> </w:t>
      </w:r>
      <w:r>
        <w:t xml:space="preserve">Epidemiology</w:t>
      </w:r>
      <w:r>
        <w:t xml:space="preserve"> </w:t>
      </w:r>
      <w:r>
        <w:t xml:space="preserve">Screen</w:t>
      </w:r>
      <w:r>
        <w:t xml:space="preserve"> </w:t>
      </w:r>
      <w:r>
        <w:t xml:space="preserve">Reveals</w:t>
      </w:r>
      <w:r>
        <w:t xml:space="preserve"> </w:t>
      </w:r>
      <w:r>
        <w:t xml:space="preserve">Numerous</w:t>
      </w:r>
      <w:r>
        <w:t xml:space="preserve"> </w:t>
      </w:r>
      <w:r>
        <w:t xml:space="preserve">Human</w:t>
      </w:r>
      <w:r>
        <w:t xml:space="preserve"> </w:t>
      </w:r>
      <w:r>
        <w:t xml:space="preserve">Immunodeficiency</w:t>
      </w:r>
      <w:r>
        <w:t xml:space="preserve"> </w:t>
      </w:r>
      <w:r>
        <w:t xml:space="preserve">Virus</w:t>
      </w:r>
      <w:r>
        <w:t xml:space="preserve"> </w:t>
      </w:r>
      <w:r>
        <w:t xml:space="preserve">(</w:t>
      </w:r>
      <w:r>
        <w:t xml:space="preserve">HIV</w:t>
      </w:r>
      <w:r>
        <w:t xml:space="preserve">)</w:t>
      </w:r>
      <w:r>
        <w:t xml:space="preserve"> </w:t>
      </w:r>
      <w:r>
        <w:t xml:space="preserve">Type</w:t>
      </w:r>
      <w:r>
        <w:t xml:space="preserve"> </w:t>
      </w:r>
      <w:r>
        <w:t xml:space="preserve">1</w:t>
      </w:r>
      <w:r>
        <w:t xml:space="preserve"> </w:t>
      </w:r>
      <w:r>
        <w:t xml:space="preserve">Superinfections</w:t>
      </w:r>
      <w:r>
        <w:t xml:space="preserve"> </w:t>
      </w:r>
      <w:r>
        <w:t xml:space="preserve">in the</w:t>
      </w:r>
      <w:r>
        <w:t xml:space="preserve"> </w:t>
      </w:r>
      <w:r>
        <w:t xml:space="preserve">Swiss</w:t>
      </w:r>
      <w:r>
        <w:t xml:space="preserve"> </w:t>
      </w:r>
      <w:r>
        <w:t xml:space="preserve">HIV</w:t>
      </w:r>
      <w:r>
        <w:t xml:space="preserve"> </w:t>
      </w:r>
      <w:r>
        <w:t xml:space="preserve">Cohort</w:t>
      </w:r>
      <w:r>
        <w:t xml:space="preserve"> </w:t>
      </w:r>
      <w:r>
        <w:t xml:space="preserve">Study</w:t>
      </w:r>
      <w:r>
        <w:t xml:space="preserve">.”</w:t>
      </w:r>
      <w:r>
        <w:t xml:space="preserve"> </w:t>
      </w:r>
      <w:r>
        <w:rPr>
          <w:i/>
          <w:iCs/>
        </w:rPr>
        <w:t xml:space="preserve">The Journal of Infectious Diseases</w:t>
      </w:r>
      <w:r>
        <w:t xml:space="preserve"> </w:t>
      </w:r>
      <w:r>
        <w:t xml:space="preserve">226 (7): 1256–66.</w:t>
      </w:r>
      <w:r>
        <w:t xml:space="preserve"> </w:t>
      </w:r>
      <w:hyperlink r:id="rId122">
        <w:r>
          <w:rPr>
            <w:rStyle w:val="Hyperlink"/>
          </w:rPr>
          <w:t xml:space="preserve">https://doi.org/10.1093/infdis/jiac166</w:t>
        </w:r>
      </w:hyperlink>
      <w:r>
        <w:t xml:space="preserve">.</w:t>
      </w:r>
    </w:p>
    <w:bookmarkEnd w:id="123"/>
    <w:bookmarkStart w:id="125" w:name="ref-cohen2012"/>
    <w:p>
      <w:pPr>
        <w:pStyle w:val="Bibliography"/>
      </w:pPr>
      <w:r>
        <w:t xml:space="preserve">Cohen, Ted, Paul D. Van Helden, Douglas Wilson, Caroline Colijn, Megan M. McLaughlin, Ibrahim Abubakar, and Robin M. Warren. 2012.</w:t>
      </w:r>
      <w:r>
        <w:t xml:space="preserve"> </w:t>
      </w:r>
      <w:r>
        <w:t xml:space="preserve">“Mixed-Strain Mycobacterium Tuberculosis Infections and the Implications for Tuberculosis Treatment and Control.”</w:t>
      </w:r>
      <w:r>
        <w:t xml:space="preserve"> </w:t>
      </w:r>
      <w:r>
        <w:rPr>
          <w:i/>
          <w:iCs/>
        </w:rPr>
        <w:t xml:space="preserve">Clinical Microbiology Reviews</w:t>
      </w:r>
      <w:r>
        <w:t xml:space="preserve"> </w:t>
      </w:r>
      <w:r>
        <w:t xml:space="preserve">25 (4): 708–19.</w:t>
      </w:r>
      <w:r>
        <w:t xml:space="preserve"> </w:t>
      </w:r>
      <w:hyperlink r:id="rId124">
        <w:r>
          <w:rPr>
            <w:rStyle w:val="Hyperlink"/>
          </w:rPr>
          <w:t xml:space="preserve">https://doi.org/10.1128/CMR.00021-12</w:t>
        </w:r>
      </w:hyperlink>
      <w:r>
        <w:t xml:space="preserve">.</w:t>
      </w:r>
    </w:p>
    <w:bookmarkEnd w:id="125"/>
    <w:bookmarkStart w:id="127" w:name="ref-corey2010"/>
    <w:p>
      <w:pPr>
        <w:pStyle w:val="Bibliography"/>
      </w:pPr>
      <w:r>
        <w:t xml:space="preserve">Corey, Lawrence, and M Juliana McElrath. 2010.</w:t>
      </w:r>
      <w:r>
        <w:t xml:space="preserve"> </w:t>
      </w:r>
      <w:r>
        <w:t xml:space="preserve">“</w:t>
      </w:r>
      <w:r>
        <w:t xml:space="preserve">HIV</w:t>
      </w:r>
      <w:r>
        <w:t xml:space="preserve"> </w:t>
      </w:r>
      <w:r>
        <w:t xml:space="preserve">Vaccines: Mosaic Approach to Virus Diversity.”</w:t>
      </w:r>
      <w:r>
        <w:t xml:space="preserve"> </w:t>
      </w:r>
      <w:r>
        <w:rPr>
          <w:i/>
          <w:iCs/>
        </w:rPr>
        <w:t xml:space="preserve">Nature Medicine</w:t>
      </w:r>
      <w:r>
        <w:t xml:space="preserve"> </w:t>
      </w:r>
      <w:r>
        <w:t xml:space="preserve">16 (3): 268–70.</w:t>
      </w:r>
      <w:r>
        <w:t xml:space="preserve"> </w:t>
      </w:r>
      <w:hyperlink r:id="rId126">
        <w:r>
          <w:rPr>
            <w:rStyle w:val="Hyperlink"/>
          </w:rPr>
          <w:t xml:space="preserve">https://doi.org/10.1038/nm0310-268</w:t>
        </w:r>
      </w:hyperlink>
      <w:r>
        <w:t xml:space="preserve">.</w:t>
      </w:r>
    </w:p>
    <w:bookmarkEnd w:id="127"/>
    <w:bookmarkStart w:id="129" w:name="ref-cornelissen2007"/>
    <w:p>
      <w:pPr>
        <w:pStyle w:val="Bibliography"/>
      </w:pPr>
      <w:r>
        <w:t xml:space="preserve">Cornelissen, Marion, Suzanne Jurriaans, Karolina Kozaczynska, Jan M Prins, Raditijo A Hamidjaja, Fokla Zorgdrager, Margreet Bakker, Nicole Back, and Antoinette C Van Der Kuyl. 2007.</w:t>
      </w:r>
      <w:r>
        <w:t xml:space="preserve"> </w:t>
      </w:r>
      <w:r>
        <w:t xml:space="preserve">“Routine</w:t>
      </w:r>
      <w:r>
        <w:t xml:space="preserve"> </w:t>
      </w:r>
      <w:r>
        <w:t xml:space="preserve">HIV</w:t>
      </w:r>
      <w:r>
        <w:t xml:space="preserve">-1 Genotyping as a Tool to Identify Dual Infections.”</w:t>
      </w:r>
      <w:r>
        <w:t xml:space="preserve"> </w:t>
      </w:r>
      <w:r>
        <w:rPr>
          <w:i/>
          <w:iCs/>
        </w:rPr>
        <w:t xml:space="preserve">AIDS</w:t>
      </w:r>
      <w:r>
        <w:t xml:space="preserve"> </w:t>
      </w:r>
      <w:r>
        <w:t xml:space="preserve">21 (7): 807–11.</w:t>
      </w:r>
      <w:r>
        <w:t xml:space="preserve"> </w:t>
      </w:r>
      <w:hyperlink r:id="rId128">
        <w:r>
          <w:rPr>
            <w:rStyle w:val="Hyperlink"/>
          </w:rPr>
          <w:t xml:space="preserve">https://doi.org/10.1097/QAD.0b013e3280f3c08a</w:t>
        </w:r>
      </w:hyperlink>
      <w:r>
        <w:t xml:space="preserve">.</w:t>
      </w:r>
    </w:p>
    <w:bookmarkEnd w:id="129"/>
    <w:bookmarkStart w:id="131" w:name="ref-cunningham2015"/>
    <w:p>
      <w:pPr>
        <w:pStyle w:val="Bibliography"/>
      </w:pPr>
      <w:r>
        <w:t xml:space="preserve">Cunningham, Evan B., Tanya L. Applegate, Andrew R. Lloyd, Gregory J. Dore, and Jason Grebely. 2015.</w:t>
      </w:r>
      <w:r>
        <w:t xml:space="preserve"> </w:t>
      </w:r>
      <w:r>
        <w:t xml:space="preserve">“Mixed</w:t>
      </w:r>
      <w:r>
        <w:t xml:space="preserve"> </w:t>
      </w:r>
      <w:r>
        <w:t xml:space="preserve">HCV</w:t>
      </w:r>
      <w:r>
        <w:t xml:space="preserve"> </w:t>
      </w:r>
      <w:r>
        <w:t xml:space="preserve">Infection and Reinfection in People Who Inject Drugs—Impact on Therapy.”</w:t>
      </w:r>
      <w:r>
        <w:t xml:space="preserve"> </w:t>
      </w:r>
      <w:r>
        <w:rPr>
          <w:i/>
          <w:iCs/>
        </w:rPr>
        <w:t xml:space="preserve">Nature Reviews Gastroenterology &amp; Hepatology</w:t>
      </w:r>
      <w:r>
        <w:t xml:space="preserve"> </w:t>
      </w:r>
      <w:r>
        <w:t xml:space="preserve">12 (4): 218–30.</w:t>
      </w:r>
      <w:r>
        <w:t xml:space="preserve"> </w:t>
      </w:r>
      <w:hyperlink r:id="rId130">
        <w:r>
          <w:rPr>
            <w:rStyle w:val="Hyperlink"/>
          </w:rPr>
          <w:t xml:space="preserve">https://doi.org/10.1038/nrgastro.2015.36</w:t>
        </w:r>
      </w:hyperlink>
      <w:r>
        <w:t xml:space="preserve">.</w:t>
      </w:r>
    </w:p>
    <w:bookmarkEnd w:id="131"/>
    <w:bookmarkStart w:id="133" w:name="ref-dambach2020"/>
    <w:p>
      <w:pPr>
        <w:pStyle w:val="Bibliography"/>
      </w:pPr>
      <w:r>
        <w:t xml:space="preserve">Dambach, Peter, Bathsheba Mahenge, Irene Mashasi, Aisa Muya, Dale A. Barnhart, Till W. Bärnighausen, Donna Spiegelman, and Guy Harling. 2020.</w:t>
      </w:r>
      <w:r>
        <w:t xml:space="preserve"> </w:t>
      </w:r>
      <w:r>
        <w:t xml:space="preserve">“Socio-Demographic Characteristics and Risk Factors for</w:t>
      </w:r>
      <w:r>
        <w:t xml:space="preserve"> </w:t>
      </w:r>
      <w:r>
        <w:t xml:space="preserve">HIV</w:t>
      </w:r>
      <w:r>
        <w:t xml:space="preserve"> </w:t>
      </w:r>
      <w:r>
        <w:t xml:space="preserve">Transmission in Female Bar Workers in Sub-Saharan Africa: A Systematic Literature Review.”</w:t>
      </w:r>
      <w:r>
        <w:t xml:space="preserve"> </w:t>
      </w:r>
      <w:r>
        <w:rPr>
          <w:i/>
          <w:iCs/>
        </w:rPr>
        <w:t xml:space="preserve">BMC</w:t>
      </w:r>
      <w:r>
        <w:rPr>
          <w:i/>
          <w:iCs/>
        </w:rPr>
        <w:t xml:space="preserve"> </w:t>
      </w:r>
      <w:r>
        <w:rPr>
          <w:i/>
          <w:iCs/>
        </w:rPr>
        <w:t xml:space="preserve">Public Health</w:t>
      </w:r>
      <w:r>
        <w:t xml:space="preserve"> </w:t>
      </w:r>
      <w:r>
        <w:t xml:space="preserve">20 (1): 697.</w:t>
      </w:r>
      <w:r>
        <w:t xml:space="preserve"> </w:t>
      </w:r>
      <w:hyperlink r:id="rId132">
        <w:r>
          <w:rPr>
            <w:rStyle w:val="Hyperlink"/>
          </w:rPr>
          <w:t xml:space="preserve">https://doi.org/10.1186/s12889-020-08838-8</w:t>
        </w:r>
      </w:hyperlink>
      <w:r>
        <w:t xml:space="preserve">.</w:t>
      </w:r>
    </w:p>
    <w:bookmarkEnd w:id="133"/>
    <w:bookmarkStart w:id="135" w:name="ref-delignette-muller2015"/>
    <w:p>
      <w:pPr>
        <w:pStyle w:val="Bibliography"/>
      </w:pPr>
      <w:r>
        <w:t xml:space="preserve">Delignette-Muller, Marie Laure, and Christophe Dutang. 2015.</w:t>
      </w:r>
      <w:r>
        <w:t xml:space="preserve"> </w:t>
      </w:r>
      <w:r>
        <w:t xml:space="preserve">“</w:t>
      </w:r>
      <w:r>
        <w:t xml:space="preserve">fitdistrplus</w:t>
      </w:r>
      <w:r>
        <w:t xml:space="preserve">: An</w:t>
      </w:r>
      <w:r>
        <w:t xml:space="preserve"> </w:t>
      </w:r>
      <w:r>
        <w:t xml:space="preserve">R</w:t>
      </w:r>
      <w:r>
        <w:t xml:space="preserve"> </w:t>
      </w:r>
      <w:r>
        <w:t xml:space="preserve">Package for Fitting Distributions.”</w:t>
      </w:r>
      <w:r>
        <w:t xml:space="preserve"> </w:t>
      </w:r>
      <w:r>
        <w:rPr>
          <w:i/>
          <w:iCs/>
        </w:rPr>
        <w:t xml:space="preserve">Journal of Statistical Software</w:t>
      </w:r>
      <w:r>
        <w:t xml:space="preserve"> </w:t>
      </w:r>
      <w:r>
        <w:t xml:space="preserve">64 (4): 1–34.</w:t>
      </w:r>
      <w:r>
        <w:t xml:space="preserve"> </w:t>
      </w:r>
      <w:hyperlink r:id="rId134">
        <w:r>
          <w:rPr>
            <w:rStyle w:val="Hyperlink"/>
          </w:rPr>
          <w:t xml:space="preserve">https://doi.org/10.18637/jss.v064.i04</w:t>
        </w:r>
      </w:hyperlink>
      <w:r>
        <w:t xml:space="preserve">.</w:t>
      </w:r>
    </w:p>
    <w:bookmarkEnd w:id="135"/>
    <w:bookmarkStart w:id="137" w:name="ref-desire2018"/>
    <w:p>
      <w:pPr>
        <w:pStyle w:val="Bibliography"/>
      </w:pPr>
      <w:r>
        <w:t xml:space="preserve">Désiré, Nathalie, Lorenzo Cerutti, Quentin Le Hingrat, Marine Perrier, Stefan Emler, Vincent Calvez, Diane Descamps, Anne-Geneviève Marcelin, Stéphane Hué, and Benoit Visseaux. 2018.</w:t>
      </w:r>
      <w:r>
        <w:t xml:space="preserve"> </w:t>
      </w:r>
      <w:r>
        <w:t xml:space="preserve">“Characterization Update of</w:t>
      </w:r>
      <w:r>
        <w:t xml:space="preserve"> </w:t>
      </w:r>
      <w:r>
        <w:t xml:space="preserve">HIV</w:t>
      </w:r>
      <w:r>
        <w:t xml:space="preserve">-1 m Subtypes Diversity and Proposal for Subtypes a and d Sub-Subtypes Reclassification.”</w:t>
      </w:r>
      <w:r>
        <w:t xml:space="preserve"> </w:t>
      </w:r>
      <w:r>
        <w:rPr>
          <w:i/>
          <w:iCs/>
        </w:rPr>
        <w:t xml:space="preserve">Retrovirology</w:t>
      </w:r>
      <w:r>
        <w:t xml:space="preserve"> </w:t>
      </w:r>
      <w:r>
        <w:t xml:space="preserve">15 (1): 80.</w:t>
      </w:r>
      <w:r>
        <w:t xml:space="preserve"> </w:t>
      </w:r>
      <w:hyperlink r:id="rId136">
        <w:r>
          <w:rPr>
            <w:rStyle w:val="Hyperlink"/>
          </w:rPr>
          <w:t xml:space="preserve">https://doi.org/10.1186/s12977-018-0461-y</w:t>
        </w:r>
      </w:hyperlink>
      <w:r>
        <w:t xml:space="preserve">.</w:t>
      </w:r>
    </w:p>
    <w:bookmarkEnd w:id="137"/>
    <w:bookmarkStart w:id="139" w:name="ref-dezordi2022"/>
    <w:p>
      <w:pPr>
        <w:pStyle w:val="Bibliography"/>
      </w:pPr>
      <w:r>
        <w:t xml:space="preserve">Dezordi, Filipe Zimmer, Paola Cristina Resende, Felipe Gomes Naveca, Valdinete Alves Do Nascimento, Victor Costa De Souza, Anna Carolina Dias Paixão, Luciana Appolinario, et al. 2022.</w:t>
      </w:r>
      <w:r>
        <w:t xml:space="preserve"> </w:t>
      </w:r>
      <w:r>
        <w:t xml:space="preserve">“Unusual</w:t>
      </w:r>
      <w:r>
        <w:t xml:space="preserve"> </w:t>
      </w:r>
      <w:r>
        <w:t xml:space="preserve">SARS</w:t>
      </w:r>
      <w:r>
        <w:t xml:space="preserve">-</w:t>
      </w:r>
      <w:r>
        <w:t xml:space="preserve">CoV</w:t>
      </w:r>
      <w:r>
        <w:t xml:space="preserve">-2 Intrahost Diversity Reveals Lineage Superinfection.”</w:t>
      </w:r>
      <w:r>
        <w:t xml:space="preserve"> </w:t>
      </w:r>
      <w:r>
        <w:rPr>
          <w:i/>
          <w:iCs/>
        </w:rPr>
        <w:t xml:space="preserve">Microbial Genomics</w:t>
      </w:r>
      <w:r>
        <w:t xml:space="preserve"> </w:t>
      </w:r>
      <w:r>
        <w:t xml:space="preserve">8 (3).</w:t>
      </w:r>
      <w:r>
        <w:t xml:space="preserve"> </w:t>
      </w:r>
      <w:hyperlink r:id="rId138">
        <w:r>
          <w:rPr>
            <w:rStyle w:val="Hyperlink"/>
          </w:rPr>
          <w:t xml:space="preserve">https://doi.org/10.1099/mgen.0.000751</w:t>
        </w:r>
      </w:hyperlink>
      <w:r>
        <w:t xml:space="preserve">.</w:t>
      </w:r>
    </w:p>
    <w:bookmarkEnd w:id="139"/>
    <w:bookmarkStart w:id="141" w:name="ref-dwyer-lindgren2019"/>
    <w:p>
      <w:pPr>
        <w:pStyle w:val="Bibliography"/>
      </w:pPr>
      <w:r>
        <w:t xml:space="preserve">Dwyer-Lindgren, Laura, Michael A. Cork, Amber Sligar, Krista M. Steuben, Kate F. Wilson, Naomi R. Provost, Benjamin K. Mayala, et al. 2019.</w:t>
      </w:r>
      <w:r>
        <w:t xml:space="preserve"> </w:t>
      </w:r>
      <w:r>
        <w:t xml:space="preserve">“Mapping</w:t>
      </w:r>
      <w:r>
        <w:t xml:space="preserve"> </w:t>
      </w:r>
      <w:r>
        <w:t xml:space="preserve">HIV</w:t>
      </w:r>
      <w:r>
        <w:t xml:space="preserve"> </w:t>
      </w:r>
      <w:r>
        <w:t xml:space="preserve">Prevalence in Sub-Saharan Africa Between 2000 and 2017.”</w:t>
      </w:r>
      <w:r>
        <w:t xml:space="preserve"> </w:t>
      </w:r>
      <w:r>
        <w:rPr>
          <w:i/>
          <w:iCs/>
        </w:rPr>
        <w:t xml:space="preserve">Nature</w:t>
      </w:r>
      <w:r>
        <w:t xml:space="preserve"> </w:t>
      </w:r>
      <w:r>
        <w:t xml:space="preserve">570 (7760): 189–93.</w:t>
      </w:r>
      <w:r>
        <w:t xml:space="preserve"> </w:t>
      </w:r>
      <w:hyperlink r:id="rId140">
        <w:r>
          <w:rPr>
            <w:rStyle w:val="Hyperlink"/>
          </w:rPr>
          <w:t xml:space="preserve">https://doi.org/10.1038/s41586-019-1200-9</w:t>
        </w:r>
      </w:hyperlink>
      <w:r>
        <w:t xml:space="preserve">.</w:t>
      </w:r>
    </w:p>
    <w:bookmarkEnd w:id="141"/>
    <w:bookmarkStart w:id="143" w:name="ref-eliseev2020"/>
    <w:p>
      <w:pPr>
        <w:pStyle w:val="Bibliography"/>
      </w:pPr>
      <w:r>
        <w:t xml:space="preserve">Eliseev, Anton, Keylie M. Gibson, Pavel Avdeyev, Dmitry Novik, Matthew L. Bendall, Marcos Pérez-Losada, Nikita Alexeev, and Keith A. Crandall. 2020.</w:t>
      </w:r>
      <w:r>
        <w:t xml:space="preserve"> </w:t>
      </w:r>
      <w:r>
        <w:t xml:space="preserve">“Evaluation of Haplotype Callers for Next-Generation Sequencing of Viruses.”</w:t>
      </w:r>
      <w:r>
        <w:t xml:space="preserve"> </w:t>
      </w:r>
      <w:r>
        <w:rPr>
          <w:i/>
          <w:iCs/>
        </w:rPr>
        <w:t xml:space="preserve">Infection, Genetics and Evolution</w:t>
      </w:r>
      <w:r>
        <w:t xml:space="preserve"> </w:t>
      </w:r>
      <w:r>
        <w:t xml:space="preserve">82 (August): 104277.</w:t>
      </w:r>
      <w:r>
        <w:t xml:space="preserve"> </w:t>
      </w:r>
      <w:hyperlink r:id="rId142">
        <w:r>
          <w:rPr>
            <w:rStyle w:val="Hyperlink"/>
          </w:rPr>
          <w:t xml:space="preserve">https://doi.org/10.1016/j.meegid.2020.104277</w:t>
        </w:r>
      </w:hyperlink>
      <w:r>
        <w:t xml:space="preserve">.</w:t>
      </w:r>
    </w:p>
    <w:bookmarkEnd w:id="143"/>
    <w:bookmarkStart w:id="145" w:name="ref-fraser2007"/>
    <w:p>
      <w:pPr>
        <w:pStyle w:val="Bibliography"/>
      </w:pPr>
      <w:r>
        <w:t xml:space="preserve">Fraser, Christophe, T. Déirdre Hollingsworth, Ruth Chapman, Frank de Wolf, and William P. Hanage. 2007.</w:t>
      </w:r>
      <w:r>
        <w:t xml:space="preserve"> </w:t>
      </w:r>
      <w:r>
        <w:t xml:space="preserve">“Variation in HIV-1 Set-Point Viral Load: Epidemiological Analysis and an Evolutionary Hypothesis.”</w:t>
      </w:r>
      <w:r>
        <w:t xml:space="preserve"> </w:t>
      </w:r>
      <w:r>
        <w:rPr>
          <w:i/>
          <w:iCs/>
        </w:rPr>
        <w:t xml:space="preserve">Proceedings of the National Academy of Sciences</w:t>
      </w:r>
      <w:r>
        <w:t xml:space="preserve"> </w:t>
      </w:r>
      <w:r>
        <w:t xml:space="preserve">104 (44): 17441–46.</w:t>
      </w:r>
      <w:r>
        <w:t xml:space="preserve"> </w:t>
      </w:r>
      <w:hyperlink r:id="rId144">
        <w:r>
          <w:rPr>
            <w:rStyle w:val="Hyperlink"/>
          </w:rPr>
          <w:t xml:space="preserve">https://doi.org/10.1073/pnas.0708559104</w:t>
        </w:r>
      </w:hyperlink>
      <w:r>
        <w:t xml:space="preserve">.</w:t>
      </w:r>
    </w:p>
    <w:bookmarkEnd w:id="145"/>
    <w:bookmarkStart w:id="147" w:name="ref-gabbassov2021"/>
    <w:p>
      <w:pPr>
        <w:pStyle w:val="Bibliography"/>
      </w:pPr>
      <w:r>
        <w:t xml:space="preserve">Gabbassov, Einar, Miguel Moreno-Molina, Iñaki Comas, Maxwell Libbrecht, and Leonid Chindelevitch. 2021.</w:t>
      </w:r>
      <w:r>
        <w:t xml:space="preserve"> </w:t>
      </w:r>
      <w:r>
        <w:t xml:space="preserve">“</w:t>
      </w:r>
      <w:r>
        <w:t xml:space="preserve">SplitStrains</w:t>
      </w:r>
      <w:r>
        <w:t xml:space="preserve">, a Tool to Identify and Separate Mixed Mycobacterium Tuberculosis Infections from</w:t>
      </w:r>
      <w:r>
        <w:t xml:space="preserve"> </w:t>
      </w:r>
      <w:r>
        <w:t xml:space="preserve">WGS</w:t>
      </w:r>
      <w:r>
        <w:t xml:space="preserve"> </w:t>
      </w:r>
      <w:r>
        <w:t xml:space="preserve">Data.”</w:t>
      </w:r>
      <w:r>
        <w:t xml:space="preserve"> </w:t>
      </w:r>
      <w:r>
        <w:rPr>
          <w:i/>
          <w:iCs/>
        </w:rPr>
        <w:t xml:space="preserve">Microbial Genomics</w:t>
      </w:r>
      <w:r>
        <w:t xml:space="preserve"> </w:t>
      </w:r>
      <w:r>
        <w:t xml:space="preserve">7 (6).</w:t>
      </w:r>
      <w:r>
        <w:t xml:space="preserve"> </w:t>
      </w:r>
      <w:hyperlink r:id="rId146">
        <w:r>
          <w:rPr>
            <w:rStyle w:val="Hyperlink"/>
          </w:rPr>
          <w:t xml:space="preserve">https://doi.org/10.1099/mgen.0.000607</w:t>
        </w:r>
      </w:hyperlink>
      <w:r>
        <w:t xml:space="preserve">.</w:t>
      </w:r>
    </w:p>
    <w:bookmarkEnd w:id="147"/>
    <w:bookmarkStart w:id="148" w:name="ref-gabry2023"/>
    <w:p>
      <w:pPr>
        <w:pStyle w:val="Bibliography"/>
      </w:pPr>
      <w:r>
        <w:t xml:space="preserve">Gabry, Jonah, Rok Češnovar, and Andrew Johnson. 2023.</w:t>
      </w:r>
      <w:r>
        <w:t xml:space="preserve"> </w:t>
      </w:r>
      <w:r>
        <w:rPr>
          <w:i/>
          <w:iCs/>
        </w:rPr>
        <w:t xml:space="preserve">Cmdstanr: R Interface to ’CmdStan’</w:t>
      </w:r>
      <w:r>
        <w:t xml:space="preserve">.</w:t>
      </w:r>
    </w:p>
    <w:bookmarkEnd w:id="148"/>
    <w:bookmarkStart w:id="150" w:name="ref-gabry2024"/>
    <w:p>
      <w:pPr>
        <w:pStyle w:val="Bibliography"/>
      </w:pPr>
      <w:r>
        <w:t xml:space="preserve">Gabry, Jonah, and Tristan Mahr. 2024.</w:t>
      </w:r>
      <w:r>
        <w:t xml:space="preserve"> </w:t>
      </w:r>
      <w:r>
        <w:t xml:space="preserve">“Bayesplot: Plotting for Bayesian Models.”</w:t>
      </w:r>
      <w:r>
        <w:t xml:space="preserve"> </w:t>
      </w:r>
      <w:hyperlink r:id="rId149">
        <w:r>
          <w:rPr>
            <w:rStyle w:val="Hyperlink"/>
          </w:rPr>
          <w:t xml:space="preserve">https://mc-stan.org/bayesplot/</w:t>
        </w:r>
      </w:hyperlink>
      <w:r>
        <w:t xml:space="preserve">.</w:t>
      </w:r>
    </w:p>
    <w:bookmarkEnd w:id="150"/>
    <w:bookmarkStart w:id="152" w:name="ref-gabry2019"/>
    <w:p>
      <w:pPr>
        <w:pStyle w:val="Bibliography"/>
      </w:pPr>
      <w:r>
        <w:t xml:space="preserve">Gabry, Jonah, Daniel Simpson, Aki Vehtari, Michael Betancourt, and Andrew Gelman. 2019.</w:t>
      </w:r>
      <w:r>
        <w:t xml:space="preserve"> </w:t>
      </w:r>
      <w:r>
        <w:t xml:space="preserve">“Visualization in Bayesian Workflow.”</w:t>
      </w:r>
      <w:r>
        <w:t xml:space="preserve"> </w:t>
      </w:r>
      <w:r>
        <w:rPr>
          <w:i/>
          <w:iCs/>
        </w:rPr>
        <w:t xml:space="preserve">J. R. Stat. Soc. A</w:t>
      </w:r>
      <w:r>
        <w:t xml:space="preserve"> </w:t>
      </w:r>
      <w:r>
        <w:t xml:space="preserve">182: 389–402.</w:t>
      </w:r>
      <w:r>
        <w:t xml:space="preserve"> </w:t>
      </w:r>
      <w:hyperlink r:id="rId151">
        <w:r>
          <w:rPr>
            <w:rStyle w:val="Hyperlink"/>
          </w:rPr>
          <w:t xml:space="preserve">https://doi.org/10.1111/rssa.12378</w:t>
        </w:r>
      </w:hyperlink>
      <w:r>
        <w:t xml:space="preserve">.</w:t>
      </w:r>
    </w:p>
    <w:bookmarkEnd w:id="152"/>
    <w:bookmarkStart w:id="154" w:name="ref-gall2012"/>
    <w:p>
      <w:pPr>
        <w:pStyle w:val="Bibliography"/>
      </w:pPr>
      <w:r>
        <w:t xml:space="preserve">Gall, Astrid, Bridget Ferns, Clare Morris, Simon Watson, Matthew Cotten, Mark Robinson, Neil Berry, Deenan Pillay, and Paul Kellam. 2012.</w:t>
      </w:r>
      <w:r>
        <w:t xml:space="preserve"> </w:t>
      </w:r>
      <w:r>
        <w:t xml:space="preserve">“Universal Amplification, Next-Generation Sequencing, and Assembly of</w:t>
      </w:r>
      <w:r>
        <w:t xml:space="preserve"> </w:t>
      </w:r>
      <w:r>
        <w:t xml:space="preserve">HIV</w:t>
      </w:r>
      <w:r>
        <w:t xml:space="preserve">-1 Genomes.”</w:t>
      </w:r>
      <w:r>
        <w:t xml:space="preserve"> </w:t>
      </w:r>
      <w:r>
        <w:rPr>
          <w:i/>
          <w:iCs/>
        </w:rPr>
        <w:t xml:space="preserve">Journal of Clinical Microbiology</w:t>
      </w:r>
      <w:r>
        <w:t xml:space="preserve"> </w:t>
      </w:r>
      <w:r>
        <w:t xml:space="preserve">50 (12): 3838–44.</w:t>
      </w:r>
      <w:r>
        <w:t xml:space="preserve"> </w:t>
      </w:r>
      <w:hyperlink r:id="rId153">
        <w:r>
          <w:rPr>
            <w:rStyle w:val="Hyperlink"/>
          </w:rPr>
          <w:t xml:space="preserve">https://doi.org/10.1128/JCM.01516-12</w:t>
        </w:r>
      </w:hyperlink>
      <w:r>
        <w:t xml:space="preserve">.</w:t>
      </w:r>
    </w:p>
    <w:bookmarkEnd w:id="154"/>
    <w:bookmarkStart w:id="155" w:name="ref-ugandaAIDS2012"/>
    <w:p>
      <w:pPr>
        <w:pStyle w:val="Bibliography"/>
      </w:pPr>
      <w:r>
        <w:t xml:space="preserve">“Global Aids Response Progress Report: Uganda January 2010-December 2012.”</w:t>
      </w:r>
      <w:r>
        <w:t xml:space="preserve"> </w:t>
      </w:r>
      <w:r>
        <w:t xml:space="preserve">2012. Kampala: Uganda</w:t>
      </w:r>
      <w:r>
        <w:t xml:space="preserve"> </w:t>
      </w:r>
      <w:r>
        <w:t xml:space="preserve">AIDS</w:t>
      </w:r>
      <w:r>
        <w:t xml:space="preserve"> </w:t>
      </w:r>
      <w:r>
        <w:t xml:space="preserve">Commission.</w:t>
      </w:r>
    </w:p>
    <w:bookmarkEnd w:id="155"/>
    <w:bookmarkStart w:id="157" w:name="ref-gottlieb2004"/>
    <w:p>
      <w:pPr>
        <w:pStyle w:val="Bibliography"/>
      </w:pPr>
      <w:r>
        <w:t xml:space="preserve">Gottlieb, Geoffrey S, David C Nickle, Mark A Jensen, Kim G Wong, Jandre Grobler, Fusheng Li, Shan-Lu Liu, et al. 2004.</w:t>
      </w:r>
      <w:r>
        <w:t xml:space="preserve"> </w:t>
      </w:r>
      <w:r>
        <w:t xml:space="preserve">“Dual</w:t>
      </w:r>
      <w:r>
        <w:t xml:space="preserve"> </w:t>
      </w:r>
      <w:r>
        <w:t xml:space="preserve">HIV</w:t>
      </w:r>
      <w:r>
        <w:t xml:space="preserve">-1 Infection Associated with Rapid Disease Progression.”</w:t>
      </w:r>
      <w:r>
        <w:t xml:space="preserve"> </w:t>
      </w:r>
      <w:r>
        <w:rPr>
          <w:i/>
          <w:iCs/>
        </w:rPr>
        <w:t xml:space="preserve">The Lancet</w:t>
      </w:r>
      <w:r>
        <w:t xml:space="preserve"> </w:t>
      </w:r>
      <w:r>
        <w:t xml:space="preserve">363 (9409): 619–22.</w:t>
      </w:r>
      <w:r>
        <w:t xml:space="preserve"> </w:t>
      </w:r>
      <w:hyperlink r:id="rId156">
        <w:r>
          <w:rPr>
            <w:rStyle w:val="Hyperlink"/>
          </w:rPr>
          <w:t xml:space="preserve">https://doi.org/10.1016/S0140-6736(04)15596-7</w:t>
        </w:r>
      </w:hyperlink>
      <w:r>
        <w:t xml:space="preserve">.</w:t>
      </w:r>
    </w:p>
    <w:bookmarkEnd w:id="157"/>
    <w:bookmarkStart w:id="159" w:name="ref-grabowski2017"/>
    <w:p>
      <w:pPr>
        <w:pStyle w:val="Bibliography"/>
      </w:pPr>
      <w:r>
        <w:t xml:space="preserve">Grabowski, M. Kate, David M. Serwadda, Ronald H. Gray, Gertrude Nakigozi, Godfrey Kigozi, Joseph Kagaayi, Robert Ssekubugu, et al. 2017.</w:t>
      </w:r>
      <w:r>
        <w:t xml:space="preserve"> </w:t>
      </w:r>
      <w:r>
        <w:t xml:space="preserve">“</w:t>
      </w:r>
      <w:r>
        <w:t xml:space="preserve">HIV</w:t>
      </w:r>
      <w:r>
        <w:t xml:space="preserve"> </w:t>
      </w:r>
      <w:r>
        <w:t xml:space="preserve">Prevention Efforts and Incidence of</w:t>
      </w:r>
      <w:r>
        <w:t xml:space="preserve"> </w:t>
      </w:r>
      <w:r>
        <w:t xml:space="preserve">HIV</w:t>
      </w:r>
      <w:r>
        <w:t xml:space="preserve"> </w:t>
      </w:r>
      <w:r>
        <w:t xml:space="preserve">in Uganda.”</w:t>
      </w:r>
      <w:r>
        <w:t xml:space="preserve"> </w:t>
      </w:r>
      <w:r>
        <w:rPr>
          <w:i/>
          <w:iCs/>
        </w:rPr>
        <w:t xml:space="preserve">New England Journal of Medicine</w:t>
      </w:r>
      <w:r>
        <w:t xml:space="preserve"> </w:t>
      </w:r>
      <w:r>
        <w:t xml:space="preserve">377 (22): 2154–66.</w:t>
      </w:r>
      <w:r>
        <w:t xml:space="preserve"> </w:t>
      </w:r>
      <w:hyperlink r:id="rId158">
        <w:r>
          <w:rPr>
            <w:rStyle w:val="Hyperlink"/>
          </w:rPr>
          <w:t xml:space="preserve">https://doi.org/10.1056/NEJMoa1702150</w:t>
        </w:r>
      </w:hyperlink>
      <w:r>
        <w:t xml:space="preserve">.</w:t>
      </w:r>
    </w:p>
    <w:bookmarkEnd w:id="159"/>
    <w:bookmarkStart w:id="161" w:name="ref-hoffman2014"/>
    <w:p>
      <w:pPr>
        <w:pStyle w:val="Bibliography"/>
      </w:pPr>
      <w:r>
        <w:t xml:space="preserve">Hoffman, Matthew D., and Andrew Gelman. 2014.</w:t>
      </w:r>
      <w:r>
        <w:t xml:space="preserve"> </w:t>
      </w:r>
      <w:r>
        <w:t xml:space="preserve">“The No-u-Turn Sampler: Adaptively Setting Path Lengths in Hamiltonian Monte Carlo.”</w:t>
      </w:r>
      <w:r>
        <w:t xml:space="preserve"> </w:t>
      </w:r>
      <w:r>
        <w:rPr>
          <w:i/>
          <w:iCs/>
        </w:rPr>
        <w:t xml:space="preserve">Journal of Machine Learning Research</w:t>
      </w:r>
      <w:r>
        <w:t xml:space="preserve"> </w:t>
      </w:r>
      <w:r>
        <w:t xml:space="preserve">15 (47): 1593–623.</w:t>
      </w:r>
      <w:r>
        <w:t xml:space="preserve"> </w:t>
      </w:r>
      <w:hyperlink r:id="rId160">
        <w:r>
          <w:rPr>
            <w:rStyle w:val="Hyperlink"/>
          </w:rPr>
          <w:t xml:space="preserve">http://jmlr.org/papers/v15/hoffman14a.html</w:t>
        </w:r>
      </w:hyperlink>
      <w:r>
        <w:t xml:space="preserve">.</w:t>
      </w:r>
    </w:p>
    <w:bookmarkEnd w:id="161"/>
    <w:bookmarkStart w:id="163" w:name="ref-janes2015"/>
    <w:p>
      <w:pPr>
        <w:pStyle w:val="Bibliography"/>
      </w:pPr>
      <w:r>
        <w:t xml:space="preserve">Janes, Holly, Joshua T Herbeck, Sodsai Tovanabutra, Rasmi Thomas, Nicole Frahm, Ann Duerr, John Hural, et al. 2015.</w:t>
      </w:r>
      <w:r>
        <w:t xml:space="preserve"> </w:t>
      </w:r>
      <w:r>
        <w:t xml:space="preserve">“</w:t>
      </w:r>
      <w:r>
        <w:t xml:space="preserve">HIV</w:t>
      </w:r>
      <w:r>
        <w:t xml:space="preserve">-1 Infections with Multiple Founders Are Associated with Higher Viral Loads Than Infections with Single Founders.”</w:t>
      </w:r>
      <w:r>
        <w:t xml:space="preserve"> </w:t>
      </w:r>
      <w:r>
        <w:rPr>
          <w:i/>
          <w:iCs/>
        </w:rPr>
        <w:t xml:space="preserve">Nature Medicine</w:t>
      </w:r>
      <w:r>
        <w:t xml:space="preserve"> </w:t>
      </w:r>
      <w:r>
        <w:t xml:space="preserve">21 (10): 1139–41.</w:t>
      </w:r>
      <w:r>
        <w:t xml:space="preserve"> </w:t>
      </w:r>
      <w:hyperlink r:id="rId162">
        <w:r>
          <w:rPr>
            <w:rStyle w:val="Hyperlink"/>
          </w:rPr>
          <w:t xml:space="preserve">https://doi.org/10.1038/nm.3932</w:t>
        </w:r>
      </w:hyperlink>
      <w:r>
        <w:t xml:space="preserve">.</w:t>
      </w:r>
    </w:p>
    <w:bookmarkEnd w:id="163"/>
    <w:bookmarkStart w:id="165" w:name="ref-kagaayi2019"/>
    <w:p>
      <w:pPr>
        <w:pStyle w:val="Bibliography"/>
      </w:pPr>
      <w:r>
        <w:t xml:space="preserve">Kagaayi, Joseph, Larry W Chang, Victor Ssempijja, M Kate Grabowski, Robert Ssekubugu, Gertrude Nakigozi, Godfrey Kigozi, et al. 2019.</w:t>
      </w:r>
      <w:r>
        <w:t xml:space="preserve"> </w:t>
      </w:r>
      <w:r>
        <w:t xml:space="preserve">“Impact of Combination</w:t>
      </w:r>
      <w:r>
        <w:t xml:space="preserve"> </w:t>
      </w:r>
      <w:r>
        <w:t xml:space="preserve">HIV</w:t>
      </w:r>
      <w:r>
        <w:t xml:space="preserve"> </w:t>
      </w:r>
      <w:r>
        <w:t xml:space="preserve">Interventions on</w:t>
      </w:r>
      <w:r>
        <w:t xml:space="preserve"> </w:t>
      </w:r>
      <w:r>
        <w:t xml:space="preserve">HIV</w:t>
      </w:r>
      <w:r>
        <w:t xml:space="preserve"> </w:t>
      </w:r>
      <w:r>
        <w:t xml:space="preserve">Incidence in Hyperendemic Fishing Communities in Uganda: A Prospective Cohort Study.”</w:t>
      </w:r>
      <w:r>
        <w:t xml:space="preserve"> </w:t>
      </w:r>
      <w:r>
        <w:rPr>
          <w:i/>
          <w:iCs/>
        </w:rPr>
        <w:t xml:space="preserve">The Lancet</w:t>
      </w:r>
      <w:r>
        <w:rPr>
          <w:i/>
          <w:iCs/>
        </w:rPr>
        <w:t xml:space="preserve"> </w:t>
      </w:r>
      <w:r>
        <w:rPr>
          <w:i/>
          <w:iCs/>
        </w:rPr>
        <w:t xml:space="preserve">HIV</w:t>
      </w:r>
      <w:r>
        <w:t xml:space="preserve"> </w:t>
      </w:r>
      <w:r>
        <w:t xml:space="preserve">6 (10): e680–87.</w:t>
      </w:r>
      <w:r>
        <w:t xml:space="preserve"> </w:t>
      </w:r>
      <w:hyperlink r:id="rId164">
        <w:r>
          <w:rPr>
            <w:rStyle w:val="Hyperlink"/>
          </w:rPr>
          <w:t xml:space="preserve">https://doi.org/10.1016/S2352-3018(19)30190-0</w:t>
        </w:r>
      </w:hyperlink>
      <w:r>
        <w:t xml:space="preserve">.</w:t>
      </w:r>
    </w:p>
    <w:bookmarkEnd w:id="165"/>
    <w:bookmarkStart w:id="167" w:name="ref-kagulire2011"/>
    <w:p>
      <w:pPr>
        <w:pStyle w:val="Bibliography"/>
      </w:pPr>
      <w:r>
        <w:t xml:space="preserve">Kagulire, S C, P Opendi, P D Stamper, J L Nakavuma, L A Mills, F Makumbi, R H Gray, J P Shott, D Serwadda, and S J Reynolds. 2011.</w:t>
      </w:r>
      <w:r>
        <w:t xml:space="preserve"> </w:t>
      </w:r>
      <w:r>
        <w:t xml:space="preserve">“Field Evaluation of Five Rapid Diagnostic Tests for Screening of</w:t>
      </w:r>
      <w:r>
        <w:t xml:space="preserve"> </w:t>
      </w:r>
      <w:r>
        <w:t xml:space="preserve">HIV</w:t>
      </w:r>
      <w:r>
        <w:t xml:space="preserve">-1 Infections in Rural Rakai, Uganda.”</w:t>
      </w:r>
      <w:r>
        <w:t xml:space="preserve"> </w:t>
      </w:r>
      <w:r>
        <w:rPr>
          <w:i/>
          <w:iCs/>
        </w:rPr>
        <w:t xml:space="preserve">International Journal of</w:t>
      </w:r>
      <w:r>
        <w:rPr>
          <w:i/>
          <w:iCs/>
        </w:rPr>
        <w:t xml:space="preserve"> </w:t>
      </w:r>
      <w:r>
        <w:rPr>
          <w:i/>
          <w:iCs/>
        </w:rPr>
        <w:t xml:space="preserve">STD</w:t>
      </w:r>
      <w:r>
        <w:rPr>
          <w:i/>
          <w:iCs/>
        </w:rPr>
        <w:t xml:space="preserve"> </w:t>
      </w:r>
      <w:r>
        <w:rPr>
          <w:i/>
          <w:iCs/>
        </w:rPr>
        <w:t xml:space="preserve">&amp;</w:t>
      </w:r>
      <w:r>
        <w:rPr>
          <w:i/>
          <w:iCs/>
        </w:rPr>
        <w:t xml:space="preserve"> </w:t>
      </w:r>
      <w:r>
        <w:rPr>
          <w:i/>
          <w:iCs/>
        </w:rPr>
        <w:t xml:space="preserve">AIDS</w:t>
      </w:r>
      <w:r>
        <w:t xml:space="preserve"> </w:t>
      </w:r>
      <w:r>
        <w:t xml:space="preserve">22 (6): 308–9.</w:t>
      </w:r>
      <w:r>
        <w:t xml:space="preserve"> </w:t>
      </w:r>
      <w:hyperlink r:id="rId166">
        <w:r>
          <w:rPr>
            <w:rStyle w:val="Hyperlink"/>
          </w:rPr>
          <w:t xml:space="preserve">https://doi.org/10.1258/ijsa.2009.009352</w:t>
        </w:r>
      </w:hyperlink>
      <w:r>
        <w:t xml:space="preserve">.</w:t>
      </w:r>
    </w:p>
    <w:bookmarkEnd w:id="167"/>
    <w:bookmarkStart w:id="169" w:name="ref-grabowski2020"/>
    <w:p>
      <w:pPr>
        <w:pStyle w:val="Bibliography"/>
      </w:pPr>
      <w:r>
        <w:t xml:space="preserve">Kate Grabowski, Mary, Justin Lessler, Jeremiah Bazaale, Dorean Nabukalu, Justine Nankinga, Betty Nantume, Joseph Ssekasanvu, et al. 2020.</w:t>
      </w:r>
      <w:r>
        <w:t xml:space="preserve"> </w:t>
      </w:r>
      <w:r>
        <w:t xml:space="preserve">“Migration, Hotspots, and Dispersal of</w:t>
      </w:r>
      <w:r>
        <w:t xml:space="preserve"> </w:t>
      </w:r>
      <w:r>
        <w:t xml:space="preserve">HIV</w:t>
      </w:r>
      <w:r>
        <w:t xml:space="preserve"> </w:t>
      </w:r>
      <w:r>
        <w:t xml:space="preserve">Infection in Rakai, Uganda.”</w:t>
      </w:r>
      <w:r>
        <w:t xml:space="preserve"> </w:t>
      </w:r>
      <w:r>
        <w:rPr>
          <w:i/>
          <w:iCs/>
        </w:rPr>
        <w:t xml:space="preserve">Nature Communications</w:t>
      </w:r>
      <w:r>
        <w:t xml:space="preserve"> </w:t>
      </w:r>
      <w:r>
        <w:t xml:space="preserve">11 (1): 976.</w:t>
      </w:r>
      <w:r>
        <w:t xml:space="preserve"> </w:t>
      </w:r>
      <w:hyperlink r:id="rId168">
        <w:r>
          <w:rPr>
            <w:rStyle w:val="Hyperlink"/>
          </w:rPr>
          <w:t xml:space="preserve">https://doi.org/10.1038/s41467-020-14636-y</w:t>
        </w:r>
      </w:hyperlink>
      <w:r>
        <w:t xml:space="preserve">.</w:t>
      </w:r>
    </w:p>
    <w:bookmarkEnd w:id="169"/>
    <w:bookmarkStart w:id="171" w:name="ref-katoh2002"/>
    <w:p>
      <w:pPr>
        <w:pStyle w:val="Bibliography"/>
      </w:pPr>
      <w:r>
        <w:t xml:space="preserve">Katoh, Kazutaka, Kazuharu Misawa, Kei-ichi Kuma, and Takashi Miyata. 2002.</w:t>
      </w:r>
      <w:r>
        <w:t xml:space="preserve"> </w:t>
      </w:r>
      <w:r>
        <w:t xml:space="preserve">“</w:t>
      </w:r>
      <w:r>
        <w:t xml:space="preserve">MAFFT</w:t>
      </w:r>
      <w:r>
        <w:t xml:space="preserve">: A Novel Method for Rapid Multiple Sequence Alignment Based on Fast Fourier Transform.”</w:t>
      </w:r>
      <w:r>
        <w:t xml:space="preserve"> </w:t>
      </w:r>
      <w:r>
        <w:rPr>
          <w:i/>
          <w:iCs/>
        </w:rPr>
        <w:t xml:space="preserve">Nucleic Acids Research</w:t>
      </w:r>
      <w:r>
        <w:t xml:space="preserve"> </w:t>
      </w:r>
      <w:r>
        <w:t xml:space="preserve">30 (14): 3059–66.</w:t>
      </w:r>
      <w:r>
        <w:t xml:space="preserve"> </w:t>
      </w:r>
      <w:hyperlink r:id="rId170">
        <w:r>
          <w:rPr>
            <w:rStyle w:val="Hyperlink"/>
          </w:rPr>
          <w:t xml:space="preserve">https://doi.org/10.1093/nar/gkf436</w:t>
        </w:r>
      </w:hyperlink>
      <w:r>
        <w:t xml:space="preserve">.</w:t>
      </w:r>
    </w:p>
    <w:bookmarkEnd w:id="171"/>
    <w:bookmarkStart w:id="173" w:name="ref-keele2008"/>
    <w:p>
      <w:pPr>
        <w:pStyle w:val="Bibliography"/>
      </w:pPr>
      <w:r>
        <w:t xml:space="preserve">Keele, Brandon F., Elena E. Giorgi, Jesus F. Salazar-Gonzalez, Julie M. Decker, Kimmy T. Pham, Maria G. Salazar, Chuanxi Sun, et al. 2008.</w:t>
      </w:r>
      <w:r>
        <w:t xml:space="preserve"> </w:t>
      </w:r>
      <w:r>
        <w:t xml:space="preserve">“Identification and Characterization of Transmitted and Early Founder Virus Envelopes in Primary</w:t>
      </w:r>
      <w:r>
        <w:t xml:space="preserve"> </w:t>
      </w:r>
      <w:r>
        <w:t xml:space="preserve">HIV</w:t>
      </w:r>
      <w:r>
        <w:t xml:space="preserve">-1 Infection.”</w:t>
      </w:r>
      <w:r>
        <w:t xml:space="preserve"> </w:t>
      </w:r>
      <w:r>
        <w:rPr>
          <w:i/>
          <w:iCs/>
        </w:rPr>
        <w:t xml:space="preserve">Proceedings of the National Academy of Sciences</w:t>
      </w:r>
      <w:r>
        <w:t xml:space="preserve"> </w:t>
      </w:r>
      <w:r>
        <w:t xml:space="preserve">105 (21): 7552–57.</w:t>
      </w:r>
      <w:r>
        <w:t xml:space="preserve"> </w:t>
      </w:r>
      <w:hyperlink r:id="rId172">
        <w:r>
          <w:rPr>
            <w:rStyle w:val="Hyperlink"/>
          </w:rPr>
          <w:t xml:space="preserve">https://doi.org/10.1073/pnas.0802203105</w:t>
        </w:r>
      </w:hyperlink>
      <w:r>
        <w:t xml:space="preserve">.</w:t>
      </w:r>
    </w:p>
    <w:bookmarkEnd w:id="173"/>
    <w:bookmarkStart w:id="175" w:name="ref-kijak2017"/>
    <w:p>
      <w:pPr>
        <w:pStyle w:val="Bibliography"/>
      </w:pPr>
      <w:r>
        <w:t xml:space="preserve">Kijak, Gustavo H., Eric Sanders-Buell, Agnes-Laurence Chenine, Michael A. Eller, Nilu Goonetilleke, Rasmi Thomas, Sivan Leviyang, et al. 2017.</w:t>
      </w:r>
      <w:r>
        <w:t xml:space="preserve"> </w:t>
      </w:r>
      <w:r>
        <w:t xml:space="preserve">“Rare</w:t>
      </w:r>
      <w:r>
        <w:t xml:space="preserve"> </w:t>
      </w:r>
      <w:r>
        <w:t xml:space="preserve">HIV</w:t>
      </w:r>
      <w:r>
        <w:t xml:space="preserve">-1 Transmitted/Founder Lineages Identified by Deep Viral Sequencing Contribute to Rapid Shifts in Dominant Quasispecies During Acute and Early Infection.”</w:t>
      </w:r>
      <w:r>
        <w:t xml:space="preserve"> </w:t>
      </w:r>
      <w:r>
        <w:t xml:space="preserve">Edited by Daniel C. Douek.</w:t>
      </w:r>
      <w:r>
        <w:t xml:space="preserve"> </w:t>
      </w:r>
      <w:r>
        <w:rPr>
          <w:i/>
          <w:iCs/>
        </w:rPr>
        <w:t xml:space="preserve">PLOS Pathogens</w:t>
      </w:r>
      <w:r>
        <w:t xml:space="preserve"> </w:t>
      </w:r>
      <w:r>
        <w:t xml:space="preserve">13 (7): e1006510.</w:t>
      </w:r>
      <w:r>
        <w:t xml:space="preserve"> </w:t>
      </w:r>
      <w:hyperlink r:id="rId174">
        <w:r>
          <w:rPr>
            <w:rStyle w:val="Hyperlink"/>
          </w:rPr>
          <w:t xml:space="preserve">https://doi.org/10.1371/journal.ppat.1006510</w:t>
        </w:r>
      </w:hyperlink>
      <w:r>
        <w:t xml:space="preserve">.</w:t>
      </w:r>
    </w:p>
    <w:bookmarkEnd w:id="175"/>
    <w:bookmarkStart w:id="177" w:name="ref-kim2024"/>
    <w:p>
      <w:pPr>
        <w:pStyle w:val="Bibliography"/>
      </w:pPr>
      <w:r>
        <w:t xml:space="preserve">Kim, Seungwon, Godfrey Kigozi, Michael A. Martin, Ronald M. Galiwango, Thomas C. Quinn, Andrew D. Redd, Robert Ssekubugu, et al. 2024.</w:t>
      </w:r>
      <w:r>
        <w:t xml:space="preserve"> </w:t>
      </w:r>
      <w:r>
        <w:t xml:space="preserve">“Increasing Intra- and Inter-Subtype HIV Diversity Despite Declining HIV Incidence in Uganda.”</w:t>
      </w:r>
      <w:r>
        <w:t xml:space="preserve"> </w:t>
      </w:r>
      <w:r>
        <w:rPr>
          <w:i/>
          <w:iCs/>
        </w:rPr>
        <w:t xml:space="preserve">medRxiv</w:t>
      </w:r>
      <w:r>
        <w:t xml:space="preserve">.</w:t>
      </w:r>
      <w:r>
        <w:t xml:space="preserve"> </w:t>
      </w:r>
      <w:hyperlink r:id="rId176">
        <w:r>
          <w:rPr>
            <w:rStyle w:val="Hyperlink"/>
          </w:rPr>
          <w:t xml:space="preserve">https://doi.org/10.1101/2024.03.14.24303990</w:t>
        </w:r>
      </w:hyperlink>
      <w:r>
        <w:t xml:space="preserve">.</w:t>
      </w:r>
    </w:p>
    <w:bookmarkEnd w:id="177"/>
    <w:bookmarkStart w:id="179" w:name="ref-kiwanuka2009"/>
    <w:p>
      <w:pPr>
        <w:pStyle w:val="Bibliography"/>
      </w:pPr>
      <w:r>
        <w:t xml:space="preserve">Kiwanuka, Noah, Oliver Laeyendecker, Thomas C Quinn, Maria J Wawer, James Shepherd, Merlin Robb, Godfrey Kigozi, et al. 2009.</w:t>
      </w:r>
      <w:r>
        <w:t xml:space="preserve"> </w:t>
      </w:r>
      <w:r>
        <w:t xml:space="preserve">“</w:t>
      </w:r>
      <w:r>
        <w:t xml:space="preserve">HIV</w:t>
      </w:r>
      <w:r>
        <w:t xml:space="preserve">-1 Subtypes and Differences in Heterosexual</w:t>
      </w:r>
      <w:r>
        <w:t xml:space="preserve"> </w:t>
      </w:r>
      <w:r>
        <w:t xml:space="preserve">HIV</w:t>
      </w:r>
      <w:r>
        <w:t xml:space="preserve"> </w:t>
      </w:r>
      <w:r>
        <w:t xml:space="preserve">Transmission Among</w:t>
      </w:r>
      <w:r>
        <w:t xml:space="preserve"> </w:t>
      </w:r>
      <w:r>
        <w:t xml:space="preserve">HIV</w:t>
      </w:r>
      <w:r>
        <w:t xml:space="preserve">-Discordant Couples in Rakai, Uganda.”</w:t>
      </w:r>
      <w:r>
        <w:t xml:space="preserve"> </w:t>
      </w:r>
      <w:r>
        <w:rPr>
          <w:i/>
          <w:iCs/>
        </w:rPr>
        <w:t xml:space="preserve">AIDS</w:t>
      </w:r>
      <w:r>
        <w:t xml:space="preserve"> </w:t>
      </w:r>
      <w:r>
        <w:t xml:space="preserve">23 (18): 2479–84.</w:t>
      </w:r>
      <w:r>
        <w:t xml:space="preserve"> </w:t>
      </w:r>
      <w:hyperlink r:id="rId178">
        <w:r>
          <w:rPr>
            <w:rStyle w:val="Hyperlink"/>
          </w:rPr>
          <w:t xml:space="preserve">https://doi.org/10.1097/QAD.0b013e328330cc08</w:t>
        </w:r>
      </w:hyperlink>
      <w:r>
        <w:t xml:space="preserve">.</w:t>
      </w:r>
    </w:p>
    <w:bookmarkEnd w:id="179"/>
    <w:bookmarkStart w:id="181" w:name="ref-vanderkuyl2009"/>
    <w:p>
      <w:pPr>
        <w:pStyle w:val="Bibliography"/>
      </w:pPr>
      <w:r>
        <w:t xml:space="preserve">Kuyl, Antoinette C. van der, Fokla Zorgdrager, Suzanne Jurriaans, Nicole K. T. Back, Jan M. Prins, Kees Brinkman, Arne van Eeden, Margreet Bakker, and Marion Cornelissen. 2009.</w:t>
      </w:r>
      <w:r>
        <w:t xml:space="preserve"> </w:t>
      </w:r>
      <w:r>
        <w:t xml:space="preserve">“</w:t>
      </w:r>
      <w:r>
        <w:t xml:space="preserve">Incidence of Human Immunodeficiency Virus Type 1 Dual Infections in Amsterdam, The Netherlands, during 2003–2007</w:t>
      </w:r>
      <w:r>
        <w:t xml:space="preserve">.”</w:t>
      </w:r>
      <w:r>
        <w:t xml:space="preserve"> </w:t>
      </w:r>
      <w:r>
        <w:rPr>
          <w:i/>
          <w:iCs/>
        </w:rPr>
        <w:t xml:space="preserve">Clinical Infectious Diseases</w:t>
      </w:r>
      <w:r>
        <w:t xml:space="preserve"> </w:t>
      </w:r>
      <w:r>
        <w:t xml:space="preserve">48 (7): 973–78.</w:t>
      </w:r>
      <w:r>
        <w:t xml:space="preserve"> </w:t>
      </w:r>
      <w:hyperlink r:id="rId180">
        <w:r>
          <w:rPr>
            <w:rStyle w:val="Hyperlink"/>
          </w:rPr>
          <w:t xml:space="preserve">https://doi.org/10.1086/597356</w:t>
        </w:r>
      </w:hyperlink>
      <w:r>
        <w:t xml:space="preserve">.</w:t>
      </w:r>
    </w:p>
    <w:bookmarkEnd w:id="181"/>
    <w:bookmarkStart w:id="183" w:name="ref-li2010"/>
    <w:p>
      <w:pPr>
        <w:pStyle w:val="Bibliography"/>
      </w:pPr>
      <w:r>
        <w:t xml:space="preserve">Li, Hui, Katharine J. Bar, Shuyi Wang, Julie M. Decker, Yalu Chen, Chuanxi Sun, Jesus F. Salazar-Gonzalez, et al. 2010.</w:t>
      </w:r>
      <w:r>
        <w:t xml:space="preserve"> </w:t>
      </w:r>
      <w:r>
        <w:t xml:space="preserve">“High Multiplicity Infection by</w:t>
      </w:r>
      <w:r>
        <w:t xml:space="preserve"> </w:t>
      </w:r>
      <w:r>
        <w:t xml:space="preserve">HIV</w:t>
      </w:r>
      <w:r>
        <w:t xml:space="preserve">-1 in Men Who Have Sex with Men.”</w:t>
      </w:r>
      <w:r>
        <w:t xml:space="preserve"> </w:t>
      </w:r>
      <w:r>
        <w:t xml:space="preserve">Edited by Daniel C. Douek.</w:t>
      </w:r>
      <w:r>
        <w:t xml:space="preserve"> </w:t>
      </w:r>
      <w:r>
        <w:rPr>
          <w:i/>
          <w:iCs/>
        </w:rPr>
        <w:t xml:space="preserve">PLoS</w:t>
      </w:r>
      <w:r>
        <w:rPr>
          <w:i/>
          <w:iCs/>
        </w:rPr>
        <w:t xml:space="preserve"> </w:t>
      </w:r>
      <w:r>
        <w:rPr>
          <w:i/>
          <w:iCs/>
        </w:rPr>
        <w:t xml:space="preserve">Pathogens</w:t>
      </w:r>
      <w:r>
        <w:t xml:space="preserve"> </w:t>
      </w:r>
      <w:r>
        <w:t xml:space="preserve">6 (5): e1000890.</w:t>
      </w:r>
      <w:r>
        <w:t xml:space="preserve"> </w:t>
      </w:r>
      <w:hyperlink r:id="rId182">
        <w:r>
          <w:rPr>
            <w:rStyle w:val="Hyperlink"/>
          </w:rPr>
          <w:t xml:space="preserve">https://doi.org/10.1371/journal.ppat.1000890</w:t>
        </w:r>
      </w:hyperlink>
      <w:r>
        <w:t xml:space="preserve">.</w:t>
      </w:r>
    </w:p>
    <w:bookmarkEnd w:id="183"/>
    <w:bookmarkStart w:id="185" w:name="ref-lynch2009"/>
    <w:p>
      <w:pPr>
        <w:pStyle w:val="Bibliography"/>
      </w:pPr>
      <w:r>
        <w:t xml:space="preserve">Lynch, Rebecca M., Tongye Shen, S. Gnanakaran, and Cynthia A. Derdeyn. 2009.</w:t>
      </w:r>
      <w:r>
        <w:t xml:space="preserve"> </w:t>
      </w:r>
      <w:r>
        <w:t xml:space="preserve">“Appreciating</w:t>
      </w:r>
      <w:r>
        <w:t xml:space="preserve"> </w:t>
      </w:r>
      <w:r>
        <w:t xml:space="preserve">HIV</w:t>
      </w:r>
      <w:r>
        <w:t xml:space="preserve"> </w:t>
      </w:r>
      <w:r>
        <w:t xml:space="preserve">Type 1 Diversity: Subtype Differences in Env.”</w:t>
      </w:r>
      <w:r>
        <w:t xml:space="preserve"> </w:t>
      </w:r>
      <w:r>
        <w:rPr>
          <w:i/>
          <w:iCs/>
        </w:rPr>
        <w:t xml:space="preserve">AIDS</w:t>
      </w:r>
      <w:r>
        <w:rPr>
          <w:i/>
          <w:iCs/>
        </w:rPr>
        <w:t xml:space="preserve"> </w:t>
      </w:r>
      <w:r>
        <w:rPr>
          <w:i/>
          <w:iCs/>
        </w:rPr>
        <w:t xml:space="preserve">Research and Human Retroviruses</w:t>
      </w:r>
      <w:r>
        <w:t xml:space="preserve"> </w:t>
      </w:r>
      <w:r>
        <w:t xml:space="preserve">25 (3): 237–48.</w:t>
      </w:r>
      <w:r>
        <w:t xml:space="preserve"> </w:t>
      </w:r>
      <w:hyperlink r:id="rId184">
        <w:r>
          <w:rPr>
            <w:rStyle w:val="Hyperlink"/>
          </w:rPr>
          <w:t xml:space="preserve">https://doi.org/10.1089/aid.2008.0219</w:t>
        </w:r>
      </w:hyperlink>
      <w:r>
        <w:t xml:space="preserve">.</w:t>
      </w:r>
    </w:p>
    <w:bookmarkEnd w:id="185"/>
    <w:bookmarkStart w:id="187" w:name="ref-martin2023"/>
    <w:p>
      <w:pPr>
        <w:pStyle w:val="Bibliography"/>
      </w:pPr>
      <w:r>
        <w:t xml:space="preserve">Martin, Michael A., Steven James Reynolds, Charles Ssuuna, Brian T. Foley, Fred Nalugoda, Thomas C. Quinn, Steven A. Kemp, et al. 2023.</w:t>
      </w:r>
      <w:r>
        <w:t xml:space="preserve"> </w:t>
      </w:r>
      <w:r>
        <w:t xml:space="preserve">“Population Dynamics of HIV Drug Resistance Among Pre-Treatment and Treatment-Experienced Persons with HIV During Treatment Scale-up in Uganda: A Population-Based Longitudinal Study.”</w:t>
      </w:r>
      <w:r>
        <w:t xml:space="preserve"> </w:t>
      </w:r>
      <w:r>
        <w:rPr>
          <w:i/>
          <w:iCs/>
        </w:rPr>
        <w:t xml:space="preserve">medRxiv</w:t>
      </w:r>
      <w:r>
        <w:t xml:space="preserve">.</w:t>
      </w:r>
      <w:r>
        <w:t xml:space="preserve"> </w:t>
      </w:r>
      <w:hyperlink r:id="rId186">
        <w:r>
          <w:rPr>
            <w:rStyle w:val="Hyperlink"/>
          </w:rPr>
          <w:t xml:space="preserve">https://doi.org/10.1101/2023.10.14.23297021</w:t>
        </w:r>
      </w:hyperlink>
      <w:r>
        <w:t xml:space="preserve">.</w:t>
      </w:r>
    </w:p>
    <w:bookmarkEnd w:id="187"/>
    <w:bookmarkStart w:id="189" w:name="ref-meredith2022"/>
    <w:p>
      <w:pPr>
        <w:pStyle w:val="Bibliography"/>
      </w:pPr>
      <w:r>
        <w:t xml:space="preserve">Meredith, Mike, and John Kruschke. 2022.</w:t>
      </w:r>
      <w:r>
        <w:t xml:space="preserve"> </w:t>
      </w:r>
      <w:r>
        <w:rPr>
          <w:i/>
          <w:iCs/>
        </w:rPr>
        <w:t xml:space="preserve">HDInterval: Highest (Posterior) Density Intervals</w:t>
      </w:r>
      <w:r>
        <w:t xml:space="preserve">.</w:t>
      </w:r>
      <w:r>
        <w:t xml:space="preserve"> </w:t>
      </w:r>
      <w:hyperlink r:id="rId188">
        <w:r>
          <w:rPr>
            <w:rStyle w:val="Hyperlink"/>
          </w:rPr>
          <w:t xml:space="preserve">https://CRAN.R-project.org/package=HDInterval</w:t>
        </w:r>
      </w:hyperlink>
      <w:r>
        <w:t xml:space="preserve">.</w:t>
      </w:r>
    </w:p>
    <w:bookmarkEnd w:id="189"/>
    <w:bookmarkStart w:id="191" w:name="ref-minh2020"/>
    <w:p>
      <w:pPr>
        <w:pStyle w:val="Bibliography"/>
      </w:pPr>
      <w:r>
        <w:t xml:space="preserve">Minh, Bui Quang, Heiko A Schmidt, Olga Chernomor, Dominik Schrempf, Michael D Woodhams, Arndt Von Haeseler, and Robert Lanfear. 2020.</w:t>
      </w:r>
      <w:r>
        <w:t xml:space="preserve"> </w:t>
      </w:r>
      <w:r>
        <w:t xml:space="preserve">“</w:t>
      </w:r>
      <w:r>
        <w:t xml:space="preserve">IQ</w:t>
      </w:r>
      <w:r>
        <w:t xml:space="preserve">-</w:t>
      </w:r>
      <w:r>
        <w:t xml:space="preserve">TREE</w:t>
      </w:r>
      <w:r>
        <w:t xml:space="preserve"> </w:t>
      </w:r>
      <w:r>
        <w:t xml:space="preserve">2: New Models and Efficient Methods for Phylogenetic Inference in the Genomic Era.”</w:t>
      </w:r>
      <w:r>
        <w:t xml:space="preserve"> </w:t>
      </w:r>
      <w:r>
        <w:t xml:space="preserve">Edited by Emma Teeling.</w:t>
      </w:r>
      <w:r>
        <w:t xml:space="preserve"> </w:t>
      </w:r>
      <w:r>
        <w:rPr>
          <w:i/>
          <w:iCs/>
        </w:rPr>
        <w:t xml:space="preserve">Molecular Biology and Evolution</w:t>
      </w:r>
      <w:r>
        <w:t xml:space="preserve"> </w:t>
      </w:r>
      <w:r>
        <w:t xml:space="preserve">37 (5): 1530–34.</w:t>
      </w:r>
      <w:r>
        <w:t xml:space="preserve"> </w:t>
      </w:r>
      <w:hyperlink r:id="rId190">
        <w:r>
          <w:rPr>
            <w:rStyle w:val="Hyperlink"/>
          </w:rPr>
          <w:t xml:space="preserve">https://doi.org/10.1093/molbev/msaa015</w:t>
        </w:r>
      </w:hyperlink>
      <w:r>
        <w:t xml:space="preserve">.</w:t>
      </w:r>
    </w:p>
    <w:bookmarkEnd w:id="191"/>
    <w:bookmarkStart w:id="193" w:name="ref-monod2023"/>
    <w:p>
      <w:pPr>
        <w:pStyle w:val="Bibliography"/>
      </w:pPr>
      <w:r>
        <w:t xml:space="preserve">Monod, Mélodie, Andrea Brizzi, Ronald M. Galiwango, Robert Ssekubugu, Yu Chen, Xiaoyue Xi, Edward Nelson Kankaka, et al. 2023.</w:t>
      </w:r>
      <w:r>
        <w:t xml:space="preserve"> </w:t>
      </w:r>
      <w:r>
        <w:t xml:space="preserve">“Longitudinal Population-Level</w:t>
      </w:r>
      <w:r>
        <w:t xml:space="preserve"> </w:t>
      </w:r>
      <w:r>
        <w:t xml:space="preserve">HIV</w:t>
      </w:r>
      <w:r>
        <w:t xml:space="preserve"> </w:t>
      </w:r>
      <w:r>
        <w:t xml:space="preserve">Epidemiologic and Genomic Surveillance Highlights Growing Gender Disparity of</w:t>
      </w:r>
      <w:r>
        <w:t xml:space="preserve"> </w:t>
      </w:r>
      <w:r>
        <w:t xml:space="preserve">HIV</w:t>
      </w:r>
      <w:r>
        <w:t xml:space="preserve"> </w:t>
      </w:r>
      <w:r>
        <w:t xml:space="preserve">Transmission in Uganda.”</w:t>
      </w:r>
      <w:r>
        <w:t xml:space="preserve"> </w:t>
      </w:r>
      <w:r>
        <w:rPr>
          <w:i/>
          <w:iCs/>
        </w:rPr>
        <w:t xml:space="preserve">Nature Microbiology</w:t>
      </w:r>
      <w:r>
        <w:t xml:space="preserve"> </w:t>
      </w:r>
      <w:r>
        <w:t xml:space="preserve">9 (1): 35–54.</w:t>
      </w:r>
      <w:r>
        <w:t xml:space="preserve"> </w:t>
      </w:r>
      <w:hyperlink r:id="rId192">
        <w:r>
          <w:rPr>
            <w:rStyle w:val="Hyperlink"/>
          </w:rPr>
          <w:t xml:space="preserve">https://doi.org/10.1038/s41564-023-01530-8</w:t>
        </w:r>
      </w:hyperlink>
      <w:r>
        <w:t xml:space="preserve">.</w:t>
      </w:r>
    </w:p>
    <w:bookmarkEnd w:id="193"/>
    <w:bookmarkStart w:id="195" w:name="ref-muller2023"/>
    <w:p>
      <w:pPr>
        <w:pStyle w:val="Bibliography"/>
      </w:pPr>
      <w:r>
        <w:t xml:space="preserve">Müller, Kirill, and Hadley Wickham. 2023.</w:t>
      </w:r>
      <w:r>
        <w:t xml:space="preserve"> </w:t>
      </w:r>
      <w:r>
        <w:rPr>
          <w:i/>
          <w:iCs/>
        </w:rPr>
        <w:t xml:space="preserve">Tibble: Simple Data Frames</w:t>
      </w:r>
      <w:r>
        <w:t xml:space="preserve">.</w:t>
      </w:r>
      <w:r>
        <w:t xml:space="preserve"> </w:t>
      </w:r>
      <w:hyperlink r:id="rId194">
        <w:r>
          <w:rPr>
            <w:rStyle w:val="Hyperlink"/>
          </w:rPr>
          <w:t xml:space="preserve">https://CRAN.R-project.org/package=tibble</w:t>
        </w:r>
      </w:hyperlink>
      <w:r>
        <w:t xml:space="preserve">.</w:t>
      </w:r>
    </w:p>
    <w:bookmarkEnd w:id="195"/>
    <w:bookmarkStart w:id="197" w:name="ref-nguyen2015"/>
    <w:p>
      <w:pPr>
        <w:pStyle w:val="Bibliography"/>
      </w:pPr>
      <w:r>
        <w:t xml:space="preserve">Nguyen, Lam Tung, Heiko A. Schmidt, Arndt Von Haeseler, and Bui Quang Minh. 2015.</w:t>
      </w:r>
      <w:r>
        <w:t xml:space="preserve"> </w:t>
      </w:r>
      <w:r>
        <w:t xml:space="preserve">“</w:t>
      </w:r>
      <w:r>
        <w:t xml:space="preserve">IQ</w:t>
      </w:r>
      <w:r>
        <w:t xml:space="preserve">-</w:t>
      </w:r>
      <w:r>
        <w:t xml:space="preserve">TREE</w:t>
      </w:r>
      <w:r>
        <w:t xml:space="preserve">: A Fast and Effective Stochastic Algorithm for Estimating Maximum-Likelihood Phylogenies.”</w:t>
      </w:r>
      <w:r>
        <w:t xml:space="preserve"> </w:t>
      </w:r>
      <w:r>
        <w:rPr>
          <w:i/>
          <w:iCs/>
        </w:rPr>
        <w:t xml:space="preserve">Molecular Biology and Evolution</w:t>
      </w:r>
      <w:r>
        <w:t xml:space="preserve"> </w:t>
      </w:r>
      <w:r>
        <w:t xml:space="preserve">32 (1): 268–74.</w:t>
      </w:r>
      <w:r>
        <w:t xml:space="preserve"> </w:t>
      </w:r>
      <w:hyperlink r:id="rId196">
        <w:r>
          <w:rPr>
            <w:rStyle w:val="Hyperlink"/>
          </w:rPr>
          <w:t xml:space="preserve">https://doi.org/10.1093/molbev/msu300</w:t>
        </w:r>
      </w:hyperlink>
      <w:r>
        <w:t xml:space="preserve">.</w:t>
      </w:r>
    </w:p>
    <w:bookmarkEnd w:id="197"/>
    <w:bookmarkStart w:id="199" w:name="ref-nurk2017"/>
    <w:p>
      <w:pPr>
        <w:pStyle w:val="Bibliography"/>
      </w:pPr>
      <w:r>
        <w:t xml:space="preserve">Nurk, Sergey, Dmitry Meleshko, Anton Korobeynikov, and Pavel A. Pevzner. 2017.</w:t>
      </w:r>
      <w:r>
        <w:t xml:space="preserve"> </w:t>
      </w:r>
      <w:r>
        <w:t xml:space="preserve">“</w:t>
      </w:r>
      <w:r>
        <w:t xml:space="preserve">metaSPAdes</w:t>
      </w:r>
      <w:r>
        <w:t xml:space="preserve">: A New Versatile Metagenomic Assembler.”</w:t>
      </w:r>
      <w:r>
        <w:t xml:space="preserve"> </w:t>
      </w:r>
      <w:r>
        <w:rPr>
          <w:i/>
          <w:iCs/>
        </w:rPr>
        <w:t xml:space="preserve">Genome Research</w:t>
      </w:r>
      <w:r>
        <w:t xml:space="preserve"> </w:t>
      </w:r>
      <w:r>
        <w:t xml:space="preserve">27 (5): 824–34.</w:t>
      </w:r>
      <w:r>
        <w:t xml:space="preserve"> </w:t>
      </w:r>
      <w:hyperlink r:id="rId198">
        <w:r>
          <w:rPr>
            <w:rStyle w:val="Hyperlink"/>
          </w:rPr>
          <w:t xml:space="preserve">https://doi.org/10.1101/gr.213959.116</w:t>
        </w:r>
      </w:hyperlink>
      <w:r>
        <w:t xml:space="preserve">.</w:t>
      </w:r>
    </w:p>
    <w:bookmarkEnd w:id="199"/>
    <w:bookmarkStart w:id="201" w:name="ref-pacold2012"/>
    <w:p>
      <w:pPr>
        <w:pStyle w:val="Bibliography"/>
      </w:pPr>
      <w:r>
        <w:t xml:space="preserve">Pacold, Mary E., Sergei L. Kosakovsky Pond, Gabriel A. Wagner, Wayne Delport, Daniel L. Bourque, Douglas D. Richman, Susan J. Little, and Davey M. Smith. 2012.</w:t>
      </w:r>
      <w:r>
        <w:t xml:space="preserve"> </w:t>
      </w:r>
      <w:r>
        <w:t xml:space="preserve">“Clinical, Virologic, and Immunologic Correlates of</w:t>
      </w:r>
      <w:r>
        <w:t xml:space="preserve"> </w:t>
      </w:r>
      <w:r>
        <w:t xml:space="preserve">HIV</w:t>
      </w:r>
      <w:r>
        <w:t xml:space="preserve">-1 Intraclade b Dual Infection Among Men Who Have Sex with Men.”</w:t>
      </w:r>
      <w:r>
        <w:t xml:space="preserve"> </w:t>
      </w:r>
      <w:r>
        <w:rPr>
          <w:i/>
          <w:iCs/>
        </w:rPr>
        <w:t xml:space="preserve">AIDS</w:t>
      </w:r>
      <w:r>
        <w:t xml:space="preserve"> </w:t>
      </w:r>
      <w:r>
        <w:t xml:space="preserve">26 (2): 157–65.</w:t>
      </w:r>
      <w:r>
        <w:t xml:space="preserve"> </w:t>
      </w:r>
      <w:hyperlink r:id="rId200">
        <w:r>
          <w:rPr>
            <w:rStyle w:val="Hyperlink"/>
          </w:rPr>
          <w:t xml:space="preserve">https://doi.org/10.1097/QAD.0b013e32834dcd26</w:t>
        </w:r>
      </w:hyperlink>
      <w:r>
        <w:t xml:space="preserve">.</w:t>
      </w:r>
    </w:p>
    <w:bookmarkEnd w:id="201"/>
    <w:bookmarkStart w:id="203" w:name="ref-pacold2010"/>
    <w:p>
      <w:pPr>
        <w:pStyle w:val="Bibliography"/>
      </w:pPr>
      <w:r>
        <w:t xml:space="preserve">Pacold, Mary, Davey Smith, Susan Little, Pok Man Cheng, Parris Jordan, Caroline Ignacio, Douglas Richman, and Sergei Kosakovsky Pond. 2010.</w:t>
      </w:r>
      <w:r>
        <w:t xml:space="preserve"> </w:t>
      </w:r>
      <w:r>
        <w:t xml:space="preserve">“Comparison of Methods to Detect</w:t>
      </w:r>
      <w:r>
        <w:t xml:space="preserve"> </w:t>
      </w:r>
      <w:r>
        <w:t xml:space="preserve">HIV</w:t>
      </w:r>
      <w:r>
        <w:t xml:space="preserve"> </w:t>
      </w:r>
      <w:r>
        <w:t xml:space="preserve">Dual Infection.”</w:t>
      </w:r>
      <w:r>
        <w:t xml:space="preserve"> </w:t>
      </w:r>
      <w:r>
        <w:rPr>
          <w:i/>
          <w:iCs/>
        </w:rPr>
        <w:t xml:space="preserve">AIDS</w:t>
      </w:r>
      <w:r>
        <w:rPr>
          <w:i/>
          <w:iCs/>
        </w:rPr>
        <w:t xml:space="preserve"> </w:t>
      </w:r>
      <w:r>
        <w:rPr>
          <w:i/>
          <w:iCs/>
        </w:rPr>
        <w:t xml:space="preserve">Research and Human Retroviruses</w:t>
      </w:r>
      <w:r>
        <w:t xml:space="preserve"> </w:t>
      </w:r>
      <w:r>
        <w:t xml:space="preserve">26 (12): 1291–98.</w:t>
      </w:r>
      <w:r>
        <w:t xml:space="preserve"> </w:t>
      </w:r>
      <w:hyperlink r:id="rId202">
        <w:r>
          <w:rPr>
            <w:rStyle w:val="Hyperlink"/>
          </w:rPr>
          <w:t xml:space="preserve">https://doi.org/10.1089/aid.2010.0042</w:t>
        </w:r>
      </w:hyperlink>
      <w:r>
        <w:t xml:space="preserve">.</w:t>
      </w:r>
    </w:p>
    <w:bookmarkEnd w:id="203"/>
    <w:bookmarkStart w:id="205" w:name="ref-pangea"/>
    <w:p>
      <w:pPr>
        <w:pStyle w:val="Bibliography"/>
      </w:pPr>
      <w:r>
        <w:t xml:space="preserve">“</w:t>
      </w:r>
      <w:r>
        <w:t xml:space="preserve">PANGEA-HIV/PANGEA-Sequences: Latest Version Release</w:t>
      </w:r>
      <w:r>
        <w:t xml:space="preserve">.”</w:t>
      </w:r>
      <w:r>
        <w:t xml:space="preserve"> </w:t>
      </w:r>
      <w:r>
        <w:t xml:space="preserve">2024. Zenodo.</w:t>
      </w:r>
      <w:r>
        <w:t xml:space="preserve"> </w:t>
      </w:r>
      <w:hyperlink r:id="rId204">
        <w:r>
          <w:rPr>
            <w:rStyle w:val="Hyperlink"/>
          </w:rPr>
          <w:t xml:space="preserve">https://doi.org/10.5281/zenodo.10793873</w:t>
        </w:r>
      </w:hyperlink>
      <w:r>
        <w:t xml:space="preserve">.</w:t>
      </w:r>
    </w:p>
    <w:bookmarkEnd w:id="205"/>
    <w:bookmarkStart w:id="207" w:name="ref-paradis2019"/>
    <w:p>
      <w:pPr>
        <w:pStyle w:val="Bibliography"/>
      </w:pPr>
      <w:r>
        <w:t xml:space="preserve">Paradis, Emmanuel, and Klaus Schliep. 2019.</w:t>
      </w:r>
      <w:r>
        <w:t xml:space="preserve"> </w:t>
      </w:r>
      <w:r>
        <w:t xml:space="preserve">“Ape 5.0: An Environment for Modern Phylogenetics and Evolutionary Analyses in</w:t>
      </w:r>
      <w:r>
        <w:t xml:space="preserve"> </w:t>
      </w:r>
      <w:r>
        <w:t xml:space="preserve">R</w:t>
      </w:r>
      <w:r>
        <w:t xml:space="preserve">.”</w:t>
      </w:r>
      <w:r>
        <w:t xml:space="preserve"> </w:t>
      </w:r>
      <w:r>
        <w:rPr>
          <w:i/>
          <w:iCs/>
        </w:rPr>
        <w:t xml:space="preserve">Bioinformatics</w:t>
      </w:r>
      <w:r>
        <w:t xml:space="preserve"> </w:t>
      </w:r>
      <w:r>
        <w:t xml:space="preserve">35: 526–28.</w:t>
      </w:r>
      <w:r>
        <w:t xml:space="preserve"> </w:t>
      </w:r>
      <w:hyperlink r:id="rId206">
        <w:r>
          <w:rPr>
            <w:rStyle w:val="Hyperlink"/>
          </w:rPr>
          <w:t xml:space="preserve">https://doi.org/10.1093/bioinformatics/bty633</w:t>
        </w:r>
      </w:hyperlink>
      <w:r>
        <w:t xml:space="preserve">.</w:t>
      </w:r>
    </w:p>
    <w:bookmarkEnd w:id="207"/>
    <w:bookmarkStart w:id="209" w:name="ref-patel2014"/>
    <w:p>
      <w:pPr>
        <w:pStyle w:val="Bibliography"/>
      </w:pPr>
      <w:r>
        <w:t xml:space="preserve">Patel, Pragna, Craig B. Borkowf, John T. Brooks, Arielle Lasry, Amy Lansky, and Jonathan Mermin. 2014.</w:t>
      </w:r>
      <w:r>
        <w:t xml:space="preserve"> </w:t>
      </w:r>
      <w:r>
        <w:t xml:space="preserve">“Estimating Per-Act</w:t>
      </w:r>
      <w:r>
        <w:t xml:space="preserve"> </w:t>
      </w:r>
      <w:r>
        <w:t xml:space="preserve">HIV</w:t>
      </w:r>
      <w:r>
        <w:t xml:space="preserve"> </w:t>
      </w:r>
      <w:r>
        <w:t xml:space="preserve">Transmission Risk: A Systematic Review.”</w:t>
      </w:r>
      <w:r>
        <w:t xml:space="preserve"> </w:t>
      </w:r>
      <w:r>
        <w:rPr>
          <w:i/>
          <w:iCs/>
        </w:rPr>
        <w:t xml:space="preserve">AIDS</w:t>
      </w:r>
      <w:r>
        <w:t xml:space="preserve"> </w:t>
      </w:r>
      <w:r>
        <w:t xml:space="preserve">28 (10): 1509–19.</w:t>
      </w:r>
      <w:r>
        <w:t xml:space="preserve"> </w:t>
      </w:r>
      <w:hyperlink r:id="rId208">
        <w:r>
          <w:rPr>
            <w:rStyle w:val="Hyperlink"/>
          </w:rPr>
          <w:t xml:space="preserve">https://doi.org/10.1097/QAD.0000000000000298</w:t>
        </w:r>
      </w:hyperlink>
      <w:r>
        <w:t xml:space="preserve">.</w:t>
      </w:r>
    </w:p>
    <w:bookmarkEnd w:id="209"/>
    <w:bookmarkStart w:id="211" w:name="ref-patino2017"/>
    <w:p>
      <w:pPr>
        <w:pStyle w:val="Bibliography"/>
      </w:pPr>
      <w:r>
        <w:t xml:space="preserve">Patiño-Galindo, Juan Ángel, and Fernando González-Candelas. 2017.</w:t>
      </w:r>
      <w:r>
        <w:t xml:space="preserve"> </w:t>
      </w:r>
      <w:r>
        <w:t xml:space="preserve">“The Substitution Rate of</w:t>
      </w:r>
      <w:r>
        <w:t xml:space="preserve"> </w:t>
      </w:r>
      <w:r>
        <w:t xml:space="preserve">HIV</w:t>
      </w:r>
      <w:r>
        <w:t xml:space="preserve">-1 Subtypes: A Genomic Approach.”</w:t>
      </w:r>
      <w:r>
        <w:t xml:space="preserve"> </w:t>
      </w:r>
      <w:r>
        <w:rPr>
          <w:i/>
          <w:iCs/>
        </w:rPr>
        <w:t xml:space="preserve">Virus Evolution</w:t>
      </w:r>
      <w:r>
        <w:t xml:space="preserve"> </w:t>
      </w:r>
      <w:r>
        <w:t xml:space="preserve">3 (2).</w:t>
      </w:r>
      <w:r>
        <w:t xml:space="preserve"> </w:t>
      </w:r>
      <w:hyperlink r:id="rId210">
        <w:r>
          <w:rPr>
            <w:rStyle w:val="Hyperlink"/>
          </w:rPr>
          <w:t xml:space="preserve">https://doi.org/10.1093/ve/vex029</w:t>
        </w:r>
      </w:hyperlink>
      <w:r>
        <w:t xml:space="preserve">.</w:t>
      </w:r>
    </w:p>
    <w:bookmarkEnd w:id="211"/>
    <w:bookmarkStart w:id="213" w:name="ref-pedersen2024"/>
    <w:p>
      <w:pPr>
        <w:pStyle w:val="Bibliography"/>
      </w:pPr>
      <w:r>
        <w:t xml:space="preserve">Pedersen, Thomas Lin. 2024.</w:t>
      </w:r>
      <w:r>
        <w:t xml:space="preserve"> </w:t>
      </w:r>
      <w:r>
        <w:rPr>
          <w:i/>
          <w:iCs/>
        </w:rPr>
        <w:t xml:space="preserve">Patchwork: The Composer of Plots</w:t>
      </w:r>
      <w:r>
        <w:t xml:space="preserve">.</w:t>
      </w:r>
      <w:r>
        <w:t xml:space="preserve"> </w:t>
      </w:r>
      <w:hyperlink r:id="rId212">
        <w:r>
          <w:rPr>
            <w:rStyle w:val="Hyperlink"/>
          </w:rPr>
          <w:t xml:space="preserve">https://patchwork.data-imaginist.com</w:t>
        </w:r>
      </w:hyperlink>
      <w:r>
        <w:t xml:space="preserve">.</w:t>
      </w:r>
    </w:p>
    <w:bookmarkEnd w:id="213"/>
    <w:bookmarkStart w:id="215" w:name="ref-piantadosi2008"/>
    <w:p>
      <w:pPr>
        <w:pStyle w:val="Bibliography"/>
      </w:pPr>
      <w:r>
        <w:t xml:space="preserve">Piantadosi, Anne, Musa Otieno Ngayo, Bhavna Chohan, and Julie Overbaugh. 2008.</w:t>
      </w:r>
      <w:r>
        <w:t xml:space="preserve"> </w:t>
      </w:r>
      <w:r>
        <w:t xml:space="preserve">“Examination of a Second Region of the</w:t>
      </w:r>
      <w:r>
        <w:t xml:space="preserve"> </w:t>
      </w:r>
      <w:r>
        <w:t xml:space="preserve">HIV</w:t>
      </w:r>
      <w:r>
        <w:t xml:space="preserve"> </w:t>
      </w:r>
      <w:r>
        <w:t xml:space="preserve">Type 1 Genome Reveals Additional Cases of Superinfection.”</w:t>
      </w:r>
      <w:r>
        <w:t xml:space="preserve"> </w:t>
      </w:r>
      <w:r>
        <w:rPr>
          <w:i/>
          <w:iCs/>
        </w:rPr>
        <w:t xml:space="preserve">AIDS</w:t>
      </w:r>
      <w:r>
        <w:rPr>
          <w:i/>
          <w:iCs/>
        </w:rPr>
        <w:t xml:space="preserve"> </w:t>
      </w:r>
      <w:r>
        <w:rPr>
          <w:i/>
          <w:iCs/>
        </w:rPr>
        <w:t xml:space="preserve">Research and Human Retroviruses</w:t>
      </w:r>
      <w:r>
        <w:t xml:space="preserve"> </w:t>
      </w:r>
      <w:r>
        <w:t xml:space="preserve">24 (9): 1221–24.</w:t>
      </w:r>
      <w:r>
        <w:t xml:space="preserve"> </w:t>
      </w:r>
      <w:hyperlink r:id="rId214">
        <w:r>
          <w:rPr>
            <w:rStyle w:val="Hyperlink"/>
          </w:rPr>
          <w:t xml:space="preserve">https://doi.org/10.1089/aid.2008.0100</w:t>
        </w:r>
      </w:hyperlink>
      <w:r>
        <w:t xml:space="preserve">.</w:t>
      </w:r>
    </w:p>
    <w:bookmarkEnd w:id="215"/>
    <w:bookmarkStart w:id="217" w:name="ref-piironen2017"/>
    <w:p>
      <w:pPr>
        <w:pStyle w:val="Bibliography"/>
      </w:pPr>
      <w:r>
        <w:t xml:space="preserve">Piironen, Juho, and Aki Vehtari. 2017.</w:t>
      </w:r>
      <w:r>
        <w:t xml:space="preserve"> </w:t>
      </w:r>
      <w:r>
        <w:t xml:space="preserve">“</w:t>
      </w:r>
      <w:r>
        <w:t xml:space="preserve">Sparsity information and regularization in the horseshoe and other shrinkage priors</w:t>
      </w:r>
      <w:r>
        <w:t xml:space="preserve">.”</w:t>
      </w:r>
      <w:r>
        <w:t xml:space="preserve"> </w:t>
      </w:r>
      <w:r>
        <w:rPr>
          <w:i/>
          <w:iCs/>
        </w:rPr>
        <w:t xml:space="preserve">Electronic Journal of Statistics</w:t>
      </w:r>
      <w:r>
        <w:t xml:space="preserve"> </w:t>
      </w:r>
      <w:r>
        <w:t xml:space="preserve">11 (2): 5018–51.</w:t>
      </w:r>
      <w:r>
        <w:t xml:space="preserve"> </w:t>
      </w:r>
      <w:hyperlink r:id="rId216">
        <w:r>
          <w:rPr>
            <w:rStyle w:val="Hyperlink"/>
          </w:rPr>
          <w:t xml:space="preserve">https://doi.org/10.1214/17-EJS1337SI</w:t>
        </w:r>
      </w:hyperlink>
      <w:r>
        <w:t xml:space="preserve">.</w:t>
      </w:r>
    </w:p>
    <w:bookmarkEnd w:id="217"/>
    <w:bookmarkStart w:id="219" w:name="ref-pillay2015"/>
    <w:p>
      <w:pPr>
        <w:pStyle w:val="Bibliography"/>
      </w:pPr>
      <w:r>
        <w:t xml:space="preserve">Pillay, Deenan, Joshua Herbeck, Myron S Cohen, Tulio De Oliveira, Christophe Fraser, Oliver Ratmann, Andrew Leigh Brown, and Paul Kellam. 2015.</w:t>
      </w:r>
      <w:r>
        <w:t xml:space="preserve"> </w:t>
      </w:r>
      <w:r>
        <w:t xml:space="preserve">“</w:t>
      </w:r>
      <w:r>
        <w:t xml:space="preserve">PANGEA</w:t>
      </w:r>
      <w:r>
        <w:t xml:space="preserve">-</w:t>
      </w:r>
      <w:r>
        <w:t xml:space="preserve">HIV</w:t>
      </w:r>
      <w:r>
        <w:t xml:space="preserve">: Phylogenetics for Generalised Epidemics in Africa.”</w:t>
      </w:r>
      <w:r>
        <w:t xml:space="preserve"> </w:t>
      </w:r>
      <w:r>
        <w:rPr>
          <w:i/>
          <w:iCs/>
        </w:rPr>
        <w:t xml:space="preserve">The Lancet Infectious Diseases</w:t>
      </w:r>
      <w:r>
        <w:t xml:space="preserve"> </w:t>
      </w:r>
      <w:r>
        <w:t xml:space="preserve">15 (3): 259–61.</w:t>
      </w:r>
      <w:r>
        <w:t xml:space="preserve"> </w:t>
      </w:r>
      <w:hyperlink r:id="rId218">
        <w:r>
          <w:rPr>
            <w:rStyle w:val="Hyperlink"/>
          </w:rPr>
          <w:t xml:space="preserve">https://doi.org/10.1016/S1473-3099(15)70036-8</w:t>
        </w:r>
      </w:hyperlink>
      <w:r>
        <w:t xml:space="preserve">.</w:t>
      </w:r>
    </w:p>
    <w:bookmarkEnd w:id="219"/>
    <w:bookmarkStart w:id="221" w:name="ref-popoola2024"/>
    <w:p>
      <w:pPr>
        <w:pStyle w:val="Bibliography"/>
      </w:pPr>
      <w:r>
        <w:t xml:space="preserve">Popoola, Joseph AND Ssekasanvu, Victor O. AND Kagaayi. 2024.</w:t>
      </w:r>
      <w:r>
        <w:t xml:space="preserve"> </w:t>
      </w:r>
      <w:r>
        <w:t xml:space="preserve">“HIV Epidemiologic Trends Among Occupational Groups in Rakai, Uganda: A Population-Based Longitudinal Study, 1999–2016.”</w:t>
      </w:r>
      <w:r>
        <w:t xml:space="preserve"> </w:t>
      </w:r>
      <w:r>
        <w:rPr>
          <w:i/>
          <w:iCs/>
        </w:rPr>
        <w:t xml:space="preserve">PLOS Global Public Health</w:t>
      </w:r>
      <w:r>
        <w:t xml:space="preserve"> </w:t>
      </w:r>
      <w:r>
        <w:t xml:space="preserve">4 (2): 1–18.</w:t>
      </w:r>
      <w:r>
        <w:t xml:space="preserve"> </w:t>
      </w:r>
      <w:hyperlink r:id="rId220">
        <w:r>
          <w:rPr>
            <w:rStyle w:val="Hyperlink"/>
          </w:rPr>
          <w:t xml:space="preserve">https://doi.org/10.1371/journal.pgph.0002891</w:t>
        </w:r>
      </w:hyperlink>
      <w:r>
        <w:t xml:space="preserve">.</w:t>
      </w:r>
    </w:p>
    <w:bookmarkEnd w:id="221"/>
    <w:bookmarkStart w:id="223" w:name="ref-quinn2000"/>
    <w:p>
      <w:pPr>
        <w:pStyle w:val="Bibliography"/>
      </w:pPr>
      <w:r>
        <w:t xml:space="preserve">Quinn, Thomas C., Maria J. Wawer, Nelson Sewankambo, David Serwadda, Chuanjun Li, Fred Wabwire-Mangen, Mary O. Meehan, Thomas Lutalo, and Ronald H. Gray. 2000.</w:t>
      </w:r>
      <w:r>
        <w:t xml:space="preserve"> </w:t>
      </w:r>
      <w:r>
        <w:t xml:space="preserve">“Viral Load and Heterosexual Transmission of Human Immunodeficiency Virus Type 1.”</w:t>
      </w:r>
      <w:r>
        <w:t xml:space="preserve"> </w:t>
      </w:r>
      <w:r>
        <w:rPr>
          <w:i/>
          <w:iCs/>
        </w:rPr>
        <w:t xml:space="preserve">New England Journal of Medicine</w:t>
      </w:r>
      <w:r>
        <w:t xml:space="preserve"> </w:t>
      </w:r>
      <w:r>
        <w:t xml:space="preserve">342 (13): 921–29.</w:t>
      </w:r>
      <w:r>
        <w:t xml:space="preserve"> </w:t>
      </w:r>
      <w:hyperlink r:id="rId222">
        <w:r>
          <w:rPr>
            <w:rStyle w:val="Hyperlink"/>
          </w:rPr>
          <w:t xml:space="preserve">https://doi.org/10.1056/NEJM200003303421303</w:t>
        </w:r>
      </w:hyperlink>
      <w:r>
        <w:t xml:space="preserve">.</w:t>
      </w:r>
    </w:p>
    <w:bookmarkEnd w:id="223"/>
    <w:bookmarkStart w:id="225" w:name="ref-R"/>
    <w:p>
      <w:pPr>
        <w:pStyle w:val="Bibliography"/>
      </w:pPr>
      <w:r>
        <w:t xml:space="preserve">R Core Team. 2023.</w:t>
      </w:r>
      <w:r>
        <w:t xml:space="preserve"> </w:t>
      </w:r>
      <w:r>
        <w:rPr>
          <w:i/>
          <w:iCs/>
        </w:rPr>
        <w:t xml:space="preserve">R: A Language and Environment for Statistical Computing</w:t>
      </w:r>
      <w:r>
        <w:t xml:space="preserve">. Vienna, Austria: R Foundation for Statistical Computing.</w:t>
      </w:r>
      <w:r>
        <w:t xml:space="preserve"> </w:t>
      </w:r>
      <w:hyperlink r:id="rId224">
        <w:r>
          <w:rPr>
            <w:rStyle w:val="Hyperlink"/>
          </w:rPr>
          <w:t xml:space="preserve">https://www.R-project.org/</w:t>
        </w:r>
      </w:hyperlink>
      <w:r>
        <w:t xml:space="preserve">.</w:t>
      </w:r>
    </w:p>
    <w:bookmarkEnd w:id="225"/>
    <w:bookmarkStart w:id="227" w:name="ref-rachinger2010"/>
    <w:p>
      <w:pPr>
        <w:pStyle w:val="Bibliography"/>
      </w:pPr>
      <w:r>
        <w:t xml:space="preserve">Rachinger, Andrea, Tom Derks van de Ven, Judith A. Burger, Hanneke Schuitemaker, and Angélique B. van ’t Wout. 2010.</w:t>
      </w:r>
      <w:r>
        <w:t xml:space="preserve"> </w:t>
      </w:r>
      <w:r>
        <w:t xml:space="preserve">“Evaluation of Pre-Screening Methods for the Identification of HIV-1 Superinfection.”</w:t>
      </w:r>
      <w:r>
        <w:t xml:space="preserve"> </w:t>
      </w:r>
      <w:r>
        <w:rPr>
          <w:i/>
          <w:iCs/>
        </w:rPr>
        <w:t xml:space="preserve">Journal of Virological Methods</w:t>
      </w:r>
      <w:r>
        <w:t xml:space="preserve"> </w:t>
      </w:r>
      <w:r>
        <w:t xml:space="preserve">165 (2): 311–17. https://doi.org/</w:t>
      </w:r>
      <w:hyperlink r:id="rId226">
        <w:r>
          <w:rPr>
            <w:rStyle w:val="Hyperlink"/>
          </w:rPr>
          <w:t xml:space="preserve">https://doi.org/10.1016/j.jviromet.2010.02.016</w:t>
        </w:r>
      </w:hyperlink>
      <w:r>
        <w:t xml:space="preserve">.</w:t>
      </w:r>
    </w:p>
    <w:bookmarkEnd w:id="227"/>
    <w:bookmarkStart w:id="229" w:name="ref-rambaut2004"/>
    <w:p>
      <w:pPr>
        <w:pStyle w:val="Bibliography"/>
      </w:pPr>
      <w:r>
        <w:t xml:space="preserve">Rambaut, Andrew, David Posada, Keith A. Crandall, and Edward C. Holmes. 2004.</w:t>
      </w:r>
      <w:r>
        <w:t xml:space="preserve"> </w:t>
      </w:r>
      <w:r>
        <w:t xml:space="preserve">“The Causes and Consequences of</w:t>
      </w:r>
      <w:r>
        <w:t xml:space="preserve"> </w:t>
      </w:r>
      <w:r>
        <w:t xml:space="preserve">HIV</w:t>
      </w:r>
      <w:r>
        <w:t xml:space="preserve"> </w:t>
      </w:r>
      <w:r>
        <w:t xml:space="preserve">Evolution.”</w:t>
      </w:r>
      <w:r>
        <w:t xml:space="preserve"> </w:t>
      </w:r>
      <w:r>
        <w:rPr>
          <w:i/>
          <w:iCs/>
        </w:rPr>
        <w:t xml:space="preserve">Nature Reviews Genetics</w:t>
      </w:r>
      <w:r>
        <w:t xml:space="preserve"> </w:t>
      </w:r>
      <w:r>
        <w:t xml:space="preserve">5 (1): 52–61.</w:t>
      </w:r>
      <w:r>
        <w:t xml:space="preserve"> </w:t>
      </w:r>
      <w:hyperlink r:id="rId228">
        <w:r>
          <w:rPr>
            <w:rStyle w:val="Hyperlink"/>
          </w:rPr>
          <w:t xml:space="preserve">https://doi.org/10.1038/nrg1246</w:t>
        </w:r>
      </w:hyperlink>
      <w:r>
        <w:t xml:space="preserve">.</w:t>
      </w:r>
    </w:p>
    <w:bookmarkEnd w:id="229"/>
    <w:bookmarkStart w:id="231" w:name="ref-ramirez2008"/>
    <w:p>
      <w:pPr>
        <w:pStyle w:val="Bibliography"/>
      </w:pPr>
      <w:r>
        <w:t xml:space="preserve">Ramirez, Bertha Cecilia, Etienne Simon-Loriere, Roman Galetto, and Matteo Negroni. 2008.</w:t>
      </w:r>
      <w:r>
        <w:t xml:space="preserve"> </w:t>
      </w:r>
      <w:r>
        <w:t xml:space="preserve">“Implications of Recombination for</w:t>
      </w:r>
      <w:r>
        <w:t xml:space="preserve"> </w:t>
      </w:r>
      <w:r>
        <w:t xml:space="preserve">HIV</w:t>
      </w:r>
      <w:r>
        <w:t xml:space="preserve"> </w:t>
      </w:r>
      <w:r>
        <w:t xml:space="preserve">Diversity.”</w:t>
      </w:r>
      <w:r>
        <w:t xml:space="preserve"> </w:t>
      </w:r>
      <w:r>
        <w:rPr>
          <w:i/>
          <w:iCs/>
        </w:rPr>
        <w:t xml:space="preserve">Virus Research</w:t>
      </w:r>
      <w:r>
        <w:t xml:space="preserve"> </w:t>
      </w:r>
      <w:r>
        <w:t xml:space="preserve">134 (1-2): 64–73.</w:t>
      </w:r>
      <w:r>
        <w:t xml:space="preserve"> </w:t>
      </w:r>
      <w:hyperlink r:id="rId230">
        <w:r>
          <w:rPr>
            <w:rStyle w:val="Hyperlink"/>
          </w:rPr>
          <w:t xml:space="preserve">https://doi.org/10.1016/j.virusres.2008.01.007</w:t>
        </w:r>
      </w:hyperlink>
      <w:r>
        <w:t xml:space="preserve">.</w:t>
      </w:r>
    </w:p>
    <w:bookmarkEnd w:id="231"/>
    <w:bookmarkStart w:id="233" w:name="ref-ratmann2019"/>
    <w:p>
      <w:pPr>
        <w:pStyle w:val="Bibliography"/>
      </w:pPr>
      <w:r>
        <w:t xml:space="preserve">Ratmann, Oliver, M. Kate Grabowski, Matthew Hall, Tanya Golubchik, Chris Wymant, Lucie Abeler-Dörner, David Bonsall, et al. 2019.</w:t>
      </w:r>
      <w:r>
        <w:t xml:space="preserve"> </w:t>
      </w:r>
      <w:r>
        <w:t xml:space="preserve">“Inferring</w:t>
      </w:r>
      <w:r>
        <w:t xml:space="preserve"> </w:t>
      </w:r>
      <w:r>
        <w:t xml:space="preserve">HIV</w:t>
      </w:r>
      <w:r>
        <w:t xml:space="preserve">-1 Transmission Networks and Sources of Epidemic Spread in Africa with Deep-Sequence Phylogenetic Analysis.”</w:t>
      </w:r>
      <w:r>
        <w:t xml:space="preserve"> </w:t>
      </w:r>
      <w:r>
        <w:rPr>
          <w:i/>
          <w:iCs/>
        </w:rPr>
        <w:t xml:space="preserve">Nature Communications</w:t>
      </w:r>
      <w:r>
        <w:t xml:space="preserve"> </w:t>
      </w:r>
      <w:r>
        <w:t xml:space="preserve">10 (1): 1411.</w:t>
      </w:r>
      <w:r>
        <w:t xml:space="preserve"> </w:t>
      </w:r>
      <w:hyperlink r:id="rId232">
        <w:r>
          <w:rPr>
            <w:rStyle w:val="Hyperlink"/>
          </w:rPr>
          <w:t xml:space="preserve">https://doi.org/10.1038/s41467-019-09139-4</w:t>
        </w:r>
      </w:hyperlink>
      <w:r>
        <w:t xml:space="preserve">.</w:t>
      </w:r>
    </w:p>
    <w:bookmarkEnd w:id="233"/>
    <w:bookmarkStart w:id="235" w:name="ref-ratmann2020"/>
    <w:p>
      <w:pPr>
        <w:pStyle w:val="Bibliography"/>
      </w:pPr>
      <w:r>
        <w:t xml:space="preserve">Ratmann, Oliver, Joseph Kagaayi, Matthew Hall, Tanya Golubchick, Godfrey Kigozi, Xiaoyue Xi, Chris Wymant, et al. 2020.</w:t>
      </w:r>
      <w:r>
        <w:t xml:space="preserve"> </w:t>
      </w:r>
      <w:r>
        <w:t xml:space="preserve">“Quantifying</w:t>
      </w:r>
      <w:r>
        <w:t xml:space="preserve"> </w:t>
      </w:r>
      <w:r>
        <w:t xml:space="preserve">HIV</w:t>
      </w:r>
      <w:r>
        <w:t xml:space="preserve"> </w:t>
      </w:r>
      <w:r>
        <w:t xml:space="preserve">Transmission Flow Between High-Prevalence Hotspots and Surrounding Communities: A Population-Based Study in Rakai, Uganda.”</w:t>
      </w:r>
      <w:r>
        <w:t xml:space="preserve"> </w:t>
      </w:r>
      <w:r>
        <w:rPr>
          <w:i/>
          <w:iCs/>
        </w:rPr>
        <w:t xml:space="preserve">The Lancet</w:t>
      </w:r>
      <w:r>
        <w:rPr>
          <w:i/>
          <w:iCs/>
        </w:rPr>
        <w:t xml:space="preserve"> </w:t>
      </w:r>
      <w:r>
        <w:rPr>
          <w:i/>
          <w:iCs/>
        </w:rPr>
        <w:t xml:space="preserve">HIV</w:t>
      </w:r>
      <w:r>
        <w:t xml:space="preserve"> </w:t>
      </w:r>
      <w:r>
        <w:t xml:space="preserve">7 (3): e173–83.</w:t>
      </w:r>
      <w:r>
        <w:t xml:space="preserve"> </w:t>
      </w:r>
      <w:hyperlink r:id="rId234">
        <w:r>
          <w:rPr>
            <w:rStyle w:val="Hyperlink"/>
          </w:rPr>
          <w:t xml:space="preserve">https://doi.org/10.1016/S2352-3018(19)30378-9</w:t>
        </w:r>
      </w:hyperlink>
      <w:r>
        <w:t xml:space="preserve">.</w:t>
      </w:r>
    </w:p>
    <w:bookmarkEnd w:id="235"/>
    <w:bookmarkStart w:id="237" w:name="ref-ratmann2017"/>
    <w:p>
      <w:pPr>
        <w:pStyle w:val="Bibliography"/>
      </w:pPr>
      <w:r>
        <w:t xml:space="preserve">Ratmann, Oliver, Chris Wymant, Caroline Colijn, Siva Danaviah, Max Essex, Simon Frost, Astrid Gall, et al. 2017.</w:t>
      </w:r>
      <w:r>
        <w:t xml:space="preserve"> </w:t>
      </w:r>
      <w:r>
        <w:t xml:space="preserve">“HIV-1 Full-Genome Phylogenetics of Generalized Epidemics in Sub-Saharan Africa: Impact of Missing Nucleotide Characters in Next-Generation Sequences.”</w:t>
      </w:r>
      <w:r>
        <w:t xml:space="preserve"> </w:t>
      </w:r>
      <w:r>
        <w:rPr>
          <w:i/>
          <w:iCs/>
        </w:rPr>
        <w:t xml:space="preserve">AIDS Research and Human Retroviruses</w:t>
      </w:r>
      <w:r>
        <w:t xml:space="preserve"> </w:t>
      </w:r>
      <w:r>
        <w:t xml:space="preserve">33 (11): 1083–98.</w:t>
      </w:r>
      <w:r>
        <w:t xml:space="preserve"> </w:t>
      </w:r>
      <w:hyperlink r:id="rId236">
        <w:r>
          <w:rPr>
            <w:rStyle w:val="Hyperlink"/>
          </w:rPr>
          <w:t xml:space="preserve">https://doi.org/10.1089/aid.2017.0061</w:t>
        </w:r>
      </w:hyperlink>
      <w:r>
        <w:t xml:space="preserve">.</w:t>
      </w:r>
    </w:p>
    <w:bookmarkEnd w:id="237"/>
    <w:bookmarkStart w:id="239" w:name="ref-redd2011"/>
    <w:p>
      <w:pPr>
        <w:pStyle w:val="Bibliography"/>
      </w:pPr>
      <w:r>
        <w:t xml:space="preserve">Redd, Andrew D., Aleisha Collinson-Streng, Craig Martens, Stacy Ricklefs, Caroline E. Mullis, Jordyn Manucci, Aaron A. R. Tobian, et al. 2011.</w:t>
      </w:r>
      <w:r>
        <w:t xml:space="preserve"> </w:t>
      </w:r>
      <w:r>
        <w:t xml:space="preserve">“Identification of HIV Superinfection in Seroconcordant Couples in Rakai, Uganda, by Use of Next-Generation Deep Sequencing.”</w:t>
      </w:r>
      <w:r>
        <w:t xml:space="preserve"> </w:t>
      </w:r>
      <w:r>
        <w:rPr>
          <w:i/>
          <w:iCs/>
        </w:rPr>
        <w:t xml:space="preserve">Journal of Clinical Microbiology</w:t>
      </w:r>
      <w:r>
        <w:t xml:space="preserve"> </w:t>
      </w:r>
      <w:r>
        <w:t xml:space="preserve">49 (8): 2859–67.</w:t>
      </w:r>
      <w:r>
        <w:t xml:space="preserve"> </w:t>
      </w:r>
      <w:hyperlink r:id="rId238">
        <w:r>
          <w:rPr>
            <w:rStyle w:val="Hyperlink"/>
          </w:rPr>
          <w:t xml:space="preserve">https://doi.org/10.1128/jcm.00804-11</w:t>
        </w:r>
      </w:hyperlink>
      <w:r>
        <w:t xml:space="preserve">.</w:t>
      </w:r>
    </w:p>
    <w:bookmarkEnd w:id="239"/>
    <w:bookmarkStart w:id="241" w:name="ref-redd2012"/>
    <w:p>
      <w:pPr>
        <w:pStyle w:val="Bibliography"/>
      </w:pPr>
      <w:r>
        <w:t xml:space="preserve">Redd, Andrew D., Caroline E. Mullis, David Serwadda, Xiangrong Kong, Craig Martens, Stacy M. Ricklefs, Aaron A. R. Tobian, et al. 2012.</w:t>
      </w:r>
      <w:r>
        <w:t xml:space="preserve"> </w:t>
      </w:r>
      <w:r>
        <w:t xml:space="preserve">“The</w:t>
      </w:r>
      <w:r>
        <w:t xml:space="preserve"> </w:t>
      </w:r>
      <w:r>
        <w:t xml:space="preserve">Rates</w:t>
      </w:r>
      <w:r>
        <w:t xml:space="preserve"> </w:t>
      </w:r>
      <w:r>
        <w:t xml:space="preserve">of</w:t>
      </w:r>
      <w:r>
        <w:t xml:space="preserve"> </w:t>
      </w:r>
      <w:r>
        <w:t xml:space="preserve">HIV</w:t>
      </w:r>
      <w:r>
        <w:t xml:space="preserve"> </w:t>
      </w:r>
      <w:r>
        <w:t xml:space="preserve">Superinfection</w:t>
      </w:r>
      <w:r>
        <w:t xml:space="preserve"> </w:t>
      </w:r>
      <w:r>
        <w:t xml:space="preserve">and</w:t>
      </w:r>
      <w:r>
        <w:t xml:space="preserve"> </w:t>
      </w:r>
      <w:r>
        <w:t xml:space="preserve">Primary</w:t>
      </w:r>
      <w:r>
        <w:t xml:space="preserve"> </w:t>
      </w:r>
      <w:r>
        <w:t xml:space="preserve">HIV</w:t>
      </w:r>
      <w:r>
        <w:t xml:space="preserve"> </w:t>
      </w:r>
      <w:r>
        <w:t xml:space="preserve">Incidence</w:t>
      </w:r>
      <w:r>
        <w:t xml:space="preserve"> </w:t>
      </w:r>
      <w:r>
        <w:t xml:space="preserve">in a</w:t>
      </w:r>
      <w:r>
        <w:t xml:space="preserve"> </w:t>
      </w:r>
      <w:r>
        <w:t xml:space="preserve">General</w:t>
      </w:r>
      <w:r>
        <w:t xml:space="preserve"> </w:t>
      </w:r>
      <w:r>
        <w:t xml:space="preserve">Population</w:t>
      </w:r>
      <w:r>
        <w:t xml:space="preserve"> </w:t>
      </w:r>
      <w:r>
        <w:t xml:space="preserve">in</w:t>
      </w:r>
      <w:r>
        <w:t xml:space="preserve"> </w:t>
      </w:r>
      <w:r>
        <w:t xml:space="preserve">Rakai</w:t>
      </w:r>
      <w:r>
        <w:t xml:space="preserve">,</w:t>
      </w:r>
      <w:r>
        <w:t xml:space="preserve"> </w:t>
      </w:r>
      <w:r>
        <w:t xml:space="preserve">Uganda</w:t>
      </w:r>
      <w:r>
        <w:t xml:space="preserve">.”</w:t>
      </w:r>
      <w:r>
        <w:t xml:space="preserve"> </w:t>
      </w:r>
      <w:r>
        <w:rPr>
          <w:i/>
          <w:iCs/>
        </w:rPr>
        <w:t xml:space="preserve">The Journal of Infectious Diseases</w:t>
      </w:r>
      <w:r>
        <w:t xml:space="preserve"> </w:t>
      </w:r>
      <w:r>
        <w:t xml:space="preserve">206 (2): 267–74.</w:t>
      </w:r>
      <w:r>
        <w:t xml:space="preserve"> </w:t>
      </w:r>
      <w:hyperlink r:id="rId240">
        <w:r>
          <w:rPr>
            <w:rStyle w:val="Hyperlink"/>
          </w:rPr>
          <w:t xml:space="preserve">https://doi.org/10.1093/infdis/jis325</w:t>
        </w:r>
      </w:hyperlink>
      <w:r>
        <w:t xml:space="preserve">.</w:t>
      </w:r>
    </w:p>
    <w:bookmarkEnd w:id="241"/>
    <w:bookmarkStart w:id="243" w:name="ref-redd2013"/>
    <w:p>
      <w:pPr>
        <w:pStyle w:val="Bibliography"/>
      </w:pPr>
      <w:r>
        <w:t xml:space="preserve">Redd, Andrew D, Thomas C Quinn, and Aaron AR Tobian. 2013.</w:t>
      </w:r>
      <w:r>
        <w:t xml:space="preserve"> </w:t>
      </w:r>
      <w:r>
        <w:t xml:space="preserve">“Frequency and Implications of</w:t>
      </w:r>
      <w:r>
        <w:t xml:space="preserve"> </w:t>
      </w:r>
      <w:r>
        <w:t xml:space="preserve">HIV</w:t>
      </w:r>
      <w:r>
        <w:t xml:space="preserve"> </w:t>
      </w:r>
      <w:r>
        <w:t xml:space="preserve">Superinfection.”</w:t>
      </w:r>
      <w:r>
        <w:t xml:space="preserve"> </w:t>
      </w:r>
      <w:r>
        <w:rPr>
          <w:i/>
          <w:iCs/>
        </w:rPr>
        <w:t xml:space="preserve">The Lancet Infectious Diseases</w:t>
      </w:r>
      <w:r>
        <w:t xml:space="preserve"> </w:t>
      </w:r>
      <w:r>
        <w:t xml:space="preserve">13 (7): 622–28.</w:t>
      </w:r>
      <w:r>
        <w:t xml:space="preserve"> </w:t>
      </w:r>
      <w:hyperlink r:id="rId242">
        <w:r>
          <w:rPr>
            <w:rStyle w:val="Hyperlink"/>
          </w:rPr>
          <w:t xml:space="preserve">https://doi.org/10.1016/S1473-3099(13)70066-5</w:t>
        </w:r>
      </w:hyperlink>
      <w:r>
        <w:t xml:space="preserve">.</w:t>
      </w:r>
    </w:p>
    <w:bookmarkEnd w:id="243"/>
    <w:bookmarkStart w:id="245" w:name="ref-redd2014"/>
    <w:p>
      <w:pPr>
        <w:pStyle w:val="Bibliography"/>
      </w:pPr>
      <w:r>
        <w:t xml:space="preserve">Redd, Andrew D., Deogratius Ssemwanga, Judith Vandepitte, Sarah K. Wendel, Nicaise Ndembi, Justine Bukenya, Susan Nakubulwa, et al. 2014.</w:t>
      </w:r>
      <w:r>
        <w:t xml:space="preserve"> </w:t>
      </w:r>
      <w:r>
        <w:t xml:space="preserve">“Rates of</w:t>
      </w:r>
      <w:r>
        <w:t xml:space="preserve"> </w:t>
      </w:r>
      <w:r>
        <w:t xml:space="preserve">HIV</w:t>
      </w:r>
      <w:r>
        <w:t xml:space="preserve">-1 Superinfection and Primary</w:t>
      </w:r>
      <w:r>
        <w:t xml:space="preserve"> </w:t>
      </w:r>
      <w:r>
        <w:t xml:space="preserve">HIV</w:t>
      </w:r>
      <w:r>
        <w:t xml:space="preserve">-1 Infection Are Similar in Female Sex Workers in Uganda.”</w:t>
      </w:r>
      <w:r>
        <w:t xml:space="preserve"> </w:t>
      </w:r>
      <w:r>
        <w:rPr>
          <w:i/>
          <w:iCs/>
        </w:rPr>
        <w:t xml:space="preserve">AIDS</w:t>
      </w:r>
      <w:r>
        <w:t xml:space="preserve"> </w:t>
      </w:r>
      <w:r>
        <w:t xml:space="preserve">28 (14): 2147–52.</w:t>
      </w:r>
      <w:r>
        <w:t xml:space="preserve"> </w:t>
      </w:r>
      <w:hyperlink r:id="rId244">
        <w:r>
          <w:rPr>
            <w:rStyle w:val="Hyperlink"/>
          </w:rPr>
          <w:t xml:space="preserve">https://doi.org/10.1097/QAD.0000000000000365</w:t>
        </w:r>
      </w:hyperlink>
      <w:r>
        <w:t xml:space="preserve">.</w:t>
      </w:r>
    </w:p>
    <w:bookmarkEnd w:id="245"/>
    <w:bookmarkStart w:id="247" w:name="ref-revell2024"/>
    <w:p>
      <w:pPr>
        <w:pStyle w:val="Bibliography"/>
      </w:pPr>
      <w:r>
        <w:t xml:space="preserve">Revell, Liam J. 2024.</w:t>
      </w:r>
      <w:r>
        <w:t xml:space="preserve"> </w:t>
      </w:r>
      <w:r>
        <w:t xml:space="preserve">“</w:t>
      </w:r>
      <w:r>
        <w:t xml:space="preserve">p</w:t>
      </w:r>
      <w:r>
        <w:t xml:space="preserve">hytools 2.0: An Updated</w:t>
      </w:r>
      <w:r>
        <w:t xml:space="preserve"> </w:t>
      </w:r>
      <w:r>
        <w:t xml:space="preserve">R</w:t>
      </w:r>
      <w:r>
        <w:t xml:space="preserve"> </w:t>
      </w:r>
      <w:r>
        <w:t xml:space="preserve">Ecosystem for Phylogenetic Comparative Methods (and Other Things).”</w:t>
      </w:r>
      <w:r>
        <w:t xml:space="preserve"> </w:t>
      </w:r>
      <w:r>
        <w:rPr>
          <w:i/>
          <w:iCs/>
        </w:rPr>
        <w:t xml:space="preserve">PeerJ</w:t>
      </w:r>
      <w:r>
        <w:t xml:space="preserve"> </w:t>
      </w:r>
      <w:r>
        <w:t xml:space="preserve">12: e16505.</w:t>
      </w:r>
      <w:r>
        <w:t xml:space="preserve"> </w:t>
      </w:r>
      <w:hyperlink r:id="rId246">
        <w:r>
          <w:rPr>
            <w:rStyle w:val="Hyperlink"/>
          </w:rPr>
          <w:t xml:space="preserve">https://doi.org/10.7717/peerj.16505</w:t>
        </w:r>
      </w:hyperlink>
      <w:r>
        <w:t xml:space="preserve">.</w:t>
      </w:r>
    </w:p>
    <w:bookmarkEnd w:id="247"/>
    <w:bookmarkStart w:id="249" w:name="ref-ritchie2014"/>
    <w:p>
      <w:pPr>
        <w:pStyle w:val="Bibliography"/>
      </w:pPr>
      <w:r>
        <w:t xml:space="preserve">Ritchie, Adam John, Fangping Cai, Nicola Mg Smith, Sheri Chen, Hongshuo Song, Simon Brackenridge, Salim S Abdool Karim, et al. 2014.</w:t>
      </w:r>
      <w:r>
        <w:t xml:space="preserve"> </w:t>
      </w:r>
      <w:r>
        <w:t xml:space="preserve">“Recombination-Mediated Escape from Primary</w:t>
      </w:r>
      <w:r>
        <w:t xml:space="preserve"> </w:t>
      </w:r>
      <w:r>
        <w:t xml:space="preserve">CD</w:t>
      </w:r>
      <w:r>
        <w:t xml:space="preserve">8+ t Cells in Acute</w:t>
      </w:r>
      <w:r>
        <w:t xml:space="preserve"> </w:t>
      </w:r>
      <w:r>
        <w:t xml:space="preserve">HIV</w:t>
      </w:r>
      <w:r>
        <w:t xml:space="preserve">-1 Infection.”</w:t>
      </w:r>
      <w:r>
        <w:t xml:space="preserve"> </w:t>
      </w:r>
      <w:r>
        <w:rPr>
          <w:i/>
          <w:iCs/>
        </w:rPr>
        <w:t xml:space="preserve">Retrovirology</w:t>
      </w:r>
      <w:r>
        <w:t xml:space="preserve"> </w:t>
      </w:r>
      <w:r>
        <w:t xml:space="preserve">11 (1): 69.</w:t>
      </w:r>
      <w:r>
        <w:t xml:space="preserve"> </w:t>
      </w:r>
      <w:hyperlink r:id="rId248">
        <w:r>
          <w:rPr>
            <w:rStyle w:val="Hyperlink"/>
          </w:rPr>
          <w:t xml:space="preserve">https://doi.org/10.1186/s12977-014-0069-9</w:t>
        </w:r>
      </w:hyperlink>
      <w:r>
        <w:t xml:space="preserve">.</w:t>
      </w:r>
    </w:p>
    <w:bookmarkEnd w:id="249"/>
    <w:bookmarkStart w:id="251" w:name="ref-ronen2013"/>
    <w:p>
      <w:pPr>
        <w:pStyle w:val="Bibliography"/>
      </w:pPr>
      <w:r>
        <w:t xml:space="preserve">Ronen, Keshet, Connor O. McCoy, Frederick A. Matsen, David F. Boyd, Sandra Emery, Katherine Odem-Davis, Walter Jaoko, et al. 2013.</w:t>
      </w:r>
      <w:r>
        <w:t xml:space="preserve"> </w:t>
      </w:r>
      <w:r>
        <w:t xml:space="preserve">“</w:t>
      </w:r>
      <w:r>
        <w:t xml:space="preserve">HIV</w:t>
      </w:r>
      <w:r>
        <w:t xml:space="preserve">-1 Superinfection Occurs Less Frequently Than Initial Infection in a Cohort of High-Risk Kenyan Women.”</w:t>
      </w:r>
      <w:r>
        <w:t xml:space="preserve"> </w:t>
      </w:r>
      <w:r>
        <w:t xml:space="preserve">Edited by Ronald C. Desrosiers.</w:t>
      </w:r>
      <w:r>
        <w:t xml:space="preserve"> </w:t>
      </w:r>
      <w:r>
        <w:rPr>
          <w:i/>
          <w:iCs/>
        </w:rPr>
        <w:t xml:space="preserve">PLoS</w:t>
      </w:r>
      <w:r>
        <w:rPr>
          <w:i/>
          <w:iCs/>
        </w:rPr>
        <w:t xml:space="preserve"> </w:t>
      </w:r>
      <w:r>
        <w:rPr>
          <w:i/>
          <w:iCs/>
        </w:rPr>
        <w:t xml:space="preserve">Pathogens</w:t>
      </w:r>
      <w:r>
        <w:t xml:space="preserve"> </w:t>
      </w:r>
      <w:r>
        <w:t xml:space="preserve">9 (8): e1003593.</w:t>
      </w:r>
      <w:r>
        <w:t xml:space="preserve"> </w:t>
      </w:r>
      <w:hyperlink r:id="rId250">
        <w:r>
          <w:rPr>
            <w:rStyle w:val="Hyperlink"/>
          </w:rPr>
          <w:t xml:space="preserve">https://doi.org/10.1371/journal.ppat.1003593</w:t>
        </w:r>
      </w:hyperlink>
      <w:r>
        <w:t xml:space="preserve">.</w:t>
      </w:r>
    </w:p>
    <w:bookmarkEnd w:id="251"/>
    <w:bookmarkStart w:id="253" w:name="ref-ronen2014"/>
    <w:p>
      <w:pPr>
        <w:pStyle w:val="Bibliography"/>
      </w:pPr>
      <w:r>
        <w:t xml:space="preserve">Ronen, Keshet, Barbra A. Richardson, Susan M. Graham, Walter Jaoko, Kishor Mandaliya, R. Scott McClelland, and Julie Overbaugh. 2014.</w:t>
      </w:r>
      <w:r>
        <w:t xml:space="preserve"> </w:t>
      </w:r>
      <w:r>
        <w:t xml:space="preserve">“</w:t>
      </w:r>
      <w:r>
        <w:t xml:space="preserve">HIV</w:t>
      </w:r>
      <w:r>
        <w:t xml:space="preserve">-1 Superinfection Is Associated with an Accelerated Viral Load Increase but Has a Limited Impact on Disease Progression.”</w:t>
      </w:r>
      <w:r>
        <w:t xml:space="preserve"> </w:t>
      </w:r>
      <w:r>
        <w:rPr>
          <w:i/>
          <w:iCs/>
        </w:rPr>
        <w:t xml:space="preserve">AIDS</w:t>
      </w:r>
      <w:r>
        <w:t xml:space="preserve"> </w:t>
      </w:r>
      <w:r>
        <w:t xml:space="preserve">28 (15): 2281–86.</w:t>
      </w:r>
      <w:r>
        <w:t xml:space="preserve"> </w:t>
      </w:r>
      <w:hyperlink r:id="rId252">
        <w:r>
          <w:rPr>
            <w:rStyle w:val="Hyperlink"/>
          </w:rPr>
          <w:t xml:space="preserve">https://doi.org/10.1097/QAD.0000000000000422</w:t>
        </w:r>
      </w:hyperlink>
      <w:r>
        <w:t xml:space="preserve">.</w:t>
      </w:r>
    </w:p>
    <w:bookmarkEnd w:id="253"/>
    <w:bookmarkStart w:id="255" w:name="ref-sankoff1975"/>
    <w:p>
      <w:pPr>
        <w:pStyle w:val="Bibliography"/>
      </w:pPr>
      <w:r>
        <w:t xml:space="preserve">Sankoff, David. 1975.</w:t>
      </w:r>
      <w:r>
        <w:t xml:space="preserve"> </w:t>
      </w:r>
      <w:r>
        <w:t xml:space="preserve">“Minimal Mutation Trees of Sequences.”</w:t>
      </w:r>
      <w:r>
        <w:t xml:space="preserve"> </w:t>
      </w:r>
      <w:r>
        <w:rPr>
          <w:i/>
          <w:iCs/>
        </w:rPr>
        <w:t xml:space="preserve">SIAM</w:t>
      </w:r>
      <w:r>
        <w:rPr>
          <w:i/>
          <w:iCs/>
        </w:rPr>
        <w:t xml:space="preserve"> </w:t>
      </w:r>
      <w:r>
        <w:rPr>
          <w:i/>
          <w:iCs/>
        </w:rPr>
        <w:t xml:space="preserve">Journal on Applied Mathematics</w:t>
      </w:r>
      <w:r>
        <w:t xml:space="preserve"> </w:t>
      </w:r>
      <w:r>
        <w:t xml:space="preserve">28 (1): 35–42.</w:t>
      </w:r>
      <w:r>
        <w:t xml:space="preserve"> </w:t>
      </w:r>
      <w:hyperlink r:id="rId254">
        <w:r>
          <w:rPr>
            <w:rStyle w:val="Hyperlink"/>
          </w:rPr>
          <w:t xml:space="preserve">https://doi.org/10.1137/0128004</w:t>
        </w:r>
      </w:hyperlink>
      <w:r>
        <w:t xml:space="preserve">.</w:t>
      </w:r>
    </w:p>
    <w:bookmarkEnd w:id="255"/>
    <w:bookmarkStart w:id="257" w:name="ref-shriner2004"/>
    <w:p>
      <w:pPr>
        <w:pStyle w:val="Bibliography"/>
      </w:pPr>
      <w:r>
        <w:t xml:space="preserve">Shriner, Daniel, Allen G Rodrigo, David C Nickle, and James I Mullins. 2004.</w:t>
      </w:r>
      <w:r>
        <w:t xml:space="preserve"> </w:t>
      </w:r>
      <w:r>
        <w:t xml:space="preserve">“</w:t>
      </w:r>
      <w:r>
        <w:t xml:space="preserve">Pervasive Genomic Recombination of HIV-1 in Vivo</w:t>
      </w:r>
      <w:r>
        <w:t xml:space="preserve">.”</w:t>
      </w:r>
      <w:r>
        <w:t xml:space="preserve"> </w:t>
      </w:r>
      <w:r>
        <w:rPr>
          <w:i/>
          <w:iCs/>
        </w:rPr>
        <w:t xml:space="preserve">Genetics</w:t>
      </w:r>
      <w:r>
        <w:t xml:space="preserve"> </w:t>
      </w:r>
      <w:r>
        <w:t xml:space="preserve">167 (4): 1573–83.</w:t>
      </w:r>
      <w:r>
        <w:t xml:space="preserve"> </w:t>
      </w:r>
      <w:hyperlink r:id="rId256">
        <w:r>
          <w:rPr>
            <w:rStyle w:val="Hyperlink"/>
          </w:rPr>
          <w:t xml:space="preserve">https://doi.org/10.1534/genetics.103.023382</w:t>
        </w:r>
      </w:hyperlink>
      <w:r>
        <w:t xml:space="preserve">.</w:t>
      </w:r>
    </w:p>
    <w:bookmarkEnd w:id="257"/>
    <w:bookmarkStart w:id="259" w:name="ref-smith2004"/>
    <w:p>
      <w:pPr>
        <w:pStyle w:val="Bibliography"/>
      </w:pPr>
      <w:r>
        <w:t xml:space="preserve">Smith, D. M. 2004.</w:t>
      </w:r>
      <w:r>
        <w:t xml:space="preserve"> </w:t>
      </w:r>
      <w:r>
        <w:t xml:space="preserve">“Incidence of</w:t>
      </w:r>
      <w:r>
        <w:t xml:space="preserve"> </w:t>
      </w:r>
      <w:r>
        <w:t xml:space="preserve">HIV</w:t>
      </w:r>
      <w:r>
        <w:t xml:space="preserve"> </w:t>
      </w:r>
      <w:r>
        <w:t xml:space="preserve">Superinfection</w:t>
      </w:r>
      <w:r>
        <w:t xml:space="preserve"> </w:t>
      </w:r>
      <w:r>
        <w:t xml:space="preserve">Following</w:t>
      </w:r>
      <w:r>
        <w:t xml:space="preserve"> </w:t>
      </w:r>
      <w:r>
        <w:t xml:space="preserve">Primary</w:t>
      </w:r>
      <w:r>
        <w:t xml:space="preserve"> </w:t>
      </w:r>
      <w:r>
        <w:t xml:space="preserve">Infection</w:t>
      </w:r>
      <w:r>
        <w:t xml:space="preserve">.”</w:t>
      </w:r>
      <w:r>
        <w:t xml:space="preserve"> </w:t>
      </w:r>
      <w:r>
        <w:rPr>
          <w:i/>
          <w:iCs/>
        </w:rPr>
        <w:t xml:space="preserve">JAMA: The Journal of the American Medical Association</w:t>
      </w:r>
      <w:r>
        <w:t xml:space="preserve"> </w:t>
      </w:r>
      <w:r>
        <w:t xml:space="preserve">292 (10): 1177–78.</w:t>
      </w:r>
      <w:r>
        <w:t xml:space="preserve"> </w:t>
      </w:r>
      <w:hyperlink r:id="rId258">
        <w:r>
          <w:rPr>
            <w:rStyle w:val="Hyperlink"/>
          </w:rPr>
          <w:t xml:space="preserve">https://doi.org/10.1001/jama.292.10.1177</w:t>
        </w:r>
      </w:hyperlink>
      <w:r>
        <w:t xml:space="preserve">.</w:t>
      </w:r>
    </w:p>
    <w:bookmarkEnd w:id="259"/>
    <w:bookmarkStart w:id="261" w:name="ref-sobkowiak2024"/>
    <w:p>
      <w:pPr>
        <w:pStyle w:val="Bibliography"/>
      </w:pPr>
      <w:r>
        <w:t xml:space="preserve">Sobkowiak, Benjamin, Patrick Cudahy, Melanie H. Chitwood, Taane G. Clark, Caroline Colijn, Louis Grandjean, Katharine S. Walter, Valeriu Crudu, and Ted Cohen. 2024.</w:t>
      </w:r>
      <w:r>
        <w:t xml:space="preserve"> </w:t>
      </w:r>
      <w:r>
        <w:t xml:space="preserve">“A New Method for Detecting Mixed Mycobacterium Tuberculosis Infection and Reconstructing Constituent Strains Provides Insights into Transmission.”</w:t>
      </w:r>
      <w:r>
        <w:t xml:space="preserve"> </w:t>
      </w:r>
      <w:r>
        <w:rPr>
          <w:i/>
          <w:iCs/>
        </w:rPr>
        <w:t xml:space="preserve">bioRxiv</w:t>
      </w:r>
      <w:r>
        <w:t xml:space="preserve">.</w:t>
      </w:r>
      <w:r>
        <w:t xml:space="preserve"> </w:t>
      </w:r>
      <w:hyperlink r:id="rId260">
        <w:r>
          <w:rPr>
            <w:rStyle w:val="Hyperlink"/>
          </w:rPr>
          <w:t xml:space="preserve">https://doi.org/10.1101/2024.04.26.591283</w:t>
        </w:r>
      </w:hyperlink>
      <w:r>
        <w:t xml:space="preserve">.</w:t>
      </w:r>
    </w:p>
    <w:bookmarkEnd w:id="261"/>
    <w:bookmarkStart w:id="263" w:name="ref-sobkowiak2018"/>
    <w:p>
      <w:pPr>
        <w:pStyle w:val="Bibliography"/>
      </w:pPr>
      <w:r>
        <w:t xml:space="preserve">Sobkowiak, Benjamin, Judith R. Glynn, Rein M. G. J. Houben, Kim Mallard, Jody E. Phelan, José Afonso Guerra-Assunção, Louis Banda, et al. 2018.</w:t>
      </w:r>
      <w:r>
        <w:t xml:space="preserve"> </w:t>
      </w:r>
      <w:r>
        <w:t xml:space="preserve">“Identifying Mixed Mycobacterium Tuberculosis Infections from Whole Genome Sequence Data.”</w:t>
      </w:r>
      <w:r>
        <w:t xml:space="preserve"> </w:t>
      </w:r>
      <w:r>
        <w:rPr>
          <w:i/>
          <w:iCs/>
        </w:rPr>
        <w:t xml:space="preserve">BMC</w:t>
      </w:r>
      <w:r>
        <w:rPr>
          <w:i/>
          <w:iCs/>
        </w:rPr>
        <w:t xml:space="preserve"> </w:t>
      </w:r>
      <w:r>
        <w:rPr>
          <w:i/>
          <w:iCs/>
        </w:rPr>
        <w:t xml:space="preserve">Genomics</w:t>
      </w:r>
      <w:r>
        <w:t xml:space="preserve"> </w:t>
      </w:r>
      <w:r>
        <w:t xml:space="preserve">19 (1): 613.</w:t>
      </w:r>
      <w:r>
        <w:t xml:space="preserve"> </w:t>
      </w:r>
      <w:hyperlink r:id="rId262">
        <w:r>
          <w:rPr>
            <w:rStyle w:val="Hyperlink"/>
          </w:rPr>
          <w:t xml:space="preserve">https://doi.org/10.1186/s12864-018-4988-z</w:t>
        </w:r>
      </w:hyperlink>
      <w:r>
        <w:t xml:space="preserve">.</w:t>
      </w:r>
    </w:p>
    <w:bookmarkEnd w:id="263"/>
    <w:bookmarkStart w:id="265" w:name="ref-song2018"/>
    <w:p>
      <w:pPr>
        <w:pStyle w:val="Bibliography"/>
      </w:pPr>
      <w:r>
        <w:t xml:space="preserve">Song, Hongshuo, Elena E. Giorgi, Vitaly V. Ganusov, Fangping Cai, Gayathri Athreya, Hyejin Yoon, Oana Carja, et al. 2018.</w:t>
      </w:r>
      <w:r>
        <w:t xml:space="preserve"> </w:t>
      </w:r>
      <w:r>
        <w:t xml:space="preserve">“Tracking</w:t>
      </w:r>
      <w:r>
        <w:t xml:space="preserve"> </w:t>
      </w:r>
      <w:r>
        <w:t xml:space="preserve">HIV</w:t>
      </w:r>
      <w:r>
        <w:t xml:space="preserve">-1 Recombination to Resolve Its Contribution to</w:t>
      </w:r>
      <w:r>
        <w:t xml:space="preserve"> </w:t>
      </w:r>
      <w:r>
        <w:t xml:space="preserve">HIV</w:t>
      </w:r>
      <w:r>
        <w:t xml:space="preserve">-1 Evolution in Natural Infection.”</w:t>
      </w:r>
      <w:r>
        <w:t xml:space="preserve"> </w:t>
      </w:r>
      <w:r>
        <w:rPr>
          <w:i/>
          <w:iCs/>
        </w:rPr>
        <w:t xml:space="preserve">Nature Communications</w:t>
      </w:r>
      <w:r>
        <w:t xml:space="preserve"> </w:t>
      </w:r>
      <w:r>
        <w:t xml:space="preserve">9 (1): 1928.</w:t>
      </w:r>
      <w:r>
        <w:t xml:space="preserve"> </w:t>
      </w:r>
      <w:hyperlink r:id="rId264">
        <w:r>
          <w:rPr>
            <w:rStyle w:val="Hyperlink"/>
          </w:rPr>
          <w:t xml:space="preserve">https://doi.org/10.1038/s41467-018-04217-5</w:t>
        </w:r>
      </w:hyperlink>
      <w:r>
        <w:t xml:space="preserve">.</w:t>
      </w:r>
    </w:p>
    <w:bookmarkEnd w:id="265"/>
    <w:bookmarkStart w:id="267" w:name="ref-stan2024"/>
    <w:p>
      <w:pPr>
        <w:pStyle w:val="Bibliography"/>
      </w:pPr>
      <w:r>
        <w:t xml:space="preserve">“Stan Modeling Language Users Guide and Reference Manual, Version 2.35.”</w:t>
      </w:r>
      <w:r>
        <w:t xml:space="preserve"> </w:t>
      </w:r>
      <w:r>
        <w:t xml:space="preserve">2024. Stan Development Team.</w:t>
      </w:r>
      <w:r>
        <w:t xml:space="preserve"> </w:t>
      </w:r>
      <w:hyperlink r:id="rId266">
        <w:r>
          <w:rPr>
            <w:rStyle w:val="Hyperlink"/>
          </w:rPr>
          <w:t xml:space="preserve">https://mc-stan.org</w:t>
        </w:r>
      </w:hyperlink>
      <w:r>
        <w:t xml:space="preserve">.</w:t>
      </w:r>
    </w:p>
    <w:bookmarkEnd w:id="267"/>
    <w:bookmarkStart w:id="269" w:name="ref-streeck2008"/>
    <w:p>
      <w:pPr>
        <w:pStyle w:val="Bibliography"/>
      </w:pPr>
      <w:r>
        <w:t xml:space="preserve">Streeck, Hendrik, Bin Li, Art F. Y. Poon, Arne Schneidewind, Adrianne D. Gladden, Karen A. Power, Demetre Daskalakis, et al. 2008.</w:t>
      </w:r>
      <w:r>
        <w:t xml:space="preserve"> </w:t>
      </w:r>
      <w:r>
        <w:t xml:space="preserve">“</w:t>
      </w:r>
      <w:r>
        <w:t xml:space="preserve">Immune-driven recombination and loss of control after HIV superinfection</w:t>
      </w:r>
      <w:r>
        <w:t xml:space="preserve"> </w:t>
      </w:r>
      <w:r>
        <w:t xml:space="preserve">.”</w:t>
      </w:r>
      <w:r>
        <w:t xml:space="preserve"> </w:t>
      </w:r>
      <w:r>
        <w:rPr>
          <w:i/>
          <w:iCs/>
        </w:rPr>
        <w:t xml:space="preserve">Journal of Experimental Medicine</w:t>
      </w:r>
      <w:r>
        <w:t xml:space="preserve"> </w:t>
      </w:r>
      <w:r>
        <w:t xml:space="preserve">205 (8): 1789–96.</w:t>
      </w:r>
      <w:r>
        <w:t xml:space="preserve"> </w:t>
      </w:r>
      <w:hyperlink r:id="rId268">
        <w:r>
          <w:rPr>
            <w:rStyle w:val="Hyperlink"/>
          </w:rPr>
          <w:t xml:space="preserve">https://doi.org/10.1084/jem.20080281</w:t>
        </w:r>
      </w:hyperlink>
      <w:r>
        <w:t xml:space="preserve">.</w:t>
      </w:r>
    </w:p>
    <w:bookmarkEnd w:id="269"/>
    <w:bookmarkStart w:id="271" w:name="ref-todd2009"/>
    <w:p>
      <w:pPr>
        <w:pStyle w:val="Bibliography"/>
      </w:pPr>
      <w:r>
        <w:t xml:space="preserve">Todd, J, I Cremin, N McGrath, J-B Bwanika, A Wringe, M Marston, I Kasamba, et al. 2009.</w:t>
      </w:r>
      <w:r>
        <w:t xml:space="preserve"> </w:t>
      </w:r>
      <w:r>
        <w:t xml:space="preserve">“Reported Number of Sexual Partners: Comparison of Data from Four African Longitudinal Studies.”</w:t>
      </w:r>
      <w:r>
        <w:t xml:space="preserve"> </w:t>
      </w:r>
      <w:r>
        <w:rPr>
          <w:i/>
          <w:iCs/>
        </w:rPr>
        <w:t xml:space="preserve">Sexually Transmitted Infections</w:t>
      </w:r>
      <w:r>
        <w:t xml:space="preserve"> </w:t>
      </w:r>
      <w:r>
        <w:t xml:space="preserve">85 (April): i72–80.</w:t>
      </w:r>
      <w:r>
        <w:t xml:space="preserve"> </w:t>
      </w:r>
      <w:hyperlink r:id="rId270">
        <w:r>
          <w:rPr>
            <w:rStyle w:val="Hyperlink"/>
          </w:rPr>
          <w:t xml:space="preserve">https://doi.org/10.1136/sti.2008.033985</w:t>
        </w:r>
      </w:hyperlink>
      <w:r>
        <w:t xml:space="preserve">.</w:t>
      </w:r>
    </w:p>
    <w:bookmarkEnd w:id="271"/>
    <w:bookmarkStart w:id="273" w:name="ref-van_de_laar2009"/>
    <w:p>
      <w:pPr>
        <w:pStyle w:val="Bibliography"/>
      </w:pPr>
      <w:r>
        <w:t xml:space="preserve">Van De Laar, Thijs J. W., Richard Molenkamp, Charlotte Van Den Berg, Janke Schinkel, Marcel G. H. M. Beld, Maria Prins, Roel A. Coutinho, and Sylvia M. Bruisten. 2009.</w:t>
      </w:r>
      <w:r>
        <w:t xml:space="preserve"> </w:t>
      </w:r>
      <w:r>
        <w:t xml:space="preserve">“Frequent</w:t>
      </w:r>
      <w:r>
        <w:t xml:space="preserve"> </w:t>
      </w:r>
      <w:r>
        <w:t xml:space="preserve">HCV</w:t>
      </w:r>
      <w:r>
        <w:t xml:space="preserve"> </w:t>
      </w:r>
      <w:r>
        <w:t xml:space="preserve">Reinfection and Superinfection in a Cohort of Injecting Drug Users in Amsterdam.”</w:t>
      </w:r>
      <w:r>
        <w:t xml:space="preserve"> </w:t>
      </w:r>
      <w:r>
        <w:rPr>
          <w:i/>
          <w:iCs/>
        </w:rPr>
        <w:t xml:space="preserve">Journal of Hepatology</w:t>
      </w:r>
      <w:r>
        <w:t xml:space="preserve"> </w:t>
      </w:r>
      <w:r>
        <w:t xml:space="preserve">51 (4): 667–74.</w:t>
      </w:r>
      <w:r>
        <w:t xml:space="preserve"> </w:t>
      </w:r>
      <w:hyperlink r:id="rId272">
        <w:r>
          <w:rPr>
            <w:rStyle w:val="Hyperlink"/>
          </w:rPr>
          <w:t xml:space="preserve">https://doi.org/10.1016/j.jhep.2009.05.027</w:t>
        </w:r>
      </w:hyperlink>
      <w:r>
        <w:t xml:space="preserve">.</w:t>
      </w:r>
    </w:p>
    <w:bookmarkEnd w:id="273"/>
    <w:bookmarkStart w:id="275" w:name="ref-vehtari2021"/>
    <w:p>
      <w:pPr>
        <w:pStyle w:val="Bibliography"/>
      </w:pPr>
      <w:r>
        <w:t xml:space="preserve">Vehtari, Aki, Andrew Gelman, Daniel Simpson, Bob Carpenter, and Paul-Christian Bürkner. 2021.</w:t>
      </w:r>
      <w:r>
        <w:t xml:space="preserve"> </w:t>
      </w:r>
      <w:r>
        <w:t xml:space="preserve">“Rank-Normalization, Folding, and Localization: An Improved Rˆ for Assessing Convergence of</w:t>
      </w:r>
      <w:r>
        <w:t xml:space="preserve"> </w:t>
      </w:r>
      <w:r>
        <w:t xml:space="preserve">MCMC</w:t>
      </w:r>
      <w:r>
        <w:t xml:space="preserve"> </w:t>
      </w:r>
      <w:r>
        <w:t xml:space="preserve">(with Discussion).”</w:t>
      </w:r>
      <w:r>
        <w:t xml:space="preserve"> </w:t>
      </w:r>
      <w:r>
        <w:rPr>
          <w:i/>
          <w:iCs/>
        </w:rPr>
        <w:t xml:space="preserve">Bayesian Analysis</w:t>
      </w:r>
      <w:r>
        <w:t xml:space="preserve"> </w:t>
      </w:r>
      <w:r>
        <w:t xml:space="preserve">16 (2).</w:t>
      </w:r>
      <w:r>
        <w:t xml:space="preserve"> </w:t>
      </w:r>
      <w:hyperlink r:id="rId274">
        <w:r>
          <w:rPr>
            <w:rStyle w:val="Hyperlink"/>
          </w:rPr>
          <w:t xml:space="preserve">https://doi.org/10.1214/20-BA1221</w:t>
        </w:r>
      </w:hyperlink>
      <w:r>
        <w:t xml:space="preserve">.</w:t>
      </w:r>
    </w:p>
    <w:bookmarkEnd w:id="275"/>
    <w:bookmarkStart w:id="277" w:name="ref-vesa2017"/>
    <w:p>
      <w:pPr>
        <w:pStyle w:val="Bibliography"/>
      </w:pPr>
      <w:r>
        <w:t xml:space="preserve">Vesa, Jouni, Antoine Chaillon, Gabriel A. Wagner, Christy M. Anderson, Douglas D. Richman, Davey M. Smith, and Susan J. Little. 2017.</w:t>
      </w:r>
      <w:r>
        <w:t xml:space="preserve"> </w:t>
      </w:r>
      <w:r>
        <w:t xml:space="preserve">“Increased</w:t>
      </w:r>
      <w:r>
        <w:t xml:space="preserve"> </w:t>
      </w:r>
      <w:r>
        <w:t xml:space="preserve">HIV</w:t>
      </w:r>
      <w:r>
        <w:t xml:space="preserve">-1 Superinfection Risk in Carriers of Specific Human Leukocyte Antigen Alleles.”</w:t>
      </w:r>
      <w:r>
        <w:t xml:space="preserve"> </w:t>
      </w:r>
      <w:r>
        <w:rPr>
          <w:i/>
          <w:iCs/>
        </w:rPr>
        <w:t xml:space="preserve">AIDS</w:t>
      </w:r>
      <w:r>
        <w:t xml:space="preserve"> </w:t>
      </w:r>
      <w:r>
        <w:t xml:space="preserve">31 (8): 1149–58.</w:t>
      </w:r>
      <w:r>
        <w:t xml:space="preserve"> </w:t>
      </w:r>
      <w:hyperlink r:id="rId276">
        <w:r>
          <w:rPr>
            <w:rStyle w:val="Hyperlink"/>
          </w:rPr>
          <w:t xml:space="preserve">https://doi.org/10.1097/QAD.0000000000001445</w:t>
        </w:r>
      </w:hyperlink>
      <w:r>
        <w:t xml:space="preserve">.</w:t>
      </w:r>
    </w:p>
    <w:bookmarkEnd w:id="277"/>
    <w:bookmarkStart w:id="279" w:name="ref-wagner2016"/>
    <w:p>
      <w:pPr>
        <w:pStyle w:val="Bibliography"/>
      </w:pPr>
      <w:r>
        <w:t xml:space="preserve">Wagner, Gabriel A., Antoine Chaillon, Siqi Liu, Donald R. Franklin, Gemma Caballero, Sergei L. Kosakovsky Pond, Florin Vaida, et al. 2016.</w:t>
      </w:r>
      <w:r>
        <w:t xml:space="preserve"> </w:t>
      </w:r>
      <w:r>
        <w:t xml:space="preserve">“</w:t>
      </w:r>
      <w:r>
        <w:t xml:space="preserve">HIV</w:t>
      </w:r>
      <w:r>
        <w:t xml:space="preserve">-Associated Neurocognitive Disorder Is Associated with</w:t>
      </w:r>
      <w:r>
        <w:t xml:space="preserve"> </w:t>
      </w:r>
      <w:r>
        <w:t xml:space="preserve">HIV</w:t>
      </w:r>
      <w:r>
        <w:t xml:space="preserve">-1 Dual Infection.”</w:t>
      </w:r>
      <w:r>
        <w:t xml:space="preserve"> </w:t>
      </w:r>
      <w:r>
        <w:rPr>
          <w:i/>
          <w:iCs/>
        </w:rPr>
        <w:t xml:space="preserve">AIDS</w:t>
      </w:r>
      <w:r>
        <w:t xml:space="preserve"> </w:t>
      </w:r>
      <w:r>
        <w:t xml:space="preserve">30 (17): 2591–97.</w:t>
      </w:r>
      <w:r>
        <w:t xml:space="preserve"> </w:t>
      </w:r>
      <w:hyperlink r:id="rId278">
        <w:r>
          <w:rPr>
            <w:rStyle w:val="Hyperlink"/>
          </w:rPr>
          <w:t xml:space="preserve">https://doi.org/10.1097/QAD.0000000000001237</w:t>
        </w:r>
      </w:hyperlink>
      <w:r>
        <w:t xml:space="preserve">.</w:t>
      </w:r>
    </w:p>
    <w:bookmarkEnd w:id="279"/>
    <w:bookmarkStart w:id="281" w:name="ref-wagner2014"/>
    <w:p>
      <w:pPr>
        <w:pStyle w:val="Bibliography"/>
      </w:pPr>
      <w:r>
        <w:t xml:space="preserve">Wagner, Gabriel A., Mary E. Pacold, Sergei L. Kosakovsky Pond, Gemma Caballero, Antoine Chaillon, Abby E. Rudolph, Sheldon R. Morris, Susan J. Little, Douglas D. Richman, and Davey M. Smith. 2014.</w:t>
      </w:r>
      <w:r>
        <w:t xml:space="preserve"> </w:t>
      </w:r>
      <w:r>
        <w:t xml:space="preserve">“Incidence and Prevalence of Intrasubtype</w:t>
      </w:r>
      <w:r>
        <w:t xml:space="preserve"> </w:t>
      </w:r>
      <w:r>
        <w:t xml:space="preserve">HIV</w:t>
      </w:r>
      <w:r>
        <w:t xml:space="preserve">-1 Dual Infection in at-Risk Men in the United States.”</w:t>
      </w:r>
      <w:r>
        <w:t xml:space="preserve"> </w:t>
      </w:r>
      <w:r>
        <w:rPr>
          <w:i/>
          <w:iCs/>
        </w:rPr>
        <w:t xml:space="preserve">The Journal of Infectious Diseases</w:t>
      </w:r>
      <w:r>
        <w:t xml:space="preserve"> </w:t>
      </w:r>
      <w:r>
        <w:t xml:space="preserve">209 (7): 1032–38.</w:t>
      </w:r>
      <w:r>
        <w:t xml:space="preserve"> </w:t>
      </w:r>
      <w:hyperlink r:id="rId280">
        <w:r>
          <w:rPr>
            <w:rStyle w:val="Hyperlink"/>
          </w:rPr>
          <w:t xml:space="preserve">https://doi.org/10.1093/infdis/jit633</w:t>
        </w:r>
      </w:hyperlink>
      <w:r>
        <w:t xml:space="preserve">.</w:t>
      </w:r>
    </w:p>
    <w:bookmarkEnd w:id="281"/>
    <w:bookmarkStart w:id="283" w:name="ref-wagner2013"/>
    <w:p>
      <w:pPr>
        <w:pStyle w:val="Bibliography"/>
      </w:pPr>
      <w:r>
        <w:t xml:space="preserve">Wagner, Gabriel A., Mary E. Pacold, Edgar Vigil, Gemma Caballero, Sheldon R. Morris, Sergei L. Kosakovsky Pond, Susan J. Little, Douglas D. Richman, Sara Gianella, and Davey M. Smith. 2013.</w:t>
      </w:r>
      <w:r>
        <w:t xml:space="preserve"> </w:t>
      </w:r>
      <w:r>
        <w:t xml:space="preserve">“Using Ultradeep Pyrosequencing to Study</w:t>
      </w:r>
      <w:r>
        <w:t xml:space="preserve"> </w:t>
      </w:r>
      <w:r>
        <w:t xml:space="preserve">HIV</w:t>
      </w:r>
      <w:r>
        <w:t xml:space="preserve">-1 Coreceptor Usage in Primary and Dual Infection.”</w:t>
      </w:r>
      <w:r>
        <w:t xml:space="preserve"> </w:t>
      </w:r>
      <w:r>
        <w:rPr>
          <w:i/>
          <w:iCs/>
        </w:rPr>
        <w:t xml:space="preserve">The Journal of Infectious Diseases</w:t>
      </w:r>
      <w:r>
        <w:t xml:space="preserve"> </w:t>
      </w:r>
      <w:r>
        <w:t xml:space="preserve">208 (2): 271–74.</w:t>
      </w:r>
      <w:r>
        <w:t xml:space="preserve"> </w:t>
      </w:r>
      <w:hyperlink r:id="rId282">
        <w:r>
          <w:rPr>
            <w:rStyle w:val="Hyperlink"/>
          </w:rPr>
          <w:t xml:space="preserve">https://doi.org/10.1093/infdis/jit168</w:t>
        </w:r>
      </w:hyperlink>
      <w:r>
        <w:t xml:space="preserve">.</w:t>
      </w:r>
    </w:p>
    <w:bookmarkEnd w:id="283"/>
    <w:bookmarkStart w:id="285" w:name="ref-wertheim2018"/>
    <w:p>
      <w:pPr>
        <w:pStyle w:val="Bibliography"/>
      </w:pPr>
      <w:r>
        <w:t xml:space="preserve">Wertheim, Joel O, Alexandra M Oster, Ben Murrell, Neeraja Saduvala, Walid Heneine, William M Switzer, and Jeffrey A Johnson. 2018.</w:t>
      </w:r>
      <w:r>
        <w:t xml:space="preserve"> </w:t>
      </w:r>
      <w:r>
        <w:t xml:space="preserve">“</w:t>
      </w:r>
      <w:r>
        <w:t xml:space="preserve">Maintenance and reappearance of extremely divergent intra-host HIV-1 variants</w:t>
      </w:r>
      <w:r>
        <w:t xml:space="preserve">.”</w:t>
      </w:r>
      <w:r>
        <w:t xml:space="preserve"> </w:t>
      </w:r>
      <w:r>
        <w:rPr>
          <w:i/>
          <w:iCs/>
        </w:rPr>
        <w:t xml:space="preserve">Virus Evolution</w:t>
      </w:r>
      <w:r>
        <w:t xml:space="preserve"> </w:t>
      </w:r>
      <w:r>
        <w:t xml:space="preserve">4 (2): vey030.</w:t>
      </w:r>
      <w:r>
        <w:t xml:space="preserve"> </w:t>
      </w:r>
      <w:hyperlink r:id="rId284">
        <w:r>
          <w:rPr>
            <w:rStyle w:val="Hyperlink"/>
          </w:rPr>
          <w:t xml:space="preserve">https://doi.org/10.1093/ve/vey030</w:t>
        </w:r>
      </w:hyperlink>
      <w:r>
        <w:t xml:space="preserve">.</w:t>
      </w:r>
    </w:p>
    <w:bookmarkEnd w:id="285"/>
    <w:bookmarkStart w:id="287" w:name="ref-wertheim2022"/>
    <w:p>
      <w:pPr>
        <w:pStyle w:val="Bibliography"/>
      </w:pPr>
      <w:r>
        <w:t xml:space="preserve">Wertheim, Joel O., Jade C. Wang, Mindy Leelawong, Darren P. Martin, Jennifer L. Havens, Moinuddin A. Chowdhury, Jonathan E. Pekar, et al. 2022.</w:t>
      </w:r>
      <w:r>
        <w:t xml:space="preserve"> </w:t>
      </w:r>
      <w:r>
        <w:t xml:space="preserve">“Detection of</w:t>
      </w:r>
      <w:r>
        <w:t xml:space="preserve"> </w:t>
      </w:r>
      <w:r>
        <w:t xml:space="preserve">SARS</w:t>
      </w:r>
      <w:r>
        <w:t xml:space="preserve">-</w:t>
      </w:r>
      <w:r>
        <w:t xml:space="preserve">CoV</w:t>
      </w:r>
      <w:r>
        <w:t xml:space="preserve">-2 Intra-Host Recombination During Superinfection with Alpha and Epsilon Variants in New York City.”</w:t>
      </w:r>
      <w:r>
        <w:t xml:space="preserve"> </w:t>
      </w:r>
      <w:r>
        <w:rPr>
          <w:i/>
          <w:iCs/>
        </w:rPr>
        <w:t xml:space="preserve">Nature Communications</w:t>
      </w:r>
      <w:r>
        <w:t xml:space="preserve"> </w:t>
      </w:r>
      <w:r>
        <w:t xml:space="preserve">13 (1): 3645.</w:t>
      </w:r>
      <w:r>
        <w:t xml:space="preserve"> </w:t>
      </w:r>
      <w:hyperlink r:id="rId286">
        <w:r>
          <w:rPr>
            <w:rStyle w:val="Hyperlink"/>
          </w:rPr>
          <w:t xml:space="preserve">https://doi.org/10.1038/s41467-022-31247-x</w:t>
        </w:r>
      </w:hyperlink>
      <w:r>
        <w:t xml:space="preserve">.</w:t>
      </w:r>
    </w:p>
    <w:bookmarkEnd w:id="287"/>
    <w:bookmarkStart w:id="289" w:name="ref-wickham2016"/>
    <w:p>
      <w:pPr>
        <w:pStyle w:val="Bibliography"/>
      </w:pPr>
      <w:r>
        <w:t xml:space="preserve">Wickham, Hadley. 2016.</w:t>
      </w:r>
      <w:r>
        <w:t xml:space="preserve"> </w:t>
      </w:r>
      <w:r>
        <w:rPr>
          <w:i/>
          <w:iCs/>
        </w:rPr>
        <w:t xml:space="preserve">Ggplot2: Elegant Graphics for Data Analysis</w:t>
      </w:r>
      <w:r>
        <w:t xml:space="preserve">. Springer-Verlag New York.</w:t>
      </w:r>
      <w:r>
        <w:t xml:space="preserve"> </w:t>
      </w:r>
      <w:hyperlink r:id="rId288">
        <w:r>
          <w:rPr>
            <w:rStyle w:val="Hyperlink"/>
          </w:rPr>
          <w:t xml:space="preserve">https://ggplot2.tidyverse.org</w:t>
        </w:r>
      </w:hyperlink>
      <w:r>
        <w:t xml:space="preserve">.</w:t>
      </w:r>
    </w:p>
    <w:bookmarkEnd w:id="289"/>
    <w:bookmarkStart w:id="291" w:name="ref-wickham2019"/>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iCs/>
        </w:rPr>
        <w:t xml:space="preserve">Journal of Open Source Software</w:t>
      </w:r>
      <w:r>
        <w:t xml:space="preserve"> </w:t>
      </w:r>
      <w:r>
        <w:t xml:space="preserve">4 (43): 1686.</w:t>
      </w:r>
      <w:r>
        <w:t xml:space="preserve"> </w:t>
      </w:r>
      <w:hyperlink r:id="rId290">
        <w:r>
          <w:rPr>
            <w:rStyle w:val="Hyperlink"/>
          </w:rPr>
          <w:t xml:space="preserve">https://doi.org/10.21105/joss.01686</w:t>
        </w:r>
      </w:hyperlink>
      <w:r>
        <w:t xml:space="preserve">.</w:t>
      </w:r>
    </w:p>
    <w:bookmarkEnd w:id="291"/>
    <w:bookmarkStart w:id="293" w:name="ref-wickham2023d"/>
    <w:p>
      <w:pPr>
        <w:pStyle w:val="Bibliography"/>
      </w:pPr>
      <w:r>
        <w:t xml:space="preserve">Wickham, Hadley, Romain François, Lionel Henry, Kirill Müller, and Davis Vaughan. 2023.</w:t>
      </w:r>
      <w:r>
        <w:t xml:space="preserve"> </w:t>
      </w:r>
      <w:r>
        <w:rPr>
          <w:i/>
          <w:iCs/>
        </w:rPr>
        <w:t xml:space="preserve">Dplyr: A Grammar of Data Manipulation</w:t>
      </w:r>
      <w:r>
        <w:t xml:space="preserve">.</w:t>
      </w:r>
      <w:r>
        <w:t xml:space="preserve"> </w:t>
      </w:r>
      <w:hyperlink r:id="rId292">
        <w:r>
          <w:rPr>
            <w:rStyle w:val="Hyperlink"/>
          </w:rPr>
          <w:t xml:space="preserve">https://CRAN.R-project.org/package=dplyr</w:t>
        </w:r>
      </w:hyperlink>
      <w:r>
        <w:t xml:space="preserve">.</w:t>
      </w:r>
    </w:p>
    <w:bookmarkEnd w:id="293"/>
    <w:bookmarkStart w:id="295" w:name="ref-wickham2023h"/>
    <w:p>
      <w:pPr>
        <w:pStyle w:val="Bibliography"/>
      </w:pPr>
      <w:r>
        <w:t xml:space="preserve">Wickham, Hadley, Evan Miller, and Danny Smith. 2023.</w:t>
      </w:r>
      <w:r>
        <w:t xml:space="preserve"> </w:t>
      </w:r>
      <w:r>
        <w:rPr>
          <w:i/>
          <w:iCs/>
        </w:rPr>
        <w:t xml:space="preserve">Haven: Import and Export ’SPSS’, ’Stata’ and ’SAS’ Files</w:t>
      </w:r>
      <w:r>
        <w:t xml:space="preserve">.</w:t>
      </w:r>
      <w:r>
        <w:t xml:space="preserve"> </w:t>
      </w:r>
      <w:hyperlink r:id="rId294">
        <w:r>
          <w:rPr>
            <w:rStyle w:val="Hyperlink"/>
          </w:rPr>
          <w:t xml:space="preserve">https://haven.tidyverse.org</w:t>
        </w:r>
      </w:hyperlink>
      <w:r>
        <w:t xml:space="preserve">.</w:t>
      </w:r>
    </w:p>
    <w:bookmarkEnd w:id="295"/>
    <w:bookmarkStart w:id="297" w:name="ref-wickham2024"/>
    <w:p>
      <w:pPr>
        <w:pStyle w:val="Bibliography"/>
      </w:pPr>
      <w:r>
        <w:t xml:space="preserve">Wickham, Hadley, Davis Vaughan, and Maximilian Girlich. 2024.</w:t>
      </w:r>
      <w:r>
        <w:t xml:space="preserve"> </w:t>
      </w:r>
      <w:r>
        <w:rPr>
          <w:i/>
          <w:iCs/>
        </w:rPr>
        <w:t xml:space="preserve">Tidyr: Tidy Messy Data</w:t>
      </w:r>
      <w:r>
        <w:t xml:space="preserve">.</w:t>
      </w:r>
      <w:r>
        <w:t xml:space="preserve"> </w:t>
      </w:r>
      <w:hyperlink r:id="rId296">
        <w:r>
          <w:rPr>
            <w:rStyle w:val="Hyperlink"/>
          </w:rPr>
          <w:t xml:space="preserve">https://CRAN.R-project.org/package=tidyr</w:t>
        </w:r>
      </w:hyperlink>
      <w:r>
        <w:t xml:space="preserve">.</w:t>
      </w:r>
    </w:p>
    <w:bookmarkEnd w:id="297"/>
    <w:bookmarkStart w:id="299" w:name="ref-wilke2024"/>
    <w:p>
      <w:pPr>
        <w:pStyle w:val="Bibliography"/>
      </w:pPr>
      <w:r>
        <w:t xml:space="preserve">Wilke, Claus O. 2024.</w:t>
      </w:r>
      <w:r>
        <w:t xml:space="preserve"> </w:t>
      </w:r>
      <w:r>
        <w:rPr>
          <w:i/>
          <w:iCs/>
        </w:rPr>
        <w:t xml:space="preserve">Cowplot: Streamlined Plot Theme and Plot Annotations for ’Ggplot2’</w:t>
      </w:r>
      <w:r>
        <w:t xml:space="preserve">.</w:t>
      </w:r>
      <w:r>
        <w:t xml:space="preserve"> </w:t>
      </w:r>
      <w:hyperlink r:id="rId298">
        <w:r>
          <w:rPr>
            <w:rStyle w:val="Hyperlink"/>
          </w:rPr>
          <w:t xml:space="preserve">https://wilkelab.org/cowplot/</w:t>
        </w:r>
      </w:hyperlink>
      <w:r>
        <w:t xml:space="preserve">.</w:t>
      </w:r>
    </w:p>
    <w:bookmarkEnd w:id="299"/>
    <w:bookmarkStart w:id="301" w:name="ref-wood2014"/>
    <w:p>
      <w:pPr>
        <w:pStyle w:val="Bibliography"/>
      </w:pPr>
      <w:r>
        <w:t xml:space="preserve">Wood, Derrick E., and Steven L. Salzberg. 2014.</w:t>
      </w:r>
      <w:r>
        <w:t xml:space="preserve"> </w:t>
      </w:r>
      <w:r>
        <w:t xml:space="preserve">“Kraken: Ultrafast Metagenomic Sequence Classification Using Exact Alignments.”</w:t>
      </w:r>
      <w:r>
        <w:t xml:space="preserve"> </w:t>
      </w:r>
      <w:r>
        <w:rPr>
          <w:i/>
          <w:iCs/>
        </w:rPr>
        <w:t xml:space="preserve">Genome Biology</w:t>
      </w:r>
      <w:r>
        <w:t xml:space="preserve"> </w:t>
      </w:r>
      <w:r>
        <w:t xml:space="preserve">15 (3).</w:t>
      </w:r>
      <w:r>
        <w:t xml:space="preserve"> </w:t>
      </w:r>
      <w:hyperlink r:id="rId300">
        <w:r>
          <w:rPr>
            <w:rStyle w:val="Hyperlink"/>
          </w:rPr>
          <w:t xml:space="preserve">https://doi.org/10.1186/gb-2014-15-3-r46</w:t>
        </w:r>
      </w:hyperlink>
      <w:r>
        <w:t xml:space="preserve">.</w:t>
      </w:r>
    </w:p>
    <w:bookmarkEnd w:id="301"/>
    <w:bookmarkStart w:id="303" w:name="ref-wymant2018"/>
    <w:p>
      <w:pPr>
        <w:pStyle w:val="Bibliography"/>
      </w:pPr>
      <w:r>
        <w:t xml:space="preserve">Wymant, Chris, François Blanquart, Tanya Golubchik, Astrid Gall, Margreet Bakker, Daniela Bezemer, Nicholas J Croucher, et al. 2018.</w:t>
      </w:r>
      <w:r>
        <w:t xml:space="preserve"> </w:t>
      </w:r>
      <w:r>
        <w:t xml:space="preserve">“Easy and Accurate Reconstruction of Whole</w:t>
      </w:r>
      <w:r>
        <w:t xml:space="preserve"> </w:t>
      </w:r>
      <w:r>
        <w:t xml:space="preserve">HIV</w:t>
      </w:r>
      <w:r>
        <w:t xml:space="preserve"> </w:t>
      </w:r>
      <w:r>
        <w:t xml:space="preserve">Genomes from Short-Read Sequence Data with Shiver.”</w:t>
      </w:r>
      <w:r>
        <w:t xml:space="preserve"> </w:t>
      </w:r>
      <w:r>
        <w:rPr>
          <w:i/>
          <w:iCs/>
        </w:rPr>
        <w:t xml:space="preserve">Virus Evolution</w:t>
      </w:r>
      <w:r>
        <w:t xml:space="preserve"> </w:t>
      </w:r>
      <w:r>
        <w:t xml:space="preserve">4 (1).</w:t>
      </w:r>
      <w:r>
        <w:t xml:space="preserve"> </w:t>
      </w:r>
      <w:hyperlink r:id="rId302">
        <w:r>
          <w:rPr>
            <w:rStyle w:val="Hyperlink"/>
          </w:rPr>
          <w:t xml:space="preserve">https://doi.org/10.1093/ve/vey007</w:t>
        </w:r>
      </w:hyperlink>
      <w:r>
        <w:t xml:space="preserve">.</w:t>
      </w:r>
    </w:p>
    <w:bookmarkEnd w:id="303"/>
    <w:bookmarkStart w:id="305" w:name="ref-wymant2017"/>
    <w:p>
      <w:pPr>
        <w:pStyle w:val="Bibliography"/>
      </w:pPr>
      <w:r>
        <w:t xml:space="preserve">Wymant, Chris, Matthew Hall, Oliver Ratmann, David Bonsall, Tanya Golubchik, Mariateresa De Cesare, Astrid Gall, Marion Cornelissen, Christophe Fraser, and Stop-hcv Consortium. 2017.</w:t>
      </w:r>
      <w:r>
        <w:t xml:space="preserve"> </w:t>
      </w:r>
      <w:r>
        <w:t xml:space="preserve">“</w:t>
      </w:r>
      <w:r>
        <w:t xml:space="preserve">PHYLOSCANNER</w:t>
      </w:r>
      <w:r>
        <w:t xml:space="preserve">:</w:t>
      </w:r>
      <w:r>
        <w:t xml:space="preserve"> </w:t>
      </w:r>
      <w:r>
        <w:t xml:space="preserve">Inferring</w:t>
      </w:r>
      <w:r>
        <w:t xml:space="preserve"> </w:t>
      </w:r>
      <w:r>
        <w:t xml:space="preserve">Transmission</w:t>
      </w:r>
      <w:r>
        <w:t xml:space="preserve"> </w:t>
      </w:r>
      <w:r>
        <w:t xml:space="preserve">from</w:t>
      </w:r>
      <w:r>
        <w:t xml:space="preserve"> </w:t>
      </w:r>
      <w:r>
        <w:t xml:space="preserve">Within</w:t>
      </w:r>
      <w:r>
        <w:t xml:space="preserve">- and</w:t>
      </w:r>
      <w:r>
        <w:t xml:space="preserve"> </w:t>
      </w:r>
      <w:r>
        <w:t xml:space="preserve">Between</w:t>
      </w:r>
      <w:r>
        <w:t xml:space="preserve">-</w:t>
      </w:r>
      <w:r>
        <w:t xml:space="preserve">Host</w:t>
      </w:r>
      <w:r>
        <w:t xml:space="preserve"> </w:t>
      </w:r>
      <w:r>
        <w:t xml:space="preserve">Pathogen</w:t>
      </w:r>
      <w:r>
        <w:t xml:space="preserve"> </w:t>
      </w:r>
      <w:r>
        <w:t xml:space="preserve">Genetic</w:t>
      </w:r>
      <w:r>
        <w:t xml:space="preserve"> </w:t>
      </w:r>
      <w:r>
        <w:t xml:space="preserve">Diversity</w:t>
      </w:r>
      <w:r>
        <w:t xml:space="preserve">.”</w:t>
      </w:r>
      <w:r>
        <w:t xml:space="preserve"> </w:t>
      </w:r>
      <w:r>
        <w:rPr>
          <w:i/>
          <w:iCs/>
        </w:rPr>
        <w:t xml:space="preserve">Molecular Biology And Evolution</w:t>
      </w:r>
      <w:r>
        <w:t xml:space="preserve"> </w:t>
      </w:r>
      <w:r>
        <w:t xml:space="preserve">35 (3): 719–33.</w:t>
      </w:r>
      <w:r>
        <w:t xml:space="preserve"> </w:t>
      </w:r>
      <w:hyperlink r:id="rId304">
        <w:r>
          <w:rPr>
            <w:rStyle w:val="Hyperlink"/>
          </w:rPr>
          <w:t xml:space="preserve">https://doi.org/10.1093/molbev/msx304</w:t>
        </w:r>
      </w:hyperlink>
      <w:r>
        <w:t xml:space="preserve">.</w:t>
      </w:r>
    </w:p>
    <w:bookmarkEnd w:id="305"/>
    <w:bookmarkStart w:id="307" w:name="ref-xi2021"/>
    <w:p>
      <w:pPr>
        <w:pStyle w:val="Bibliography"/>
      </w:pPr>
      <w:r>
        <w:t xml:space="preserve">Xi, Xiaoyue. 2021.</w:t>
      </w:r>
      <w:r>
        <w:t xml:space="preserve"> </w:t>
      </w:r>
      <w:r>
        <w:t xml:space="preserve">“Bayesian Methods for Source Attribution Using</w:t>
      </w:r>
      <w:r>
        <w:t xml:space="preserve"> </w:t>
      </w:r>
      <w:r>
        <w:t xml:space="preserve">HIV</w:t>
      </w:r>
      <w:r>
        <w:t xml:space="preserve"> </w:t>
      </w:r>
      <w:r>
        <w:t xml:space="preserve">Deep Sequence Data,”</w:t>
      </w:r>
      <w:r>
        <w:t xml:space="preserve"> </w:t>
      </w:r>
      <w:r>
        <w:t xml:space="preserve">December.</w:t>
      </w:r>
      <w:r>
        <w:t xml:space="preserve"> </w:t>
      </w:r>
      <w:hyperlink r:id="rId306">
        <w:r>
          <w:rPr>
            <w:rStyle w:val="Hyperlink"/>
          </w:rPr>
          <w:t xml:space="preserve">https://doi.org/10.25560/101957</w:t>
        </w:r>
      </w:hyperlink>
      <w:r>
        <w:t xml:space="preserve">.</w:t>
      </w:r>
    </w:p>
    <w:bookmarkEnd w:id="307"/>
    <w:bookmarkStart w:id="309" w:name="ref-xu2022"/>
    <w:p>
      <w:pPr>
        <w:pStyle w:val="Bibliography"/>
      </w:pPr>
      <w:r>
        <w:t xml:space="preserve">Xu, Shuangbin, Lin Li, Xiao Luo, Meijun Chen, Wenli Tang, Li Zhan, Zehan Dai, Tommy T. Lam, Yi Guan, and Guangchuang Yu. 2022.</w:t>
      </w:r>
      <w:r>
        <w:t xml:space="preserve"> </w:t>
      </w:r>
      <w:r>
        <w:t xml:space="preserve">“Ggtree: A Serialized Data Object for Visualization of a Phylogenetic Tree and Annotation Data.”</w:t>
      </w:r>
      <w:r>
        <w:t xml:space="preserve"> </w:t>
      </w:r>
      <w:r>
        <w:rPr>
          <w:i/>
          <w:iCs/>
        </w:rPr>
        <w:t xml:space="preserve">iMeta</w:t>
      </w:r>
      <w:r>
        <w:t xml:space="preserve"> </w:t>
      </w:r>
      <w:r>
        <w:t xml:space="preserve">1 (4): e56.</w:t>
      </w:r>
      <w:r>
        <w:t xml:space="preserve"> </w:t>
      </w:r>
      <w:hyperlink r:id="rId308">
        <w:r>
          <w:rPr>
            <w:rStyle w:val="Hyperlink"/>
          </w:rPr>
          <w:t xml:space="preserve">https://doi.org/10.1002/imt2.56</w:t>
        </w:r>
      </w:hyperlink>
      <w:r>
        <w:t xml:space="preserve">.</w:t>
      </w:r>
    </w:p>
    <w:bookmarkEnd w:id="309"/>
    <w:bookmarkStart w:id="311" w:name="ref-yu2020"/>
    <w:p>
      <w:pPr>
        <w:pStyle w:val="Bibliography"/>
      </w:pPr>
      <w:r>
        <w:t xml:space="preserve">Yu, Guangchuang. 2020.</w:t>
      </w:r>
      <w:r>
        <w:t xml:space="preserve"> </w:t>
      </w:r>
      <w:r>
        <w:t xml:space="preserve">“Using Ggtree to Visualize Data on Tree-Like Structures.”</w:t>
      </w:r>
      <w:r>
        <w:t xml:space="preserve"> </w:t>
      </w:r>
      <w:r>
        <w:rPr>
          <w:i/>
          <w:iCs/>
        </w:rPr>
        <w:t xml:space="preserve">Current Protocols in Bioinformatics</w:t>
      </w:r>
      <w:r>
        <w:t xml:space="preserve"> </w:t>
      </w:r>
      <w:r>
        <w:t xml:space="preserve">69 (1): e96.</w:t>
      </w:r>
      <w:r>
        <w:t xml:space="preserve"> </w:t>
      </w:r>
      <w:hyperlink r:id="rId310">
        <w:r>
          <w:rPr>
            <w:rStyle w:val="Hyperlink"/>
          </w:rPr>
          <w:t xml:space="preserve">https://doi.org/10.1002/cpbi.96</w:t>
        </w:r>
      </w:hyperlink>
      <w:r>
        <w:t xml:space="preserve">.</w:t>
      </w:r>
    </w:p>
    <w:bookmarkEnd w:id="311"/>
    <w:bookmarkStart w:id="313" w:name="ref-yu2022"/>
    <w:p>
      <w:pPr>
        <w:pStyle w:val="Bibliography"/>
      </w:pPr>
      <w:r>
        <w:t xml:space="preserve">———. 2022.</w:t>
      </w:r>
      <w:r>
        <w:t xml:space="preserve"> </w:t>
      </w:r>
      <w:r>
        <w:rPr>
          <w:i/>
          <w:iCs/>
        </w:rPr>
        <w:t xml:space="preserve">Data Integration, Manipulation and Visualization of Phylogenetic Treess</w:t>
      </w:r>
      <w:r>
        <w:t xml:space="preserve">. 1st edition. Chapman; Hall/</w:t>
      </w:r>
      <w:r>
        <w:t xml:space="preserve">CRC</w:t>
      </w:r>
      <w:r>
        <w:t xml:space="preserve">.</w:t>
      </w:r>
      <w:r>
        <w:t xml:space="preserve"> </w:t>
      </w:r>
      <w:hyperlink r:id="rId312">
        <w:r>
          <w:rPr>
            <w:rStyle w:val="Hyperlink"/>
          </w:rPr>
          <w:t xml:space="preserve">https://doi.org/10.1201/9781003279242</w:t>
        </w:r>
      </w:hyperlink>
      <w:r>
        <w:t xml:space="preserve">.</w:t>
      </w:r>
    </w:p>
    <w:bookmarkEnd w:id="313"/>
    <w:bookmarkStart w:id="315" w:name="ref-yu2018"/>
    <w:p>
      <w:pPr>
        <w:pStyle w:val="Bibliography"/>
      </w:pPr>
      <w:r>
        <w:t xml:space="preserve">Yu, Guangchuang, Tommy Tsan-Yuk Lam, Huachen Zhu, and Yi Guan. 2018.</w:t>
      </w:r>
      <w:r>
        <w:t xml:space="preserve"> </w:t>
      </w:r>
      <w:r>
        <w:t xml:space="preserve">“Two Methods for Mapping and Visualizing Associated Data on Phylogeny Using Ggtree.”</w:t>
      </w:r>
      <w:r>
        <w:t xml:space="preserve"> </w:t>
      </w:r>
      <w:r>
        <w:rPr>
          <w:i/>
          <w:iCs/>
        </w:rPr>
        <w:t xml:space="preserve">Molecular Biology and Evolution</w:t>
      </w:r>
      <w:r>
        <w:t xml:space="preserve"> </w:t>
      </w:r>
      <w:r>
        <w:t xml:space="preserve">35: 3041–43.</w:t>
      </w:r>
      <w:r>
        <w:t xml:space="preserve"> </w:t>
      </w:r>
      <w:hyperlink r:id="rId314">
        <w:r>
          <w:rPr>
            <w:rStyle w:val="Hyperlink"/>
          </w:rPr>
          <w:t xml:space="preserve">https://doi.org/10.1093/molbev/msy194</w:t>
        </w:r>
      </w:hyperlink>
      <w:r>
        <w:t xml:space="preserve">.</w:t>
      </w:r>
    </w:p>
    <w:bookmarkEnd w:id="315"/>
    <w:bookmarkStart w:id="317" w:name="ref-yu2017"/>
    <w:p>
      <w:pPr>
        <w:pStyle w:val="Bibliography"/>
      </w:pPr>
      <w:r>
        <w:t xml:space="preserve">Yu, Guangchuang, David Smith, Huachen Zhu, Yi Guan, and Tommy Tsan-Yuk Lam. 2017.</w:t>
      </w:r>
      <w:r>
        <w:t xml:space="preserve"> </w:t>
      </w:r>
      <w:r>
        <w:t xml:space="preserve">“Ggtree: An r Package for Visualization and Annotation of Phylogenetic Trees with Their Covariates and Other Associated Data.”</w:t>
      </w:r>
      <w:r>
        <w:t xml:space="preserve"> </w:t>
      </w:r>
      <w:r>
        <w:rPr>
          <w:i/>
          <w:iCs/>
        </w:rPr>
        <w:t xml:space="preserve">Methods in Ecology and Evolution</w:t>
      </w:r>
      <w:r>
        <w:t xml:space="preserve"> </w:t>
      </w:r>
      <w:r>
        <w:t xml:space="preserve">8: 28–36.</w:t>
      </w:r>
      <w:r>
        <w:t xml:space="preserve"> </w:t>
      </w:r>
      <w:hyperlink r:id="rId316">
        <w:r>
          <w:rPr>
            <w:rStyle w:val="Hyperlink"/>
          </w:rPr>
          <w:t xml:space="preserve">https://doi.org/10.1111/2041-210X.12628</w:t>
        </w:r>
      </w:hyperlink>
      <w:r>
        <w:t xml:space="preserve">.</w:t>
      </w:r>
    </w:p>
    <w:bookmarkEnd w:id="317"/>
    <w:bookmarkStart w:id="319" w:name="ref-yuan2024"/>
    <w:p>
      <w:pPr>
        <w:pStyle w:val="Bibliography"/>
      </w:pPr>
      <w:r>
        <w:t xml:space="preserve">Yuan, Defu, Fei Zhao, Shanshan Liu, Yangyang Liu, Hongxia Yan, Lifeng Liu, Bin Su, and Bei Wang. 2024.</w:t>
      </w:r>
      <w:r>
        <w:t xml:space="preserve"> </w:t>
      </w:r>
      <w:r>
        <w:t xml:space="preserve">“Dual Infection of Different Clusters of</w:t>
      </w:r>
      <w:r>
        <w:t xml:space="preserve"> </w:t>
      </w:r>
      <w:r>
        <w:t xml:space="preserve">HIV</w:t>
      </w:r>
      <w:r>
        <w:t xml:space="preserve"> </w:t>
      </w:r>
      <w:r>
        <w:t xml:space="preserve">in People Living with</w:t>
      </w:r>
      <w:r>
        <w:t xml:space="preserve"> </w:t>
      </w:r>
      <w:r>
        <w:t xml:space="preserve">HIV</w:t>
      </w:r>
      <w:r>
        <w:t xml:space="preserve"> </w:t>
      </w:r>
      <w:r>
        <w:t xml:space="preserve">Worldwide: A Meta-Analysis Based on Next-Generation Sequencing Studies.”</w:t>
      </w:r>
      <w:r>
        <w:t xml:space="preserve"> </w:t>
      </w:r>
      <w:r>
        <w:rPr>
          <w:i/>
          <w:iCs/>
        </w:rPr>
        <w:t xml:space="preserve">AIDS</w:t>
      </w:r>
      <w:r>
        <w:rPr>
          <w:i/>
          <w:iCs/>
        </w:rPr>
        <w:t xml:space="preserve"> </w:t>
      </w:r>
      <w:r>
        <w:rPr>
          <w:i/>
          <w:iCs/>
        </w:rPr>
        <w:t xml:space="preserve">Patient Care and</w:t>
      </w:r>
      <w:r>
        <w:rPr>
          <w:i/>
          <w:iCs/>
        </w:rPr>
        <w:t xml:space="preserve"> </w:t>
      </w:r>
      <w:r>
        <w:rPr>
          <w:i/>
          <w:iCs/>
        </w:rPr>
        <w:t xml:space="preserve">STDs</w:t>
      </w:r>
      <w:r>
        <w:t xml:space="preserve">, July, apc.2024.0100.</w:t>
      </w:r>
      <w:r>
        <w:t xml:space="preserve"> </w:t>
      </w:r>
      <w:hyperlink r:id="rId318">
        <w:r>
          <w:rPr>
            <w:rStyle w:val="Hyperlink"/>
          </w:rPr>
          <w:t xml:space="preserve">https://doi.org/10.1089/apc.2024.0100</w:t>
        </w:r>
      </w:hyperlink>
      <w:r>
        <w:t xml:space="preserve">.</w:t>
      </w:r>
    </w:p>
    <w:bookmarkEnd w:id="319"/>
    <w:bookmarkEnd w:id="320"/>
    <w:bookmarkEnd w:id="3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0" Target="http://jmlr.org/papers/v15/hoffman14a.html" TargetMode="External" /><Relationship Type="http://schemas.openxmlformats.org/officeDocument/2006/relationships/hyperlink" Id="rId25" Target="http://www.hiv.lanl.gov" TargetMode="External" /><Relationship Type="http://schemas.openxmlformats.org/officeDocument/2006/relationships/hyperlink" Id="rId188" Target="https://CRAN.R-project.org/package=HDInterval" TargetMode="External" /><Relationship Type="http://schemas.openxmlformats.org/officeDocument/2006/relationships/hyperlink" Id="rId292" Target="https://CRAN.R-project.org/package=dplyr" TargetMode="External" /><Relationship Type="http://schemas.openxmlformats.org/officeDocument/2006/relationships/hyperlink" Id="rId194" Target="https://CRAN.R-project.org/package=tibble" TargetMode="External" /><Relationship Type="http://schemas.openxmlformats.org/officeDocument/2006/relationships/hyperlink" Id="rId296" Target="https://CRAN.R-project.org/package=tidyr" TargetMode="External" /><Relationship Type="http://schemas.openxmlformats.org/officeDocument/2006/relationships/hyperlink" Id="rId258" Target="https://doi.org/10.1001/jama.292.10.1177" TargetMode="External" /><Relationship Type="http://schemas.openxmlformats.org/officeDocument/2006/relationships/hyperlink" Id="rId310" Target="https://doi.org/10.1002/cpbi.96" TargetMode="External" /><Relationship Type="http://schemas.openxmlformats.org/officeDocument/2006/relationships/hyperlink" Id="rId308" Target="https://doi.org/10.1002/imt2.56" TargetMode="External" /><Relationship Type="http://schemas.openxmlformats.org/officeDocument/2006/relationships/hyperlink" Id="rId156" Target="https://doi.org/10.1016/S0140-6736(04)15596-7" TargetMode="External" /><Relationship Type="http://schemas.openxmlformats.org/officeDocument/2006/relationships/hyperlink" Id="rId242" Target="https://doi.org/10.1016/S1473-3099(13)70066-5" TargetMode="External" /><Relationship Type="http://schemas.openxmlformats.org/officeDocument/2006/relationships/hyperlink" Id="rId218" Target="https://doi.org/10.1016/S1473-3099(15)70036-8" TargetMode="External" /><Relationship Type="http://schemas.openxmlformats.org/officeDocument/2006/relationships/hyperlink" Id="rId120" Target="https://doi.org/10.1016/S2352-3018(16)30034-0" TargetMode="External" /><Relationship Type="http://schemas.openxmlformats.org/officeDocument/2006/relationships/hyperlink" Id="rId164" Target="https://doi.org/10.1016/S2352-3018(19)30190-0" TargetMode="External" /><Relationship Type="http://schemas.openxmlformats.org/officeDocument/2006/relationships/hyperlink" Id="rId234" Target="https://doi.org/10.1016/S2352-3018(19)30378-9" TargetMode="External" /><Relationship Type="http://schemas.openxmlformats.org/officeDocument/2006/relationships/hyperlink" Id="rId272" Target="https://doi.org/10.1016/j.jhep.2009.05.027" TargetMode="External" /><Relationship Type="http://schemas.openxmlformats.org/officeDocument/2006/relationships/hyperlink" Id="rId226" Target="https://doi.org/10.1016/j.jviromet.2010.02.016" TargetMode="External" /><Relationship Type="http://schemas.openxmlformats.org/officeDocument/2006/relationships/hyperlink" Id="rId142" Target="https://doi.org/10.1016/j.meegid.2020.104277" TargetMode="External" /><Relationship Type="http://schemas.openxmlformats.org/officeDocument/2006/relationships/hyperlink" Id="rId230" Target="https://doi.org/10.1016/j.virusres.2008.01.007" TargetMode="External" /><Relationship Type="http://schemas.openxmlformats.org/officeDocument/2006/relationships/hyperlink" Id="rId162" Target="https://doi.org/10.1038/nm.3932" TargetMode="External" /><Relationship Type="http://schemas.openxmlformats.org/officeDocument/2006/relationships/hyperlink" Id="rId126" Target="https://doi.org/10.1038/nm0310-268" TargetMode="External" /><Relationship Type="http://schemas.openxmlformats.org/officeDocument/2006/relationships/hyperlink" Id="rId228" Target="https://doi.org/10.1038/nrg1246" TargetMode="External" /><Relationship Type="http://schemas.openxmlformats.org/officeDocument/2006/relationships/hyperlink" Id="rId130" Target="https://doi.org/10.1038/nrgastro.2015.36" TargetMode="External" /><Relationship Type="http://schemas.openxmlformats.org/officeDocument/2006/relationships/hyperlink" Id="rId264" Target="https://doi.org/10.1038/s41467-018-04217-5" TargetMode="External" /><Relationship Type="http://schemas.openxmlformats.org/officeDocument/2006/relationships/hyperlink" Id="rId232" Target="https://doi.org/10.1038/s41467-019-09139-4" TargetMode="External" /><Relationship Type="http://schemas.openxmlformats.org/officeDocument/2006/relationships/hyperlink" Id="rId168" Target="https://doi.org/10.1038/s41467-020-14636-y" TargetMode="External" /><Relationship Type="http://schemas.openxmlformats.org/officeDocument/2006/relationships/hyperlink" Id="rId286" Target="https://doi.org/10.1038/s41467-022-31247-x" TargetMode="External" /><Relationship Type="http://schemas.openxmlformats.org/officeDocument/2006/relationships/hyperlink" Id="rId192" Target="https://doi.org/10.1038/s41564-023-01530-8" TargetMode="External" /><Relationship Type="http://schemas.openxmlformats.org/officeDocument/2006/relationships/hyperlink" Id="rId140" Target="https://doi.org/10.1038/s41586-019-1200-9" TargetMode="External" /><Relationship Type="http://schemas.openxmlformats.org/officeDocument/2006/relationships/hyperlink" Id="rId222" Target="https://doi.org/10.1056/NEJM200003303421303" TargetMode="External" /><Relationship Type="http://schemas.openxmlformats.org/officeDocument/2006/relationships/hyperlink" Id="rId158" Target="https://doi.org/10.1056/NEJMoa1702150" TargetMode="External" /><Relationship Type="http://schemas.openxmlformats.org/officeDocument/2006/relationships/hyperlink" Id="rId144" Target="https://doi.org/10.1073/pnas.0708559104" TargetMode="External" /><Relationship Type="http://schemas.openxmlformats.org/officeDocument/2006/relationships/hyperlink" Id="rId172" Target="https://doi.org/10.1073/pnas.0802203105" TargetMode="External" /><Relationship Type="http://schemas.openxmlformats.org/officeDocument/2006/relationships/hyperlink" Id="rId268" Target="https://doi.org/10.1084/jem.20080281" TargetMode="External" /><Relationship Type="http://schemas.openxmlformats.org/officeDocument/2006/relationships/hyperlink" Id="rId180" Target="https://doi.org/10.1086/597356" TargetMode="External" /><Relationship Type="http://schemas.openxmlformats.org/officeDocument/2006/relationships/hyperlink" Id="rId214" Target="https://doi.org/10.1089/aid.2008.0100" TargetMode="External" /><Relationship Type="http://schemas.openxmlformats.org/officeDocument/2006/relationships/hyperlink" Id="rId184" Target="https://doi.org/10.1089/aid.2008.0219" TargetMode="External" /><Relationship Type="http://schemas.openxmlformats.org/officeDocument/2006/relationships/hyperlink" Id="rId202" Target="https://doi.org/10.1089/aid.2010.0042" TargetMode="External" /><Relationship Type="http://schemas.openxmlformats.org/officeDocument/2006/relationships/hyperlink" Id="rId236" Target="https://doi.org/10.1089/aid.2017.0061" TargetMode="External" /><Relationship Type="http://schemas.openxmlformats.org/officeDocument/2006/relationships/hyperlink" Id="rId318" Target="https://doi.org/10.1089/apc.2024.0100" TargetMode="External" /><Relationship Type="http://schemas.openxmlformats.org/officeDocument/2006/relationships/hyperlink" Id="rId106" Target="https://doi.org/10.1089/cmb.2012.0021" TargetMode="External" /><Relationship Type="http://schemas.openxmlformats.org/officeDocument/2006/relationships/hyperlink" Id="rId110" Target="https://doi.org/10.1093/bioinformatics/btu170" TargetMode="External" /><Relationship Type="http://schemas.openxmlformats.org/officeDocument/2006/relationships/hyperlink" Id="rId206" Target="https://doi.org/10.1093/bioinformatics/bty633" TargetMode="External" /><Relationship Type="http://schemas.openxmlformats.org/officeDocument/2006/relationships/hyperlink" Id="rId122" Target="https://doi.org/10.1093/infdis/jiac166" TargetMode="External" /><Relationship Type="http://schemas.openxmlformats.org/officeDocument/2006/relationships/hyperlink" Id="rId240" Target="https://doi.org/10.1093/infdis/jis325" TargetMode="External" /><Relationship Type="http://schemas.openxmlformats.org/officeDocument/2006/relationships/hyperlink" Id="rId282" Target="https://doi.org/10.1093/infdis/jit168" TargetMode="External" /><Relationship Type="http://schemas.openxmlformats.org/officeDocument/2006/relationships/hyperlink" Id="rId280" Target="https://doi.org/10.1093/infdis/jit633" TargetMode="External" /><Relationship Type="http://schemas.openxmlformats.org/officeDocument/2006/relationships/hyperlink" Id="rId190" Target="https://doi.org/10.1093/molbev/msaa015" TargetMode="External" /><Relationship Type="http://schemas.openxmlformats.org/officeDocument/2006/relationships/hyperlink" Id="rId196" Target="https://doi.org/10.1093/molbev/msu300" TargetMode="External" /><Relationship Type="http://schemas.openxmlformats.org/officeDocument/2006/relationships/hyperlink" Id="rId304" Target="https://doi.org/10.1093/molbev/msx304" TargetMode="External" /><Relationship Type="http://schemas.openxmlformats.org/officeDocument/2006/relationships/hyperlink" Id="rId314" Target="https://doi.org/10.1093/molbev/msy194" TargetMode="External" /><Relationship Type="http://schemas.openxmlformats.org/officeDocument/2006/relationships/hyperlink" Id="rId170" Target="https://doi.org/10.1093/nar/gkf436" TargetMode="External" /><Relationship Type="http://schemas.openxmlformats.org/officeDocument/2006/relationships/hyperlink" Id="rId210" Target="https://doi.org/10.1093/ve/vex029" TargetMode="External" /><Relationship Type="http://schemas.openxmlformats.org/officeDocument/2006/relationships/hyperlink" Id="rId302" Target="https://doi.org/10.1093/ve/vey007" TargetMode="External" /><Relationship Type="http://schemas.openxmlformats.org/officeDocument/2006/relationships/hyperlink" Id="rId284" Target="https://doi.org/10.1093/ve/vey030" TargetMode="External" /><Relationship Type="http://schemas.openxmlformats.org/officeDocument/2006/relationships/hyperlink" Id="rId100" Target="https://doi.org/10.1097/COH.0000000000000542" TargetMode="External" /><Relationship Type="http://schemas.openxmlformats.org/officeDocument/2006/relationships/hyperlink" Id="rId208" Target="https://doi.org/10.1097/QAD.0000000000000298" TargetMode="External" /><Relationship Type="http://schemas.openxmlformats.org/officeDocument/2006/relationships/hyperlink" Id="rId244" Target="https://doi.org/10.1097/QAD.0000000000000365" TargetMode="External" /><Relationship Type="http://schemas.openxmlformats.org/officeDocument/2006/relationships/hyperlink" Id="rId252" Target="https://doi.org/10.1097/QAD.0000000000000422" TargetMode="External" /><Relationship Type="http://schemas.openxmlformats.org/officeDocument/2006/relationships/hyperlink" Id="rId278" Target="https://doi.org/10.1097/QAD.0000000000001237" TargetMode="External" /><Relationship Type="http://schemas.openxmlformats.org/officeDocument/2006/relationships/hyperlink" Id="rId276" Target="https://doi.org/10.1097/QAD.0000000000001445" TargetMode="External" /><Relationship Type="http://schemas.openxmlformats.org/officeDocument/2006/relationships/hyperlink" Id="rId128" Target="https://doi.org/10.1097/QAD.0b013e3280f3c08a" TargetMode="External" /><Relationship Type="http://schemas.openxmlformats.org/officeDocument/2006/relationships/hyperlink" Id="rId178" Target="https://doi.org/10.1097/QAD.0b013e328330cc08" TargetMode="External" /><Relationship Type="http://schemas.openxmlformats.org/officeDocument/2006/relationships/hyperlink" Id="rId200" Target="https://doi.org/10.1097/QAD.0b013e32834dcd26" TargetMode="External" /><Relationship Type="http://schemas.openxmlformats.org/officeDocument/2006/relationships/hyperlink" Id="rId146" Target="https://doi.org/10.1099/mgen.0.000607" TargetMode="External" /><Relationship Type="http://schemas.openxmlformats.org/officeDocument/2006/relationships/hyperlink" Id="rId138" Target="https://doi.org/10.1099/mgen.0.000751" TargetMode="External" /><Relationship Type="http://schemas.openxmlformats.org/officeDocument/2006/relationships/hyperlink" Id="rId186" Target="https://doi.org/10.1101/2023.10.14.23297021" TargetMode="External" /><Relationship Type="http://schemas.openxmlformats.org/officeDocument/2006/relationships/hyperlink" Id="rId176" Target="https://doi.org/10.1101/2024.03.14.24303990" TargetMode="External" /><Relationship Type="http://schemas.openxmlformats.org/officeDocument/2006/relationships/hyperlink" Id="rId114" Target="https://doi.org/10.1101/2024.04.21.24306145" TargetMode="External" /><Relationship Type="http://schemas.openxmlformats.org/officeDocument/2006/relationships/hyperlink" Id="rId260" Target="https://doi.org/10.1101/2024.04.26.591283" TargetMode="External" /><Relationship Type="http://schemas.openxmlformats.org/officeDocument/2006/relationships/hyperlink" Id="rId198" Target="https://doi.org/10.1101/gr.213959.116" TargetMode="External" /><Relationship Type="http://schemas.openxmlformats.org/officeDocument/2006/relationships/hyperlink" Id="rId316" Target="https://doi.org/10.1111/2041-210X.12628" TargetMode="External" /><Relationship Type="http://schemas.openxmlformats.org/officeDocument/2006/relationships/hyperlink" Id="rId151" Target="https://doi.org/10.1111/rssa.12378" TargetMode="External" /><Relationship Type="http://schemas.openxmlformats.org/officeDocument/2006/relationships/hyperlink" Id="rId124" Target="https://doi.org/10.1128/CMR.00021-12" TargetMode="External" /><Relationship Type="http://schemas.openxmlformats.org/officeDocument/2006/relationships/hyperlink" Id="rId112" Target="https://doi.org/10.1128/JCM.00382-20" TargetMode="External" /><Relationship Type="http://schemas.openxmlformats.org/officeDocument/2006/relationships/hyperlink" Id="rId153" Target="https://doi.org/10.1128/JCM.01516-12" TargetMode="External" /><Relationship Type="http://schemas.openxmlformats.org/officeDocument/2006/relationships/hyperlink" Id="rId102" Target="https://doi.org/10.1128/JVI.02132-08" TargetMode="External" /><Relationship Type="http://schemas.openxmlformats.org/officeDocument/2006/relationships/hyperlink" Id="rId238" Target="https://doi.org/10.1128/jcm.00804-11" TargetMode="External" /><Relationship Type="http://schemas.openxmlformats.org/officeDocument/2006/relationships/hyperlink" Id="rId270" Target="https://doi.org/10.1136/sti.2008.033985" TargetMode="External" /><Relationship Type="http://schemas.openxmlformats.org/officeDocument/2006/relationships/hyperlink" Id="rId254" Target="https://doi.org/10.1137/0128004" TargetMode="External" /><Relationship Type="http://schemas.openxmlformats.org/officeDocument/2006/relationships/hyperlink" Id="rId300" Target="https://doi.org/10.1186/gb-2014-15-3-r46" TargetMode="External" /><Relationship Type="http://schemas.openxmlformats.org/officeDocument/2006/relationships/hyperlink" Id="rId262" Target="https://doi.org/10.1186/s12864-018-4988-z" TargetMode="External" /><Relationship Type="http://schemas.openxmlformats.org/officeDocument/2006/relationships/hyperlink" Id="rId104" Target="https://doi.org/10.1186/s12864-020-6486-3" TargetMode="External" /><Relationship Type="http://schemas.openxmlformats.org/officeDocument/2006/relationships/hyperlink" Id="rId132" Target="https://doi.org/10.1186/s12889-020-08838-8" TargetMode="External" /><Relationship Type="http://schemas.openxmlformats.org/officeDocument/2006/relationships/hyperlink" Id="rId248" Target="https://doi.org/10.1186/s12977-014-0069-9" TargetMode="External" /><Relationship Type="http://schemas.openxmlformats.org/officeDocument/2006/relationships/hyperlink" Id="rId136" Target="https://doi.org/10.1186/s12977-018-0461-y" TargetMode="External" /><Relationship Type="http://schemas.openxmlformats.org/officeDocument/2006/relationships/hyperlink" Id="rId312" Target="https://doi.org/10.1201/9781003279242" TargetMode="External" /><Relationship Type="http://schemas.openxmlformats.org/officeDocument/2006/relationships/hyperlink" Id="rId216" Target="https://doi.org/10.1214/17-EJS1337SI" TargetMode="External" /><Relationship Type="http://schemas.openxmlformats.org/officeDocument/2006/relationships/hyperlink" Id="rId274" Target="https://doi.org/10.1214/20-BA1221" TargetMode="External" /><Relationship Type="http://schemas.openxmlformats.org/officeDocument/2006/relationships/hyperlink" Id="rId166" Target="https://doi.org/10.1258/ijsa.2009.009352" TargetMode="External" /><Relationship Type="http://schemas.openxmlformats.org/officeDocument/2006/relationships/hyperlink" Id="rId220" Target="https://doi.org/10.1371/journal.pgph.0002891" TargetMode="External" /><Relationship Type="http://schemas.openxmlformats.org/officeDocument/2006/relationships/hyperlink" Id="rId182" Target="https://doi.org/10.1371/journal.ppat.1000890" TargetMode="External" /><Relationship Type="http://schemas.openxmlformats.org/officeDocument/2006/relationships/hyperlink" Id="rId250" Target="https://doi.org/10.1371/journal.ppat.1003593" TargetMode="External" /><Relationship Type="http://schemas.openxmlformats.org/officeDocument/2006/relationships/hyperlink" Id="rId174" Target="https://doi.org/10.1371/journal.ppat.1006510" TargetMode="External" /><Relationship Type="http://schemas.openxmlformats.org/officeDocument/2006/relationships/hyperlink" Id="rId256" Target="https://doi.org/10.1534/genetics.103.023382" TargetMode="External" /><Relationship Type="http://schemas.openxmlformats.org/officeDocument/2006/relationships/hyperlink" Id="rId134" Target="https://doi.org/10.18637/jss.v064.i04" TargetMode="External" /><Relationship Type="http://schemas.openxmlformats.org/officeDocument/2006/relationships/hyperlink" Id="rId290" Target="https://doi.org/10.21105/joss.01686" TargetMode="External" /><Relationship Type="http://schemas.openxmlformats.org/officeDocument/2006/relationships/hyperlink" Id="rId306" Target="https://doi.org/10.25560/101957" TargetMode="External" /><Relationship Type="http://schemas.openxmlformats.org/officeDocument/2006/relationships/hyperlink" Id="rId108" Target="https://doi.org/10.48550/ARXIV.1312.0906" TargetMode="External" /><Relationship Type="http://schemas.openxmlformats.org/officeDocument/2006/relationships/hyperlink" Id="rId44" Target="https://doi.org/10.5281/zenodo.10075814" TargetMode="External" /><Relationship Type="http://schemas.openxmlformats.org/officeDocument/2006/relationships/hyperlink" Id="rId204" Target="https://doi.org/10.5281/zenodo.10793873" TargetMode="External" /><Relationship Type="http://schemas.openxmlformats.org/officeDocument/2006/relationships/hyperlink" Id="rId246" Target="https://doi.org/10.7717/peerj.16505" TargetMode="External" /><Relationship Type="http://schemas.openxmlformats.org/officeDocument/2006/relationships/hyperlink" Id="rId288" Target="https://ggplot2.tidyverse.org" TargetMode="External" /><Relationship Type="http://schemas.openxmlformats.org/officeDocument/2006/relationships/hyperlink" Id="rId45" Target="https://github.com/PANGEA-HIV/PANGEA-Sequences" TargetMode="External" /><Relationship Type="http://schemas.openxmlformats.org/officeDocument/2006/relationships/hyperlink" Id="rId43" Target="https://github.com/m-a-martin/rccs_hiv_moi" TargetMode="External" /><Relationship Type="http://schemas.openxmlformats.org/officeDocument/2006/relationships/hyperlink" Id="rId294" Target="https://haven.tidyverse.org" TargetMode="External" /><Relationship Type="http://schemas.openxmlformats.org/officeDocument/2006/relationships/hyperlink" Id="rId266" Target="https://mc-stan.org" TargetMode="External" /><Relationship Type="http://schemas.openxmlformats.org/officeDocument/2006/relationships/hyperlink" Id="rId149" Target="https://mc-stan.org/bayesplot/" TargetMode="External" /><Relationship Type="http://schemas.openxmlformats.org/officeDocument/2006/relationships/hyperlink" Id="rId116" Target="https://mc-stan.org/posterior/" TargetMode="External" /><Relationship Type="http://schemas.openxmlformats.org/officeDocument/2006/relationships/hyperlink" Id="rId212" Target="https://patchwork.data-imaginist.com" TargetMode="External" /><Relationship Type="http://schemas.openxmlformats.org/officeDocument/2006/relationships/hyperlink" Id="rId118" Target="https://proceedings.mlr.press/v5/carvalho09a.html" TargetMode="External" /><Relationship Type="http://schemas.openxmlformats.org/officeDocument/2006/relationships/hyperlink" Id="rId298" Target="https://wilkelab.org/cowplot/" TargetMode="External" /><Relationship Type="http://schemas.openxmlformats.org/officeDocument/2006/relationships/hyperlink" Id="rId224" Target="https://www.R-project.org/" TargetMode="External" /><Relationship Type="http://schemas.openxmlformats.org/officeDocument/2006/relationships/hyperlink" Id="rId46" Target="https://www.pangea-hiv.org/join-us" TargetMode="External" /><Relationship Type="http://schemas.openxmlformats.org/officeDocument/2006/relationships/hyperlink" Id="rId49" Target="mailto:gkigozi@rhsp.org" TargetMode="External" /><Relationship Type="http://schemas.openxmlformats.org/officeDocument/2006/relationships/hyperlink" Id="rId48" Target="mailto:info@rhsp.org" TargetMode="External" /><Relationship Type="http://schemas.openxmlformats.org/officeDocument/2006/relationships/hyperlink" Id="rId47" Target="mailto:lucie.abeler-dorner@ndm.ox.ac.uk" TargetMode="External" /></Relationships>
</file>

<file path=word/_rels/footnotes.xml.rels><?xml version="1.0" encoding="UTF-8"?><Relationships xmlns="http://schemas.openxmlformats.org/package/2006/relationships"><Relationship Type="http://schemas.openxmlformats.org/officeDocument/2006/relationships/hyperlink" Id="rId160" Target="http://jmlr.org/papers/v15/hoffman14a.html" TargetMode="External" /><Relationship Type="http://schemas.openxmlformats.org/officeDocument/2006/relationships/hyperlink" Id="rId25" Target="http://www.hiv.lanl.gov" TargetMode="External" /><Relationship Type="http://schemas.openxmlformats.org/officeDocument/2006/relationships/hyperlink" Id="rId188" Target="https://CRAN.R-project.org/package=HDInterval" TargetMode="External" /><Relationship Type="http://schemas.openxmlformats.org/officeDocument/2006/relationships/hyperlink" Id="rId292" Target="https://CRAN.R-project.org/package=dplyr" TargetMode="External" /><Relationship Type="http://schemas.openxmlformats.org/officeDocument/2006/relationships/hyperlink" Id="rId194" Target="https://CRAN.R-project.org/package=tibble" TargetMode="External" /><Relationship Type="http://schemas.openxmlformats.org/officeDocument/2006/relationships/hyperlink" Id="rId296" Target="https://CRAN.R-project.org/package=tidyr" TargetMode="External" /><Relationship Type="http://schemas.openxmlformats.org/officeDocument/2006/relationships/hyperlink" Id="rId258" Target="https://doi.org/10.1001/jama.292.10.1177" TargetMode="External" /><Relationship Type="http://schemas.openxmlformats.org/officeDocument/2006/relationships/hyperlink" Id="rId310" Target="https://doi.org/10.1002/cpbi.96" TargetMode="External" /><Relationship Type="http://schemas.openxmlformats.org/officeDocument/2006/relationships/hyperlink" Id="rId308" Target="https://doi.org/10.1002/imt2.56" TargetMode="External" /><Relationship Type="http://schemas.openxmlformats.org/officeDocument/2006/relationships/hyperlink" Id="rId156" Target="https://doi.org/10.1016/S0140-6736(04)15596-7" TargetMode="External" /><Relationship Type="http://schemas.openxmlformats.org/officeDocument/2006/relationships/hyperlink" Id="rId242" Target="https://doi.org/10.1016/S1473-3099(13)70066-5" TargetMode="External" /><Relationship Type="http://schemas.openxmlformats.org/officeDocument/2006/relationships/hyperlink" Id="rId218" Target="https://doi.org/10.1016/S1473-3099(15)70036-8" TargetMode="External" /><Relationship Type="http://schemas.openxmlformats.org/officeDocument/2006/relationships/hyperlink" Id="rId120" Target="https://doi.org/10.1016/S2352-3018(16)30034-0" TargetMode="External" /><Relationship Type="http://schemas.openxmlformats.org/officeDocument/2006/relationships/hyperlink" Id="rId164" Target="https://doi.org/10.1016/S2352-3018(19)30190-0" TargetMode="External" /><Relationship Type="http://schemas.openxmlformats.org/officeDocument/2006/relationships/hyperlink" Id="rId234" Target="https://doi.org/10.1016/S2352-3018(19)30378-9" TargetMode="External" /><Relationship Type="http://schemas.openxmlformats.org/officeDocument/2006/relationships/hyperlink" Id="rId272" Target="https://doi.org/10.1016/j.jhep.2009.05.027" TargetMode="External" /><Relationship Type="http://schemas.openxmlformats.org/officeDocument/2006/relationships/hyperlink" Id="rId226" Target="https://doi.org/10.1016/j.jviromet.2010.02.016" TargetMode="External" /><Relationship Type="http://schemas.openxmlformats.org/officeDocument/2006/relationships/hyperlink" Id="rId142" Target="https://doi.org/10.1016/j.meegid.2020.104277" TargetMode="External" /><Relationship Type="http://schemas.openxmlformats.org/officeDocument/2006/relationships/hyperlink" Id="rId230" Target="https://doi.org/10.1016/j.virusres.2008.01.007" TargetMode="External" /><Relationship Type="http://schemas.openxmlformats.org/officeDocument/2006/relationships/hyperlink" Id="rId162" Target="https://doi.org/10.1038/nm.3932" TargetMode="External" /><Relationship Type="http://schemas.openxmlformats.org/officeDocument/2006/relationships/hyperlink" Id="rId126" Target="https://doi.org/10.1038/nm0310-268" TargetMode="External" /><Relationship Type="http://schemas.openxmlformats.org/officeDocument/2006/relationships/hyperlink" Id="rId228" Target="https://doi.org/10.1038/nrg1246" TargetMode="External" /><Relationship Type="http://schemas.openxmlformats.org/officeDocument/2006/relationships/hyperlink" Id="rId130" Target="https://doi.org/10.1038/nrgastro.2015.36" TargetMode="External" /><Relationship Type="http://schemas.openxmlformats.org/officeDocument/2006/relationships/hyperlink" Id="rId264" Target="https://doi.org/10.1038/s41467-018-04217-5" TargetMode="External" /><Relationship Type="http://schemas.openxmlformats.org/officeDocument/2006/relationships/hyperlink" Id="rId232" Target="https://doi.org/10.1038/s41467-019-09139-4" TargetMode="External" /><Relationship Type="http://schemas.openxmlformats.org/officeDocument/2006/relationships/hyperlink" Id="rId168" Target="https://doi.org/10.1038/s41467-020-14636-y" TargetMode="External" /><Relationship Type="http://schemas.openxmlformats.org/officeDocument/2006/relationships/hyperlink" Id="rId286" Target="https://doi.org/10.1038/s41467-022-31247-x" TargetMode="External" /><Relationship Type="http://schemas.openxmlformats.org/officeDocument/2006/relationships/hyperlink" Id="rId192" Target="https://doi.org/10.1038/s41564-023-01530-8" TargetMode="External" /><Relationship Type="http://schemas.openxmlformats.org/officeDocument/2006/relationships/hyperlink" Id="rId140" Target="https://doi.org/10.1038/s41586-019-1200-9" TargetMode="External" /><Relationship Type="http://schemas.openxmlformats.org/officeDocument/2006/relationships/hyperlink" Id="rId222" Target="https://doi.org/10.1056/NEJM200003303421303" TargetMode="External" /><Relationship Type="http://schemas.openxmlformats.org/officeDocument/2006/relationships/hyperlink" Id="rId158" Target="https://doi.org/10.1056/NEJMoa1702150" TargetMode="External" /><Relationship Type="http://schemas.openxmlformats.org/officeDocument/2006/relationships/hyperlink" Id="rId144" Target="https://doi.org/10.1073/pnas.0708559104" TargetMode="External" /><Relationship Type="http://schemas.openxmlformats.org/officeDocument/2006/relationships/hyperlink" Id="rId172" Target="https://doi.org/10.1073/pnas.0802203105" TargetMode="External" /><Relationship Type="http://schemas.openxmlformats.org/officeDocument/2006/relationships/hyperlink" Id="rId268" Target="https://doi.org/10.1084/jem.20080281" TargetMode="External" /><Relationship Type="http://schemas.openxmlformats.org/officeDocument/2006/relationships/hyperlink" Id="rId180" Target="https://doi.org/10.1086/597356" TargetMode="External" /><Relationship Type="http://schemas.openxmlformats.org/officeDocument/2006/relationships/hyperlink" Id="rId214" Target="https://doi.org/10.1089/aid.2008.0100" TargetMode="External" /><Relationship Type="http://schemas.openxmlformats.org/officeDocument/2006/relationships/hyperlink" Id="rId184" Target="https://doi.org/10.1089/aid.2008.0219" TargetMode="External" /><Relationship Type="http://schemas.openxmlformats.org/officeDocument/2006/relationships/hyperlink" Id="rId202" Target="https://doi.org/10.1089/aid.2010.0042" TargetMode="External" /><Relationship Type="http://schemas.openxmlformats.org/officeDocument/2006/relationships/hyperlink" Id="rId236" Target="https://doi.org/10.1089/aid.2017.0061" TargetMode="External" /><Relationship Type="http://schemas.openxmlformats.org/officeDocument/2006/relationships/hyperlink" Id="rId318" Target="https://doi.org/10.1089/apc.2024.0100" TargetMode="External" /><Relationship Type="http://schemas.openxmlformats.org/officeDocument/2006/relationships/hyperlink" Id="rId106" Target="https://doi.org/10.1089/cmb.2012.0021" TargetMode="External" /><Relationship Type="http://schemas.openxmlformats.org/officeDocument/2006/relationships/hyperlink" Id="rId110" Target="https://doi.org/10.1093/bioinformatics/btu170" TargetMode="External" /><Relationship Type="http://schemas.openxmlformats.org/officeDocument/2006/relationships/hyperlink" Id="rId206" Target="https://doi.org/10.1093/bioinformatics/bty633" TargetMode="External" /><Relationship Type="http://schemas.openxmlformats.org/officeDocument/2006/relationships/hyperlink" Id="rId122" Target="https://doi.org/10.1093/infdis/jiac166" TargetMode="External" /><Relationship Type="http://schemas.openxmlformats.org/officeDocument/2006/relationships/hyperlink" Id="rId240" Target="https://doi.org/10.1093/infdis/jis325" TargetMode="External" /><Relationship Type="http://schemas.openxmlformats.org/officeDocument/2006/relationships/hyperlink" Id="rId282" Target="https://doi.org/10.1093/infdis/jit168" TargetMode="External" /><Relationship Type="http://schemas.openxmlformats.org/officeDocument/2006/relationships/hyperlink" Id="rId280" Target="https://doi.org/10.1093/infdis/jit633" TargetMode="External" /><Relationship Type="http://schemas.openxmlformats.org/officeDocument/2006/relationships/hyperlink" Id="rId190" Target="https://doi.org/10.1093/molbev/msaa015" TargetMode="External" /><Relationship Type="http://schemas.openxmlformats.org/officeDocument/2006/relationships/hyperlink" Id="rId196" Target="https://doi.org/10.1093/molbev/msu300" TargetMode="External" /><Relationship Type="http://schemas.openxmlformats.org/officeDocument/2006/relationships/hyperlink" Id="rId304" Target="https://doi.org/10.1093/molbev/msx304" TargetMode="External" /><Relationship Type="http://schemas.openxmlformats.org/officeDocument/2006/relationships/hyperlink" Id="rId314" Target="https://doi.org/10.1093/molbev/msy194" TargetMode="External" /><Relationship Type="http://schemas.openxmlformats.org/officeDocument/2006/relationships/hyperlink" Id="rId170" Target="https://doi.org/10.1093/nar/gkf436" TargetMode="External" /><Relationship Type="http://schemas.openxmlformats.org/officeDocument/2006/relationships/hyperlink" Id="rId210" Target="https://doi.org/10.1093/ve/vex029" TargetMode="External" /><Relationship Type="http://schemas.openxmlformats.org/officeDocument/2006/relationships/hyperlink" Id="rId302" Target="https://doi.org/10.1093/ve/vey007" TargetMode="External" /><Relationship Type="http://schemas.openxmlformats.org/officeDocument/2006/relationships/hyperlink" Id="rId284" Target="https://doi.org/10.1093/ve/vey030" TargetMode="External" /><Relationship Type="http://schemas.openxmlformats.org/officeDocument/2006/relationships/hyperlink" Id="rId100" Target="https://doi.org/10.1097/COH.0000000000000542" TargetMode="External" /><Relationship Type="http://schemas.openxmlformats.org/officeDocument/2006/relationships/hyperlink" Id="rId208" Target="https://doi.org/10.1097/QAD.0000000000000298" TargetMode="External" /><Relationship Type="http://schemas.openxmlformats.org/officeDocument/2006/relationships/hyperlink" Id="rId244" Target="https://doi.org/10.1097/QAD.0000000000000365" TargetMode="External" /><Relationship Type="http://schemas.openxmlformats.org/officeDocument/2006/relationships/hyperlink" Id="rId252" Target="https://doi.org/10.1097/QAD.0000000000000422" TargetMode="External" /><Relationship Type="http://schemas.openxmlformats.org/officeDocument/2006/relationships/hyperlink" Id="rId278" Target="https://doi.org/10.1097/QAD.0000000000001237" TargetMode="External" /><Relationship Type="http://schemas.openxmlformats.org/officeDocument/2006/relationships/hyperlink" Id="rId276" Target="https://doi.org/10.1097/QAD.0000000000001445" TargetMode="External" /><Relationship Type="http://schemas.openxmlformats.org/officeDocument/2006/relationships/hyperlink" Id="rId128" Target="https://doi.org/10.1097/QAD.0b013e3280f3c08a" TargetMode="External" /><Relationship Type="http://schemas.openxmlformats.org/officeDocument/2006/relationships/hyperlink" Id="rId178" Target="https://doi.org/10.1097/QAD.0b013e328330cc08" TargetMode="External" /><Relationship Type="http://schemas.openxmlformats.org/officeDocument/2006/relationships/hyperlink" Id="rId200" Target="https://doi.org/10.1097/QAD.0b013e32834dcd26" TargetMode="External" /><Relationship Type="http://schemas.openxmlformats.org/officeDocument/2006/relationships/hyperlink" Id="rId146" Target="https://doi.org/10.1099/mgen.0.000607" TargetMode="External" /><Relationship Type="http://schemas.openxmlformats.org/officeDocument/2006/relationships/hyperlink" Id="rId138" Target="https://doi.org/10.1099/mgen.0.000751" TargetMode="External" /><Relationship Type="http://schemas.openxmlformats.org/officeDocument/2006/relationships/hyperlink" Id="rId186" Target="https://doi.org/10.1101/2023.10.14.23297021" TargetMode="External" /><Relationship Type="http://schemas.openxmlformats.org/officeDocument/2006/relationships/hyperlink" Id="rId176" Target="https://doi.org/10.1101/2024.03.14.24303990" TargetMode="External" /><Relationship Type="http://schemas.openxmlformats.org/officeDocument/2006/relationships/hyperlink" Id="rId114" Target="https://doi.org/10.1101/2024.04.21.24306145" TargetMode="External" /><Relationship Type="http://schemas.openxmlformats.org/officeDocument/2006/relationships/hyperlink" Id="rId260" Target="https://doi.org/10.1101/2024.04.26.591283" TargetMode="External" /><Relationship Type="http://schemas.openxmlformats.org/officeDocument/2006/relationships/hyperlink" Id="rId198" Target="https://doi.org/10.1101/gr.213959.116" TargetMode="External" /><Relationship Type="http://schemas.openxmlformats.org/officeDocument/2006/relationships/hyperlink" Id="rId316" Target="https://doi.org/10.1111/2041-210X.12628" TargetMode="External" /><Relationship Type="http://schemas.openxmlformats.org/officeDocument/2006/relationships/hyperlink" Id="rId151" Target="https://doi.org/10.1111/rssa.12378" TargetMode="External" /><Relationship Type="http://schemas.openxmlformats.org/officeDocument/2006/relationships/hyperlink" Id="rId124" Target="https://doi.org/10.1128/CMR.00021-12" TargetMode="External" /><Relationship Type="http://schemas.openxmlformats.org/officeDocument/2006/relationships/hyperlink" Id="rId112" Target="https://doi.org/10.1128/JCM.00382-20" TargetMode="External" /><Relationship Type="http://schemas.openxmlformats.org/officeDocument/2006/relationships/hyperlink" Id="rId153" Target="https://doi.org/10.1128/JCM.01516-12" TargetMode="External" /><Relationship Type="http://schemas.openxmlformats.org/officeDocument/2006/relationships/hyperlink" Id="rId102" Target="https://doi.org/10.1128/JVI.02132-08" TargetMode="External" /><Relationship Type="http://schemas.openxmlformats.org/officeDocument/2006/relationships/hyperlink" Id="rId238" Target="https://doi.org/10.1128/jcm.00804-11" TargetMode="External" /><Relationship Type="http://schemas.openxmlformats.org/officeDocument/2006/relationships/hyperlink" Id="rId270" Target="https://doi.org/10.1136/sti.2008.033985" TargetMode="External" /><Relationship Type="http://schemas.openxmlformats.org/officeDocument/2006/relationships/hyperlink" Id="rId254" Target="https://doi.org/10.1137/0128004" TargetMode="External" /><Relationship Type="http://schemas.openxmlformats.org/officeDocument/2006/relationships/hyperlink" Id="rId300" Target="https://doi.org/10.1186/gb-2014-15-3-r46" TargetMode="External" /><Relationship Type="http://schemas.openxmlformats.org/officeDocument/2006/relationships/hyperlink" Id="rId262" Target="https://doi.org/10.1186/s12864-018-4988-z" TargetMode="External" /><Relationship Type="http://schemas.openxmlformats.org/officeDocument/2006/relationships/hyperlink" Id="rId104" Target="https://doi.org/10.1186/s12864-020-6486-3" TargetMode="External" /><Relationship Type="http://schemas.openxmlformats.org/officeDocument/2006/relationships/hyperlink" Id="rId132" Target="https://doi.org/10.1186/s12889-020-08838-8" TargetMode="External" /><Relationship Type="http://schemas.openxmlformats.org/officeDocument/2006/relationships/hyperlink" Id="rId248" Target="https://doi.org/10.1186/s12977-014-0069-9" TargetMode="External" /><Relationship Type="http://schemas.openxmlformats.org/officeDocument/2006/relationships/hyperlink" Id="rId136" Target="https://doi.org/10.1186/s12977-018-0461-y" TargetMode="External" /><Relationship Type="http://schemas.openxmlformats.org/officeDocument/2006/relationships/hyperlink" Id="rId312" Target="https://doi.org/10.1201/9781003279242" TargetMode="External" /><Relationship Type="http://schemas.openxmlformats.org/officeDocument/2006/relationships/hyperlink" Id="rId216" Target="https://doi.org/10.1214/17-EJS1337SI" TargetMode="External" /><Relationship Type="http://schemas.openxmlformats.org/officeDocument/2006/relationships/hyperlink" Id="rId274" Target="https://doi.org/10.1214/20-BA1221" TargetMode="External" /><Relationship Type="http://schemas.openxmlformats.org/officeDocument/2006/relationships/hyperlink" Id="rId166" Target="https://doi.org/10.1258/ijsa.2009.009352" TargetMode="External" /><Relationship Type="http://schemas.openxmlformats.org/officeDocument/2006/relationships/hyperlink" Id="rId220" Target="https://doi.org/10.1371/journal.pgph.0002891" TargetMode="External" /><Relationship Type="http://schemas.openxmlformats.org/officeDocument/2006/relationships/hyperlink" Id="rId182" Target="https://doi.org/10.1371/journal.ppat.1000890" TargetMode="External" /><Relationship Type="http://schemas.openxmlformats.org/officeDocument/2006/relationships/hyperlink" Id="rId250" Target="https://doi.org/10.1371/journal.ppat.1003593" TargetMode="External" /><Relationship Type="http://schemas.openxmlformats.org/officeDocument/2006/relationships/hyperlink" Id="rId174" Target="https://doi.org/10.1371/journal.ppat.1006510" TargetMode="External" /><Relationship Type="http://schemas.openxmlformats.org/officeDocument/2006/relationships/hyperlink" Id="rId256" Target="https://doi.org/10.1534/genetics.103.023382" TargetMode="External" /><Relationship Type="http://schemas.openxmlformats.org/officeDocument/2006/relationships/hyperlink" Id="rId134" Target="https://doi.org/10.18637/jss.v064.i04" TargetMode="External" /><Relationship Type="http://schemas.openxmlformats.org/officeDocument/2006/relationships/hyperlink" Id="rId290" Target="https://doi.org/10.21105/joss.01686" TargetMode="External" /><Relationship Type="http://schemas.openxmlformats.org/officeDocument/2006/relationships/hyperlink" Id="rId306" Target="https://doi.org/10.25560/101957" TargetMode="External" /><Relationship Type="http://schemas.openxmlformats.org/officeDocument/2006/relationships/hyperlink" Id="rId108" Target="https://doi.org/10.48550/ARXIV.1312.0906" TargetMode="External" /><Relationship Type="http://schemas.openxmlformats.org/officeDocument/2006/relationships/hyperlink" Id="rId44" Target="https://doi.org/10.5281/zenodo.10075814" TargetMode="External" /><Relationship Type="http://schemas.openxmlformats.org/officeDocument/2006/relationships/hyperlink" Id="rId204" Target="https://doi.org/10.5281/zenodo.10793873" TargetMode="External" /><Relationship Type="http://schemas.openxmlformats.org/officeDocument/2006/relationships/hyperlink" Id="rId246" Target="https://doi.org/10.7717/peerj.16505" TargetMode="External" /><Relationship Type="http://schemas.openxmlformats.org/officeDocument/2006/relationships/hyperlink" Id="rId288" Target="https://ggplot2.tidyverse.org" TargetMode="External" /><Relationship Type="http://schemas.openxmlformats.org/officeDocument/2006/relationships/hyperlink" Id="rId45" Target="https://github.com/PANGEA-HIV/PANGEA-Sequences" TargetMode="External" /><Relationship Type="http://schemas.openxmlformats.org/officeDocument/2006/relationships/hyperlink" Id="rId43" Target="https://github.com/m-a-martin/rccs_hiv_moi" TargetMode="External" /><Relationship Type="http://schemas.openxmlformats.org/officeDocument/2006/relationships/hyperlink" Id="rId294" Target="https://haven.tidyverse.org" TargetMode="External" /><Relationship Type="http://schemas.openxmlformats.org/officeDocument/2006/relationships/hyperlink" Id="rId266" Target="https://mc-stan.org" TargetMode="External" /><Relationship Type="http://schemas.openxmlformats.org/officeDocument/2006/relationships/hyperlink" Id="rId149" Target="https://mc-stan.org/bayesplot/" TargetMode="External" /><Relationship Type="http://schemas.openxmlformats.org/officeDocument/2006/relationships/hyperlink" Id="rId116" Target="https://mc-stan.org/posterior/" TargetMode="External" /><Relationship Type="http://schemas.openxmlformats.org/officeDocument/2006/relationships/hyperlink" Id="rId212" Target="https://patchwork.data-imaginist.com" TargetMode="External" /><Relationship Type="http://schemas.openxmlformats.org/officeDocument/2006/relationships/hyperlink" Id="rId118" Target="https://proceedings.mlr.press/v5/carvalho09a.html" TargetMode="External" /><Relationship Type="http://schemas.openxmlformats.org/officeDocument/2006/relationships/hyperlink" Id="rId298" Target="https://wilkelab.org/cowplot/" TargetMode="External" /><Relationship Type="http://schemas.openxmlformats.org/officeDocument/2006/relationships/hyperlink" Id="rId224" Target="https://www.R-project.org/" TargetMode="External" /><Relationship Type="http://schemas.openxmlformats.org/officeDocument/2006/relationships/hyperlink" Id="rId46" Target="https://www.pangea-hiv.org/join-us" TargetMode="External" /><Relationship Type="http://schemas.openxmlformats.org/officeDocument/2006/relationships/hyperlink" Id="rId49" Target="mailto:gkigozi@rhsp.org" TargetMode="External" /><Relationship Type="http://schemas.openxmlformats.org/officeDocument/2006/relationships/hyperlink" Id="rId48" Target="mailto:info@rhsp.org" TargetMode="External" /><Relationship Type="http://schemas.openxmlformats.org/officeDocument/2006/relationships/hyperlink" Id="rId47" Target="mailto:lucie.abeler-dorner@ndm.ox.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prevalence and risk factors of HIV multiple infection in Uganda from cross-sectional population-based deep-sequence data</dc:title>
  <dc:creator/>
  <cp:keywords/>
  <dcterms:created xsi:type="dcterms:W3CDTF">2024-10-03T18:47:25Z</dcterms:created>
  <dcterms:modified xsi:type="dcterms:W3CDTF">2024-10-03T18:47:25Z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ies>
</file>