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vMerge w:val="restart"/>
          </w:tcPr>
          <w:p>
            <w:pPr>
              <w:jc w:val="left"/>
            </w:pPr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020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n</w:t>
            </w:r>
          </w:p>
        </w:tc>
        <w:tc>
          <w:tcPr>
            <w:tcW w:type="dxa" w:w="3060"/>
            <w:gridSpan w:val="3"/>
          </w:tcPr>
          <w:p>
            <w:pPr>
              <w:jc w:val="center"/>
            </w:pPr>
            <w:r>
              <w:rPr>
                <w:b/>
                <w:sz w:val="18"/>
              </w:rPr>
              <w:t>Equivalent</w:t>
            </w:r>
          </w:p>
        </w:tc>
        <w:tc>
          <w:tcPr>
            <w:tcW w:type="dxa" w:w="3060"/>
            <w:gridSpan w:val="3"/>
          </w:tcPr>
          <w:p>
            <w:pPr>
              <w:jc w:val="center"/>
            </w:pPr>
            <w:r>
              <w:rPr>
                <w:b/>
                <w:sz w:val="18"/>
              </w:rPr>
              <w:t>Inconclusive</w:t>
            </w:r>
          </w:p>
        </w:tc>
        <w:tc>
          <w:tcPr>
            <w:tcW w:type="dxa" w:w="3060"/>
            <w:gridSpan w:val="3"/>
          </w:tcPr>
          <w:p>
            <w:pPr>
              <w:jc w:val="center"/>
            </w:pPr>
            <w:r>
              <w:rPr>
                <w:b/>
                <w:sz w:val="18"/>
              </w:rPr>
              <w:t>Not equivalent</w:t>
            </w:r>
          </w:p>
        </w:tc>
        <w:tc>
          <w:tcPr>
            <w:tcW w:type="dxa" w:w="1020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SPM significant (total)</w:t>
            </w:r>
          </w:p>
        </w:tc>
      </w:tr>
      <w:tr>
        <w:tc>
          <w:tcPr>
            <w:tcW w:type="dxa" w:w="1020"/>
            <w:vMerge/>
          </w:tcPr>
          <w:p/>
        </w:tc>
        <w:tc>
          <w:tcPr>
            <w:tcW w:type="dxa" w:w="1020"/>
            <w:vMerge/>
          </w:tcPr>
          <w:p/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SPM n.s.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SPM sig.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SPM n.s.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SPM sig.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SPM n.s.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SPM sig.</w:t>
            </w:r>
          </w:p>
        </w:tc>
        <w:tc>
          <w:tcPr>
            <w:tcW w:type="dxa" w:w="1020"/>
            <w:vMerge/>
          </w:tcPr>
          <w:p/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b w:val="0"/>
                <w:sz w:val="18"/>
              </w:rPr>
              <w:t>Pelvis Obliquity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64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b w:val="0"/>
                <w:sz w:val="18"/>
              </w:rPr>
              <w:t>Pelvis Rotation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58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b w:val="0"/>
                <w:sz w:val="18"/>
              </w:rPr>
              <w:t>Knee Varus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77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b w:val="0"/>
                <w:sz w:val="18"/>
              </w:rPr>
              <w:t>Knee Flexion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76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45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b w:val="0"/>
                <w:sz w:val="18"/>
              </w:rPr>
              <w:t>Hip Adduction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83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b w:val="0"/>
                <w:sz w:val="18"/>
              </w:rPr>
              <w:t>Pelvis Anterior Tilt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26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b w:val="0"/>
                <w:sz w:val="18"/>
              </w:rPr>
              <w:t>Ankle Dorsiflexion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86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b w:val="0"/>
                <w:sz w:val="18"/>
              </w:rPr>
              <w:t>Hip Flexion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b w:val="0"/>
                <w:sz w:val="18"/>
              </w:rPr>
              <w:t>Ankle Rotation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64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b w:val="0"/>
                <w:sz w:val="18"/>
              </w:rPr>
              <w:t>Hip Rotation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85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b w:val="0"/>
                <w:sz w:val="18"/>
              </w:rPr>
              <w:t>Ankle Inversion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84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b w:val="0"/>
                <w:sz w:val="18"/>
              </w:rPr>
              <w:t>Foot Progression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83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83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b/>
                <w:sz w:val="18"/>
              </w:rPr>
              <w:t>Mean of the variables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51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31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38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57</w:t>
            </w:r>
          </w:p>
        </w:tc>
      </w:tr>
    </w:tbl>
    <w:p>
      <w:r>
        <w:rPr>
          <w:sz w:val="16"/>
        </w:rPr>
        <w:t>Values are the percentage of the gait cycle (101 points). Equivalent: 90% CI of the mean difference (marker-based − markerless) inside ±5°; not equivalent: CI entirely beyond a bound; inconclusive: CI crosses a bound. SPM: spm1d paired t-test, two-tailed, p &lt; 0.05; n.s. = not significant, sig. = significant. Percentages are rounded, so rows may not sum to 100.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