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g"/>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9"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138"/>
        <w:gridCol w:w="4"/>
        <w:gridCol w:w="61"/>
        <w:gridCol w:w="15515"/>
        <w:gridCol w:w="161"/>
        <w:gridCol w:w="122"/>
      </w:tblGrid>
      <w:tr>
        <w:trPr>
          <w:trHeight w:val="15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430"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tbl>
            <w:tblPr>
              <w:tblCellMar>
                <w:top w:w="0" w:type="dxa"/>
                <w:left w:w="0" w:type="dxa"/>
                <w:bottom w:w="0" w:type="dxa"/>
                <w:right w:w="0" w:type="dxa"/>
              </w:tblCellMar>
            </w:tblPr>
            <w:tblGrid>
              <w:gridCol w:w="15515"/>
            </w:tblGrid>
            <w:tr>
              <w:trPr>
                <w:trHeight w:val="352" w:hRule="atLeast"/>
              </w:trPr>
              <w:tc>
                <w:tcPr>
                  <w:tcW w:w="1551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u w:val="single"/>
                    </w:rPr>
                    <w:t xml:space="preserve">Programme Reflection and Action Plan</w:t>
                  </w:r>
                </w:p>
              </w:tc>
            </w:tr>
          </w:tbl>
          <w:p>
            <w:pPr>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9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2"/>
              <w:gridCol w:w="1031"/>
              <w:gridCol w:w="2191"/>
              <w:gridCol w:w="9702"/>
              <w:gridCol w:w="1790"/>
            </w:tblGrid>
            <w:tr>
              <w:trPr>
                <w:trHeight w:val="262" w:hRule="atLeast"/>
              </w:trPr>
              <w:tc>
                <w:tcPr>
                  <w:tcW w:w="96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Faculty</w:t>
                  </w:r>
                </w:p>
              </w:tc>
              <w:tc>
                <w:tcPr>
                  <w:tcW w:w="103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School</w:t>
                  </w:r>
                </w:p>
              </w:tc>
              <w:tc>
                <w:tcPr>
                  <w:tcW w:w="219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Code</w:t>
                  </w:r>
                </w:p>
              </w:tc>
              <w:tc>
                <w:tcPr>
                  <w:tcW w:w="970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Title</w:t>
                  </w:r>
                </w:p>
              </w:tc>
              <w:tc>
                <w:tcPr>
                  <w:tcW w:w="1790"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Intake Month</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30911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40911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bl>
          <w:p>
            <w:pPr>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78"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year Level 4 of the newly validated programme was rolled out, whilst L5 and L6 of the old programme were delivered.  We received very positive feedback from all external examiners regarding the new L4, in which we have addressed previous concerns around consistency of marking and feedback.  New assessment approaches in L4 were also praised for their innovative use of digital technology and reflective practice and also the amount of valuable canvas resources available to students.  </w:t>
                        </w:r>
                        <w:r>
                          <w:rPr>
                            <w:rFonts w:ascii="Arial" w:hAnsi="Arial" w:eastAsia="Arial"/>
                            <w:color w:val="000000"/>
                            <w:sz w:val="24"/>
                          </w:rPr>
                          <w:br/>
                        </w:r>
                        <w:r>
                          <w:rPr>
                            <w:rFonts w:ascii="Arial" w:hAnsi="Arial" w:eastAsia="Arial"/>
                            <w:color w:val="000000"/>
                            <w:sz w:val="24"/>
                          </w:rPr>
                          <w:br/>
                          <w:t xml:space="preserve">Other available programme data is also very encouraging.  All modules at levels 4 , 5 and 6 exceeded university benchmarks for mean marks and pass rates and all but 1 module exceeded targets for median module survey scores.  All level 5 modules were above threshold, which is a noticeable improvement on previous years.</w:t>
                        </w:r>
                        <w:r>
                          <w:rPr>
                            <w:rFonts w:ascii="Arial" w:hAnsi="Arial" w:eastAsia="Arial"/>
                            <w:color w:val="000000"/>
                            <w:sz w:val="24"/>
                          </w:rPr>
                          <w:br/>
                        </w:r>
                        <w:r>
                          <w:rPr>
                            <w:rFonts w:ascii="Arial" w:hAnsi="Arial" w:eastAsia="Arial"/>
                            <w:color w:val="000000"/>
                            <w:sz w:val="24"/>
                          </w:rPr>
                          <w:br/>
                          <w:t xml:space="preserve">We also saw an improvement in NSS scores across the board from the previous two years and all categories were above benchmark with the exception of the student voice, which is an area we focused on last year, but will continue to do so this year to improve further with the aim to exceed benchmark this next year.</w:t>
                        </w:r>
                        <w:r>
                          <w:rPr>
                            <w:rFonts w:ascii="Arial" w:hAnsi="Arial" w:eastAsia="Arial"/>
                            <w:color w:val="000000"/>
                            <w:sz w:val="24"/>
                          </w:rPr>
                          <w:br/>
                        </w:r>
                        <w:r>
                          <w:rPr>
                            <w:rFonts w:ascii="Arial" w:hAnsi="Arial" w:eastAsia="Arial"/>
                            <w:color w:val="000000"/>
                            <w:sz w:val="24"/>
                          </w:rPr>
                          <w:br/>
                          <w:t xml:space="preserve">With regards to further areas of improvement, external examiners and student reps have highlighted the need for better consistency of support across personal tutors and project supervisors and a new personal tutor system is being put in place this year to begin to address some of these concerns, which will also help with student continuation and progression.  We also need to consider the use of more innovative assessment reflecting real-life scenarios at levels 5 and in particular 6, and incorporate more time and thought around the usage of technologies and A.I.</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One area which was identified for review as a school following validation of the new suite of programmes was ensuring a 50:50 split between quantitative and qualitative taught content at L4 and L5 within the shared research methods modules.  However, this is an area for potential concern for the Sport and Exercise Science cohort as most major projects are quantitative.  Consideration is needed on where the displaced quantitative teaching may now sit.</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No action taken.  BASES endorsement was attained for the newly validated programme for the start of the 2022-23 academic year</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report has been completed by the programme leader, with subsequent amendments following School Director review. </w:t>
                        </w:r>
                      </w:p>
                    </w:tc>
                  </w:tr>
                </w:tbl>
                <w:p>
                  <w:pPr>
                    <w:spacing w:after="0" w:line="240" w:lineRule="auto"/>
                  </w:pPr>
                </w:p>
              </w:tc>
            </w:tr>
          </w:tbl>
          <w:p>
            <w:pPr>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555"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42"/>
            </w:tblGrid>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2025</w:t>
                  </w:r>
                  <w:r>
                    <w:rPr>
                      <w:rFonts w:ascii="Arial" w:hAnsi="Arial" w:eastAsia="Arial"/>
                      <w:b/>
                      <w:color w:val="000000"/>
                      <w:sz w:val="24"/>
                    </w:rPr>
                    <w:t xml:space="preserve">/</w:t>
                  </w:r>
                  <w:r>
                    <w:rPr>
                      <w:rFonts w:ascii="Arial" w:hAnsi="Arial" w:eastAsia="Arial"/>
                      <w:b/>
                      <w:color w:val="000000"/>
                      <w:sz w:val="24"/>
                    </w:rPr>
                    <w:t xml:space="preserve">26</w:t>
                  </w:r>
                </w:p>
              </w:tc>
            </w:tr>
            <w:tr>
              <w:trPr>
                <w:trHeight w:val="5896"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Progression of Graduates: The programme’s positive Graduate Outcomes rate of 71.7% remains above the subject benchmark of 67.7% and the OfS baseline of 60%. However, the decline from 78.9% in 2021/22 and 78.2% in 2022/23 indicates that performance should be strengthened rather than judged solely against the current benchmark. </w:t>
                        </w:r>
                        <w:r>
                          <w:rPr>
                            <w:rFonts w:ascii="Arial" w:hAnsi="Arial" w:eastAsia="Arial"/>
                            <w:color w:val="000000"/>
                            <w:sz w:val="20"/>
                          </w:rPr>
                          <w:br/>
                          <w:t xml:space="preserve">Through the PPR process the programme team have created a pathway structure at level 6 to help students decide on career routes and choose suitable optional modules.  To further enhance the career support to students we will introduce further graduate transition support sessions at L5 and 6 by putting on sessions involving careers support, alumni and/or employers.  This process was started with L5 students in semester 2 of 2025-2026, so hopefully we will see the benefit of this when these students graduate.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Teaching on my course: Although Teaching on My Course remains positive at 87%, performance is below the subject benchmark of 88.8% and the aspiration rate of 91.3%. The programme will strengthen its approach to teaching enhancement by using NSS, module evaluation, student performance and student voice forum data to identify the aspects of teaching requiring improvement. Particular attention will be given to clarity of explanation, intellectual stimulation, inclusive teaching and the extent to which teaching helps students apply knowledge to professional and practical contexts.</w:t>
                        </w:r>
                        <w:r>
                          <w:rPr>
                            <w:rFonts w:ascii="Arial" w:hAnsi="Arial" w:eastAsia="Arial"/>
                            <w:color w:val="000000"/>
                            <w:sz w:val="20"/>
                          </w:rPr>
                          <w:br/>
                        </w:r>
                        <w:r>
                          <w:rPr>
                            <w:rFonts w:ascii="Arial" w:hAnsi="Arial" w:eastAsia="Arial"/>
                            <w:color w:val="000000"/>
                            <w:sz w:val="20"/>
                          </w:rPr>
                          <w:br/>
                          <w:t xml:space="preserve">In addition to the School initiatives, part of programme meetings will be saved for teaching-development discussions.  Each module team will identify one evidence-based improvement to teaching or learning design. Good practice identified through module evaluations, student feedback and teaching observation will be shared at these sessions. The programme will also work with student representatives to explore what students understand by high-quality teaching and to evaluate the effect of agreed changes.</w:t>
                        </w:r>
                        <w:r>
                          <w:rPr>
                            <w:rFonts w:ascii="Arial" w:hAnsi="Arial" w:eastAsia="Arial"/>
                            <w:color w:val="000000"/>
                            <w:sz w:val="20"/>
                          </w:rPr>
                          <w:br/>
                        </w:r>
                        <w:r>
                          <w:rPr>
                            <w:rFonts w:ascii="Arial" w:hAnsi="Arial" w:eastAsia="Arial"/>
                            <w:color w:val="000000"/>
                            <w:sz w:val="20"/>
                          </w:rPr>
                          <w:br/>
                          <w:t xml:space="preserve">By the end of the academic year, all core modules will have documented and evaluated at least one teaching enhancement. Progress will be monitored through mid-module feedback, module evaluation results and NSS performance, with the aim of increasing Teaching on My Course to at least the subject benchmark in the next survey cycle and progressing towards or beyond the 91.3% aspiration rate.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Use PPR to embed A.I literacy and sustainability throughout the programme.  Review of the existing provision has highlighted these are two areas we need to enhance within the programme.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Re-design PT/PLG approach to address academic support, student voice, module support, engagement and student progression.  This will be done by the programme team as part of the current PPR.</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Continuation, Level 4-5 Progression,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TIMETABLING </w:t>
                        </w:r>
                        <w:r>
                          <w:rPr>
                            <w:rFonts w:ascii="Arial" w:hAnsi="Arial" w:eastAsia="Arial"/>
                            <w:color w:val="000000"/>
                            <w:sz w:val="20"/>
                          </w:rPr>
                          <w:br/>
                          <w:t xml:space="preserve">The current timetabling system does not work for our programme.  This year classes are being held on Wednesdays, there are changes in rooms and times on a weekly basis, this has been reported as an issue in student feedback and will continue to impact on the student experience.  </w:t>
                        </w:r>
                        <w:r>
                          <w:rPr>
                            <w:rFonts w:ascii="Arial" w:hAnsi="Arial" w:eastAsia="Arial"/>
                            <w:color w:val="000000"/>
                            <w:sz w:val="20"/>
                          </w:rPr>
                          <w:br/>
                          <w:t xml:space="preserve">The programme team proposes the following structure:</w:t>
                        </w:r>
                        <w:r>
                          <w:rPr>
                            <w:rFonts w:ascii="Arial" w:hAnsi="Arial" w:eastAsia="Arial"/>
                            <w:color w:val="000000"/>
                            <w:sz w:val="20"/>
                          </w:rPr>
                          <w:br/>
                          <w:t xml:space="preserve">L4 students timetabled on Mondays and Tuesdays</w:t>
                        </w:r>
                        <w:r>
                          <w:rPr>
                            <w:rFonts w:ascii="Arial" w:hAnsi="Arial" w:eastAsia="Arial"/>
                            <w:color w:val="000000"/>
                            <w:sz w:val="20"/>
                          </w:rPr>
                          <w:br/>
                          <w:t xml:space="preserve">L5 students timetabled on Thursdays and Fridays.</w:t>
                        </w:r>
                        <w:r>
                          <w:rPr>
                            <w:rFonts w:ascii="Arial" w:hAnsi="Arial" w:eastAsia="Arial"/>
                            <w:color w:val="000000"/>
                            <w:sz w:val="20"/>
                          </w:rPr>
                          <w:br/>
                          <w:t xml:space="preserve">L6 students will depend on optional module/pathway chosen.</w:t>
                        </w:r>
                        <w:r>
                          <w:rPr>
                            <w:rFonts w:ascii="Arial" w:hAnsi="Arial" w:eastAsia="Arial"/>
                            <w:color w:val="000000"/>
                            <w:sz w:val="20"/>
                          </w:rPr>
                          <w:br/>
                          <w:t xml:space="preserve">This set up would also mean students could more easily work around their studies and save on transport costs. </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PBSISADL</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Continue to improve student voice metric with the target this year of above threshold.</w:t>
                        </w:r>
                        <w:r>
                          <w:rPr>
                            <w:rFonts w:ascii="Arial" w:hAnsi="Arial" w:eastAsia="Arial"/>
                            <w:color w:val="000000"/>
                            <w:sz w:val="20"/>
                          </w:rPr>
                          <w:br/>
                          <w:t xml:space="preserve">Work with course reps and School rep to increase engagement, consider dissemination of forum feedback.</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2721"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possible future actions/initiatives we can put in place to try to close the gap for IMD Q1,2 students.</w:t>
                        </w:r>
                        <w:r>
                          <w:rPr>
                            <w:rFonts w:ascii="Arial" w:hAnsi="Arial" w:eastAsia="Arial"/>
                            <w:color w:val="000000"/>
                            <w:sz w:val="20"/>
                          </w:rPr>
                          <w:br/>
                          <w:t xml:space="preserve">Support from School and APP team to share successful strategies.  Identify an initiative to pilot and review for the next academic year.  Prioritise as a programme team which key institutional target to address in this pilot.</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Continuation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375"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Foundation year progression and attainment.</w:t>
                        </w:r>
                        <w:r>
                          <w:rPr>
                            <w:rFonts w:ascii="Arial" w:hAnsi="Arial" w:eastAsia="Arial"/>
                            <w:color w:val="000000"/>
                            <w:sz w:val="20"/>
                          </w:rPr>
                          <w:br/>
                          <w:t xml:space="preserve">Progression and attainment of foundation year students is showing a decline.  School support is needed to investigate the why and how of this and the future of the foundation year.</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Foundation Progression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Work with student reps and advocates to improve communication with students and investigate how we can 'improve' the 'student voice'.</w:t>
                        </w:r>
                        <w:r>
                          <w:rPr>
                            <w:rFonts w:ascii="Arial" w:hAnsi="Arial" w:eastAsia="Arial"/>
                            <w:color w:val="000000"/>
                            <w:sz w:val="20"/>
                          </w:rPr>
                          <w:br/>
                          <w:t xml:space="preserve">PL and YTs to meet with course reps to discuss their involvement and how to engage reps and students in the process. Find out what 'student voice' means to them.</w:t>
                        </w:r>
                        <w:r>
                          <w:rPr>
                            <w:rFonts w:ascii="Arial" w:hAnsi="Arial" w:eastAsia="Arial"/>
                            <w:color w:val="000000"/>
                            <w:sz w:val="20"/>
                          </w:rPr>
                          <w:br/>
                          <w:t xml:space="preserve">Work with the School Working group.</w:t>
                        </w:r>
                        <w:r>
                          <w:rPr>
                            <w:rFonts w:ascii="Arial" w:hAnsi="Arial" w:eastAsia="Arial"/>
                            <w:color w:val="000000"/>
                            <w:sz w:val="20"/>
                          </w:rPr>
                          <w:br/>
                          <w:t xml:space="preserve">Review the School's new approach to the Board of Studies with the programme team and reps.</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01/06/2026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student voice forum was created this year which proved a success in generating more feedback from students. This will be continued to be worked upon this next academic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2267"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Students allocated to a placement by week 2 of the semester.</w:t>
                        </w:r>
                        <w:r>
                          <w:rPr>
                            <w:rFonts w:ascii="Arial" w:hAnsi="Arial" w:eastAsia="Arial"/>
                            <w:color w:val="000000"/>
                            <w:sz w:val="20"/>
                          </w:rPr>
                          <w:br/>
                        </w:r>
                        <w:r>
                          <w:rPr>
                            <w:rFonts w:ascii="Arial" w:hAnsi="Arial" w:eastAsia="Arial"/>
                            <w:color w:val="000000"/>
                            <w:sz w:val="20"/>
                          </w:rPr>
                          <w:br/>
                          <w:t xml:space="preserve">Background: As of week 4 there are still 100 students who have not yet "signed up" or been allocated to a placement. Although the main reason for this is their lack of action, the allocation process should be reflected upon and students assigned to placements earlier, or by default etc.</w:t>
                        </w:r>
                        <w:r>
                          <w:rPr>
                            <w:rFonts w:ascii="Arial" w:hAnsi="Arial" w:eastAsia="Arial"/>
                            <w:color w:val="000000"/>
                            <w:sz w:val="20"/>
                          </w:rPr>
                          <w:br/>
                        </w:r>
                        <w:r>
                          <w:rPr>
                            <w:rFonts w:ascii="Arial" w:hAnsi="Arial" w:eastAsia="Arial"/>
                            <w:color w:val="000000"/>
                            <w:sz w:val="20"/>
                          </w:rPr>
                          <w:br/>
                          <w:t xml:space="preserve">Action: Discuss placement options and allocations with Tim (ML) and Craig (SH).</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31/05/2026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process has been reviewed again this year and setting a  target of all students being allocated a placement by week 2 is unfeasible, due to the number of students self-sourcing placements.  The placement team (led by CT) are reviewing the process again this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module choices and module pools offered to students at L6 with a view to achieving:</w:t>
                        </w:r>
                        <w:r>
                          <w:rPr>
                            <w:rFonts w:ascii="Arial" w:hAnsi="Arial" w:eastAsia="Arial"/>
                            <w:color w:val="000000"/>
                            <w:sz w:val="20"/>
                          </w:rPr>
                          <w:br/>
                          <w:t xml:space="preserve">1. A timetable without clashes</w:t>
                        </w:r>
                        <w:r>
                          <w:rPr>
                            <w:rFonts w:ascii="Arial" w:hAnsi="Arial" w:eastAsia="Arial"/>
                            <w:color w:val="000000"/>
                            <w:sz w:val="20"/>
                          </w:rPr>
                          <w:br/>
                          <w:t xml:space="preserve">2. A better balance across Pool B </w:t>
                        </w:r>
                        <w:r>
                          <w:rPr>
                            <w:rFonts w:ascii="Arial" w:hAnsi="Arial" w:eastAsia="Arial"/>
                            <w:color w:val="000000"/>
                            <w:sz w:val="20"/>
                          </w:rPr>
                          <w:br/>
                          <w:t xml:space="preserve">3. A smaller cohort on S&amp;C </w:t>
                        </w:r>
                        <w:r>
                          <w:rPr>
                            <w:rFonts w:ascii="Arial" w:hAnsi="Arial" w:eastAsia="Arial"/>
                            <w:color w:val="000000"/>
                            <w:sz w:val="20"/>
                          </w:rPr>
                          <w:br/>
                        </w:r>
                        <w:r>
                          <w:rPr>
                            <w:rFonts w:ascii="Arial" w:hAnsi="Arial" w:eastAsia="Arial"/>
                            <w:color w:val="000000"/>
                            <w:sz w:val="20"/>
                          </w:rPr>
                          <w:br/>
                          <w:t xml:space="preserve">Action - review student selections in 2024, meet with Subject Heads to review L6 provision on SES, identify under recruiting modules and edits/ amendments to programme specification, prerequisites, modules needed.</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01/03/2026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This is going to be looked at again this year with a view to putting on a careers and module choice support day for the L5 students in semester 2.  The programme team will work with the placement/professional practice team on this.</w:t>
                        </w:r>
                        <w:r>
                          <w:rPr>
                            <w:rFonts w:ascii="Arial" w:hAnsi="Arial" w:eastAsia="Arial"/>
                            <w:color w:val="000000"/>
                            <w:sz w:val="20"/>
                          </w:rPr>
                          <w:br/>
                        </w:r>
                        <w:r>
                          <w:rPr>
                            <w:rFonts w:ascii="Arial" w:hAnsi="Arial" w:eastAsia="Arial"/>
                            <w:color w:val="000000"/>
                            <w:sz w:val="20"/>
                          </w:rPr>
                          <w:br/>
                          <w:t xml:space="preserve">Programme pathways have been developed as part of the ongoing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1360"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More thought around technologies and A.I use. A.I and the changing environment is potentially one of the biggest threats to assessment on the programme.</w:t>
                        </w:r>
                        <w:r>
                          <w:rPr>
                            <w:rFonts w:ascii="Arial" w:hAnsi="Arial" w:eastAsia="Arial"/>
                            <w:color w:val="000000"/>
                            <w:sz w:val="20"/>
                          </w:rPr>
                          <w:br/>
                          <w:t xml:space="preserve">Programme team to discuss in team meetings and share expertise.</w:t>
                        </w:r>
                        <w:r>
                          <w:rPr>
                            <w:rFonts w:ascii="Arial" w:hAnsi="Arial" w:eastAsia="Arial"/>
                            <w:color w:val="000000"/>
                            <w:sz w:val="20"/>
                          </w:rPr>
                          <w:br/>
                          <w:t xml:space="preserve">Programme staff to attend university/faculty and school support sessions.</w:t>
                        </w:r>
                        <w:r>
                          <w:rPr>
                            <w:rFonts w:ascii="Arial" w:hAnsi="Arial" w:eastAsia="Arial"/>
                            <w:color w:val="000000"/>
                            <w:sz w:val="20"/>
                          </w:rPr>
                          <w:br/>
                          <w:t xml:space="preserve">Programme team are currently working in discipline groups to consider changes to assessments for new level 6 modules for 23_24</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school A.I group have done alot of work on this, which is now being fed into programme teams. The programme team is also looking at embedding A.I learning across the programme as part of the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09/11/23 Ongoing - last update 23/09/26</w:t>
                        </w:r>
                      </w:p>
                    </w:tc>
                  </w:tr>
                </w:tbl>
                <w:p>
                  <w:pPr>
                    <w:spacing w:after="0" w:line="240" w:lineRule="auto"/>
                  </w:pPr>
                </w:p>
              </w:tc>
            </w:tr>
          </w:tbl>
          <w:p>
            <w:pPr>
              <w:spacing w:after="0" w:line="240" w:lineRule="auto"/>
            </w:pPr>
          </w:p>
        </w:tc>
        <w:tc>
          <w:tcPr>
            <w:tcW w:w="61" w:type="dxa"/>
            <w:hMerge w:val="continue"/>
          </w:tcPr>
          <w:p>
            <w:pPr>
              <w:pStyle w:val="EmptyCellLayoutStyle"/>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32"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bl>
    <w:p>
      <w:pPr>
        <w:spacing w:after="0" w:line="240" w:lineRule="auto"/>
      </w:pPr>
    </w:p>
    <w:sectPr w:rsidRPr="" w:rsidDel="" w:rsidR="" w:rsidSect="">
      <w:headerReference r:id="rId5" w:type="default"/>
      <w:footerReference r:id="rId8" w:type="default"/>
      <w:pgSz w:w="17141" w:h="11905" w:orient="landscape"/>
      <w:pgMar w:top="2372" w:right="566" w:bottom="1313" w:left="566" w:header="1133" w:footer="566" w:gutter=""/>
    </w:sectPr>
  </w:body>
</w:document>
</file>

<file path=word/footer1.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193"/>
      <w:gridCol w:w="979"/>
      <w:gridCol w:w="10030"/>
      <w:gridCol w:w="4784"/>
      <w:gridCol w:w="18"/>
    </w:tblGrid>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754"/>
            <w:gridCol w:w="3029"/>
          </w:tblGrid>
          <w:tr>
            <w:trPr>
              <w:trHeight w:val="7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r>
            <w:trPr/>
            <w:tc>
              <w:tcPr>
                <w:tcW w:w="1754" w:type="dxa"/>
              </w:tcPr>
              <w:p>
                <w:pPr>
                  <w:pStyle w:val="EmptyCellLayoutStyle"/>
                  <w:spacing w:after="0" w:line="240" w:lineRule="auto"/>
                </w:pPr>
              </w:p>
            </w:tc>
            <w:tc>
              <w:tcPr>
                <w:tcW w:w="3029" w:type="dxa"/>
              </w:tcPr>
              <w:tbl>
                <w:tblPr>
                  <w:tblCellMar>
                    <w:top w:w="0" w:type="dxa"/>
                    <w:left w:w="0" w:type="dxa"/>
                    <w:bottom w:w="0" w:type="dxa"/>
                    <w:right w:w="0" w:type="dxa"/>
                  </w:tblCellMar>
                </w:tblPr>
                <w:tblGrid>
                  <w:gridCol w:w="3029"/>
                </w:tblGrid>
                <w:tr>
                  <w:trPr>
                    <w:trHeight w:val="262" w:hRule="atLeast"/>
                  </w:trPr>
                  <w:tc>
                    <w:tcPr>
                      <w:tcW w:w="30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18"/>
                        </w:rPr>
                        <w:fldChar w:fldCharType="begin" w:fldLock="0" w:dirty="0"/>
                      </w:r>
                      <w:r>
                        <w:rPr>
                          <w:rFonts w:ascii="Arial" w:hAnsi="Arial" w:eastAsia="Arial"/>
                          <w:noProof/>
                          <w:color w:val="000000"/>
                          <w:sz w:val="18"/>
                        </w:rPr>
                        <w:instrText xml:space="preserve"> PAGE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r>
                        <w:rPr>
                          <w:rFonts w:ascii="Arial" w:hAnsi="Arial" w:eastAsia="Arial"/>
                          <w:color w:val="000000"/>
                          <w:sz w:val="18"/>
                        </w:rPr>
                        <w:t xml:space="preserve"> of </w:t>
                      </w:r>
                      <w:r>
                        <w:rPr>
                          <w:rFonts w:ascii="Arial" w:hAnsi="Arial" w:eastAsia="Arial"/>
                          <w:color w:val="000000"/>
                          <w:sz w:val="18"/>
                        </w:rPr>
                        <w:fldChar w:fldCharType="begin" w:fldLock="0" w:dirty="0"/>
                      </w:r>
                      <w:r>
                        <w:rPr>
                          <w:rFonts w:ascii="Arial" w:hAnsi="Arial" w:eastAsia="Arial"/>
                          <w:noProof/>
                          <w:color w:val="000000"/>
                          <w:sz w:val="18"/>
                        </w:rPr>
                        <w:instrText xml:space="preserve"> NUMPAGES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p>
                  </w:tc>
                </w:tr>
              </w:tbl>
              <w:p>
                <w:pPr>
                  <w:spacing w:after="0" w:line="240" w:lineRule="auto"/>
                </w:pPr>
              </w:p>
            </w:tc>
          </w:tr>
          <w:tr>
            <w:trPr>
              <w:trHeight w:val="15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bl>
        <w:p>
          <w:pPr>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tbl>
          <w:tblPr>
            <w:tblCellMar>
              <w:top w:w="0" w:type="dxa"/>
              <w:left w:w="0" w:type="dxa"/>
              <w:bottom w:w="0" w:type="dxa"/>
              <w:right w:w="0" w:type="dxa"/>
            </w:tblCellMar>
          </w:tblPr>
          <w:tblGrid>
            <w:gridCol w:w="979"/>
          </w:tblGrid>
          <w:tr>
            <w:trPr>
              <w:trHeight w:val="220" w:hRule="atLeast"/>
            </w:trPr>
            <w:tc>
              <w:tcPr>
                <w:tcW w:w="97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8"/>
                  </w:rPr>
                  <w:t xml:space="preserve">v3.08_26</w:t>
                </w:r>
              </w:p>
            </w:tc>
          </w:tr>
        </w:tbl>
        <w:p>
          <w:pPr>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bl>
</w:ftr>
</file>

<file path=word/header0.xml><?xml version="1.0" encoding="utf-8"?>
<w:hd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204"/>
      <w:gridCol w:w="5865"/>
      <w:gridCol w:w="6674"/>
      <w:gridCol w:w="3140"/>
      <w:gridCol w:w="122"/>
    </w:tblGrid>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990"/>
            <w:gridCol w:w="115"/>
            <w:gridCol w:w="3358"/>
            <w:gridCol w:w="400"/>
          </w:tblGrid>
          <w:tr>
            <w:trPr>
              <w:trHeight w:val="159" w:hRule="atLeast"/>
            </w:trPr>
            <w:tc>
              <w:tcPr>
                <w:tcW w:w="1990" w:type="dxa"/>
              </w:tcPr>
              <w:p>
                <w:pPr>
                  <w:pStyle w:val="EmptyCellLayoutStyle"/>
                  <w:spacing w:after="0" w:line="240" w:lineRule="auto"/>
                </w:pPr>
              </w:p>
            </w:tc>
            <w:tc>
              <w:tcPr>
                <w:tcW w:w="115" w:type="dxa"/>
              </w:tcPr>
              <w:p>
                <w:pPr>
                  <w:pStyle w:val="EmptyCellLayoutStyle"/>
                  <w:spacing w:after="0" w:line="240" w:lineRule="auto"/>
                </w:pPr>
              </w:p>
            </w:tc>
            <w:tc>
              <w:tcPr>
                <w:tcW w:w="3358" w:type="dxa"/>
              </w:tcPr>
              <w:p>
                <w:pPr>
                  <w:pStyle w:val="EmptyCellLayoutStyle"/>
                  <w:spacing w:after="0" w:line="240" w:lineRule="auto"/>
                </w:pPr>
              </w:p>
            </w:tc>
            <w:tc>
              <w:tcPr>
                <w:tcW w:w="400" w:type="dxa"/>
              </w:tcPr>
              <w:p>
                <w:pPr>
                  <w:pStyle w:val="EmptyCellLayoutStyle"/>
                  <w:spacing w:after="0" w:line="240" w:lineRule="auto"/>
                </w:pPr>
              </w:p>
            </w:tc>
          </w:tr>
          <w:tr>
            <w:trPr/>
            <w:tc>
              <w:tcPr>
                <w:tcW w:w="1990"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034939" cy="549526"/>
                      <wp:docPr id="0" name="img3.jpg"/>
                      <a:graphic>
                        <a:graphicData uri="http://schemas.openxmlformats.org/drawingml/2006/picture">
                          <pic:pic>
                            <pic:nvPicPr>
                              <pic:cNvPr id="1" name="img3.jpg"/>
                              <pic:cNvPicPr/>
                            </pic:nvPicPr>
                            <pic:blipFill>
                              <a:blip r:embed="rId6" cstate="print"/>
                              <a:stretch>
                                <a:fillRect r="0" b="0"/>
                              </a:stretch>
                            </pic:blipFill>
                            <pic:spPr>
                              <a:xfrm>
                                <a:off x="0" y="0"/>
                                <a:ext cx="1034939" cy="549526"/>
                              </a:xfrm>
                              <a:prstGeom prst="rect">
                                <a:avLst/>
                              </a:prstGeom>
                            </pic:spPr>
                          </pic:pic>
                        </a:graphicData>
                      </a:graphic>
                    </wp:inline>
                  </w:drawing>
                </w:r>
              </w:p>
            </w:tc>
            <w:tc>
              <w:tcPr>
                <w:tcW w:w="115" w:type="dxa"/>
              </w:tcPr>
              <w:p>
                <w:pPr>
                  <w:pStyle w:val="EmptyCellLayoutStyle"/>
                  <w:spacing w:after="0" w:line="240" w:lineRule="auto"/>
                </w:pPr>
              </w:p>
            </w:tc>
            <w:tc>
              <w:tcPr>
                <w:tcW w:w="335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899706" cy="549526"/>
                      <wp:docPr id="2" name="img4.jpg"/>
                      <a:graphic>
                        <a:graphicData uri="http://schemas.openxmlformats.org/drawingml/2006/picture">
                          <pic:pic>
                            <pic:nvPicPr>
                              <pic:cNvPr id="3" name="img4.jpg"/>
                              <pic:cNvPicPr/>
                            </pic:nvPicPr>
                            <pic:blipFill>
                              <a:blip r:embed="rId7" cstate="print"/>
                              <a:stretch>
                                <a:fillRect r="0" b="0"/>
                              </a:stretch>
                            </pic:blipFill>
                            <pic:spPr>
                              <a:xfrm>
                                <a:off x="0" y="0"/>
                                <a:ext cx="1899706" cy="549526"/>
                              </a:xfrm>
                              <a:prstGeom prst="rect">
                                <a:avLst/>
                              </a:prstGeom>
                            </pic:spPr>
                          </pic:pic>
                        </a:graphicData>
                      </a:graphic>
                    </wp:inline>
                  </w:drawing>
                </w:r>
              </w:p>
            </w:tc>
            <w:tc>
              <w:tcPr>
                <w:tcW w:w="400" w:type="dxa"/>
              </w:tcPr>
              <w:p>
                <w:pPr>
                  <w:pStyle w:val="EmptyCellLayoutStyle"/>
                  <w:spacing w:after="0" w:line="240" w:lineRule="auto"/>
                </w:pPr>
              </w:p>
            </w:tc>
          </w:tr>
        </w:tbl>
        <w:p>
          <w:pPr>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continue"/>
        </w:tcPr>
        <w:p>
          <w:pPr>
            <w:pStyle w:val="EmptyCellLayoutStyle"/>
            <w:spacing w:after="0" w:line="240" w:lineRule="auto"/>
          </w:pPr>
        </w:p>
      </w:tc>
      <w:tc>
        <w:tcPr>
          <w:tcW w:w="6674" w:type="dxa"/>
        </w:tcPr>
        <w:p>
          <w:pPr>
            <w:pStyle w:val="EmptyCellLayoutStyle"/>
            <w:spacing w:after="0" w:line="240" w:lineRule="auto"/>
          </w:pPr>
        </w:p>
      </w:tc>
      <w:tc>
        <w:tcPr>
          <w:tcW w:w="3140" w:type="dxa"/>
        </w:tcPr>
        <w:tbl>
          <w:tblPr>
            <w:tblCellMar>
              <w:top w:w="0" w:type="dxa"/>
              <w:left w:w="0" w:type="dxa"/>
              <w:bottom w:w="0" w:type="dxa"/>
              <w:right w:w="0" w:type="dxa"/>
            </w:tblCellMar>
          </w:tblPr>
          <w:tblGrid>
            <w:gridCol w:w="3140"/>
          </w:tblGrid>
          <w:tr>
            <w:trPr>
              <w:trHeight w:val="797" w:hRule="atLeast"/>
            </w:trPr>
            <w:tc>
              <w:tcPr>
                <w:tcW w:w="3140"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Last Updated by: </w:t>
                </w:r>
                <w:r>
                  <w:rPr>
                    <w:rFonts w:ascii="Arial" w:hAnsi="Arial" w:eastAsia="Arial"/>
                    <w:color w:val="000000"/>
                    <w:sz w:val="20"/>
                  </w:rPr>
                  <w:t xml:space="preserve">SPSRMURP</w:t>
                </w:r>
              </w:p>
              <w:p>
                <w:pPr>
                  <w:spacing w:after="0" w:line="240" w:lineRule="auto"/>
                  <w:jc w:val="left"/>
                </w:pPr>
                <w:r>
                  <w:rPr>
                    <w:rFonts w:ascii="Arial" w:hAnsi="Arial" w:eastAsia="Arial"/>
                    <w:color w:val="000000"/>
                    <w:sz w:val="20"/>
                  </w:rPr>
                  <w:t xml:space="preserve">Date: </w:t>
                </w:r>
                <w:r>
                  <w:rPr>
                    <w:rFonts w:ascii="Arial" w:hAnsi="Arial" w:eastAsia="Arial"/>
                    <w:color w:val="000000"/>
                    <w:sz w:val="20"/>
                  </w:rPr>
                  <w:t xml:space="preserve">11/01/24</w:t>
                </w:r>
              </w:p>
            </w:tc>
          </w:tr>
        </w:tbl>
        <w:p>
          <w:pPr>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bl>
</w:hd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header" Target="/word/header0.xml" Id="rId5" /><Relationship Type="http://schemas.openxmlformats.org/officeDocument/2006/relationships/footer" Target="/word/footer1.xml" Id="rId8" /><Relationship Type="http://schemas.openxmlformats.org/officeDocument/2006/relationships/numbering" Target="/word/numbering.xml" Id="rId10" /></Relationships>
</file>

<file path=word/_rels/header0.xml.rels>&#65279;<?xml version="1.0" encoding="utf-8"?><Relationships xmlns="http://schemas.openxmlformats.org/package/2006/relationships"><Relationship Type="http://schemas.openxmlformats.org/officeDocument/2006/relationships/image" Target="/word/media/img3.jpg" Id="rId6" /><Relationship Type="http://schemas.openxmlformats.org/officeDocument/2006/relationships/image" Target="/word/media/img4.jpg" Id="rId7"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Reflection_and_Action_Plan</dc:title>
</cp:coreProperties>
</file>