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jpg" ContentType="image/jpg"/>
  <Override PartName="/word/styles.xml" ContentType="application/vnd.openxmlformats-officedocument.wordprocessingml.styles+xml"/>
  <Override PartName="/word/settings.xml" ContentType="application/vnd.openxmlformats-officedocument.wordprocessingml.settings+xml"/>
  <Override PartName="/word/header0.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Id2" /><Relationship Type="http://schemas.openxmlformats.org/package/2006/relationships/metadata/core-properties" Target="/docProps/core.xml" Id="rId9" /></Relationships>
</file>

<file path=word/document.xml><?xml version="1.0" encoding="utf-8"?>
<w:document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body>
    <w:tbl>
      <w:tblPr>
        <w:tblCellMar>
          <w:top w:w="0" w:type="dxa"/>
          <w:left w:w="0" w:type="dxa"/>
          <w:bottom w:w="0" w:type="dxa"/>
          <w:right w:w="0" w:type="dxa"/>
        </w:tblCellMar>
      </w:tblPr>
      <w:tblGrid>
        <w:gridCol w:w="138"/>
        <w:gridCol w:w="4"/>
        <w:gridCol w:w="61"/>
        <w:gridCol w:w="15515"/>
        <w:gridCol w:w="161"/>
        <w:gridCol w:w="122"/>
      </w:tblGrid>
      <w:tr>
        <w:trPr>
          <w:trHeight w:val="159"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rHeight w:val="430"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tbl>
            <w:tblPr>
              <w:tblCellMar>
                <w:top w:w="0" w:type="dxa"/>
                <w:left w:w="0" w:type="dxa"/>
                <w:bottom w:w="0" w:type="dxa"/>
                <w:right w:w="0" w:type="dxa"/>
              </w:tblCellMar>
            </w:tblPr>
            <w:tblGrid>
              <w:gridCol w:w="15515"/>
            </w:tblGrid>
            <w:tr>
              <w:trPr>
                <w:trHeight w:val="352" w:hRule="atLeast"/>
              </w:trPr>
              <w:tc>
                <w:tcPr>
                  <w:tcW w:w="1551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4"/>
                      <w:u w:val="single"/>
                    </w:rPr>
                    <w:t xml:space="preserve">Programme Reflection and Action Plan</w:t>
                  </w:r>
                </w:p>
              </w:tc>
            </w:tr>
          </w:tbl>
          <w:p>
            <w:pPr>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rHeight w:val="99"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2"/>
              <w:gridCol w:w="1031"/>
              <w:gridCol w:w="2191"/>
              <w:gridCol w:w="9702"/>
              <w:gridCol w:w="1790"/>
            </w:tblGrid>
            <w:tr>
              <w:trPr>
                <w:trHeight w:val="262" w:hRule="atLeast"/>
              </w:trPr>
              <w:tc>
                <w:tcPr>
                  <w:tcW w:w="96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Faculty</w:t>
                  </w:r>
                </w:p>
              </w:tc>
              <w:tc>
                <w:tcPr>
                  <w:tcW w:w="103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School</w:t>
                  </w:r>
                </w:p>
              </w:tc>
              <w:tc>
                <w:tcPr>
                  <w:tcW w:w="219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Code</w:t>
                  </w:r>
                </w:p>
              </w:tc>
              <w:tc>
                <w:tcPr>
                  <w:tcW w:w="970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Title</w:t>
                  </w:r>
                </w:p>
              </w:tc>
              <w:tc>
                <w:tcPr>
                  <w:tcW w:w="1790"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Intake Month</w:t>
                  </w:r>
                </w:p>
              </w:tc>
            </w:tr>
            <w:tr>
              <w:trPr>
                <w:trHeight w:val="262" w:hRule="atLeast"/>
              </w:trPr>
              <w:tc>
                <w:tcPr>
                  <w:tcW w:w="96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FCC</w:t>
                  </w:r>
                </w:p>
              </w:tc>
              <w:tc>
                <w:tcPr>
                  <w:tcW w:w="103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SPS</w:t>
                  </w:r>
                </w:p>
              </w:tc>
              <w:tc>
                <w:tcPr>
                  <w:tcW w:w="219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24"/>
                    </w:rPr>
                    <w:t xml:space="preserve">30911</w:t>
                  </w:r>
                </w:p>
              </w:tc>
              <w:tc>
                <w:tcPr>
                  <w:tcW w:w="970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Sport and Exercise Science</w:t>
                  </w:r>
                </w:p>
              </w:tc>
              <w:tc>
                <w:tcPr>
                  <w:tcW w:w="1790"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Sep</w:t>
                  </w:r>
                </w:p>
              </w:tc>
            </w:tr>
            <w:tr>
              <w:trPr>
                <w:trHeight w:val="262" w:hRule="atLeast"/>
              </w:trPr>
              <w:tc>
                <w:tcPr>
                  <w:tcW w:w="96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FCC</w:t>
                  </w:r>
                </w:p>
              </w:tc>
              <w:tc>
                <w:tcPr>
                  <w:tcW w:w="103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SPS</w:t>
                  </w:r>
                </w:p>
              </w:tc>
              <w:tc>
                <w:tcPr>
                  <w:tcW w:w="219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24"/>
                    </w:rPr>
                    <w:t xml:space="preserve">40911</w:t>
                  </w:r>
                </w:p>
              </w:tc>
              <w:tc>
                <w:tcPr>
                  <w:tcW w:w="970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Sport and Exercise Science</w:t>
                  </w:r>
                </w:p>
              </w:tc>
              <w:tc>
                <w:tcPr>
                  <w:tcW w:w="1790"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Sep</w:t>
                  </w:r>
                </w:p>
              </w:tc>
            </w:tr>
          </w:tbl>
          <w:p>
            <w:pPr>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178"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20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Reporting Year - </w:t>
                  </w:r>
                  <w:r>
                    <w:rPr>
                      <w:rFonts w:ascii="Arial" w:hAnsi="Arial" w:eastAsia="Arial"/>
                      <w:b/>
                      <w:color w:val="000000"/>
                      <w:sz w:val="24"/>
                    </w:rPr>
                    <w:t xml:space="preserve">2023</w:t>
                  </w:r>
                  <w:r>
                    <w:rPr>
                      <w:rFonts w:ascii="Arial" w:hAnsi="Arial" w:eastAsia="Arial"/>
                      <w:b/>
                      <w:color w:val="000000"/>
                      <w:sz w:val="24"/>
                    </w:rPr>
                    <w:t xml:space="preserve">/</w:t>
                  </w:r>
                  <w:r>
                    <w:rPr>
                      <w:rFonts w:ascii="Arial" w:hAnsi="Arial" w:eastAsia="Arial"/>
                      <w:b/>
                      <w:color w:val="000000"/>
                      <w:sz w:val="24"/>
                    </w:rPr>
                    <w:t xml:space="preserve">24</w:t>
                  </w:r>
                </w:p>
              </w:tc>
            </w:tr>
            <w:tr>
              <w:trPr>
                <w:trHeight w:val="980"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Reflection</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Overall the 2024 data reflect on the SES programmes (30911 and 40911) positively and this would generally be echoed by the programme team and staff in the completion of another successful year. This year had every module meeting their benchmark requirements and 5/7 categories on the NSS exceeding benchmark requirements. Teaching on my course was slightly under benchmark (-1.8%) as was Learning Opportunities (1.2%).</w:t>
                        </w:r>
                        <w:r>
                          <w:rPr>
                            <w:rFonts w:ascii="Arial" w:hAnsi="Arial" w:eastAsia="Arial"/>
                            <w:color w:val="000000"/>
                            <w:sz w:val="24"/>
                          </w:rPr>
                          <w:br/>
                        </w:r>
                        <w:r>
                          <w:rPr>
                            <w:rFonts w:ascii="Arial" w:hAnsi="Arial" w:eastAsia="Arial"/>
                            <w:color w:val="000000"/>
                            <w:sz w:val="24"/>
                          </w:rPr>
                          <w:br/>
                          <w:t xml:space="preserve">Recruitment for 2023/24 was at 122% which was consistent with the 5-year average for the programme but this is typically buoyed by foundation targets being &gt;140%. This has implications for delivery of the programme and large modules across the school and often does not result in excellent progression or completion statistics so additional recruitment should be seen from this perspective.</w:t>
                        </w:r>
                        <w:r>
                          <w:rPr>
                            <w:rFonts w:ascii="Arial" w:hAnsi="Arial" w:eastAsia="Arial"/>
                            <w:color w:val="000000"/>
                            <w:sz w:val="24"/>
                          </w:rPr>
                          <w:br/>
                        </w:r>
                        <w:r>
                          <w:rPr>
                            <w:rFonts w:ascii="Arial" w:hAnsi="Arial" w:eastAsia="Arial"/>
                            <w:color w:val="000000"/>
                            <w:sz w:val="24"/>
                          </w:rPr>
                          <w:br/>
                          <w:t xml:space="preserve">Retention and Continuation data are above 90% for the current L5 and L6. It should be noted that the 2021/22 retention data was at 84% but with a substantially greater intake (n=304) compared to the last three years (~220). Current numbers therefore seem to be appropriate from a continuation standpoint across the foundation and 3-year programmes. L4 progression for foundation students was 77% for 2023/24 which is similar to the long term trend.</w:t>
                        </w:r>
                        <w:r>
                          <w:rPr>
                            <w:rFonts w:ascii="Arial" w:hAnsi="Arial" w:eastAsia="Arial"/>
                            <w:color w:val="000000"/>
                            <w:sz w:val="24"/>
                          </w:rPr>
                          <w:br/>
                        </w:r>
                        <w:r>
                          <w:rPr>
                            <w:rFonts w:ascii="Arial" w:hAnsi="Arial" w:eastAsia="Arial"/>
                            <w:color w:val="000000"/>
                            <w:sz w:val="24"/>
                          </w:rPr>
                          <w:br/>
                          <w:t xml:space="preserve">Programme completion for 2021/22i is comfortably over the benchmark and attainment has increased slightly to 70% 2:1 or 1st degrees which is an improvement over the last two years but slightly below the 71.2% benchmark. Overall there are a small proportion of 2:2 and 3rds awarded but there remains a relatively small proportion of students achieving a 1st compared to a 2:1 - only 41/225. The trend is moving in the desired direction. Notably in 2023/24 only 60% of the foundation cohort achieved 2:1 or 1st but this is not reflective of the previous years where outcome from the foundation programme have been very positive (80% and 88% previous 2 years).</w:t>
                        </w:r>
                        <w:r>
                          <w:rPr>
                            <w:rFonts w:ascii="Arial" w:hAnsi="Arial" w:eastAsia="Arial"/>
                            <w:color w:val="000000"/>
                            <w:sz w:val="24"/>
                          </w:rPr>
                          <w:br/>
                        </w:r>
                        <w:r>
                          <w:rPr>
                            <w:rFonts w:ascii="Arial" w:hAnsi="Arial" w:eastAsia="Arial"/>
                            <w:color w:val="000000"/>
                            <w:sz w:val="24"/>
                          </w:rPr>
                          <w:br/>
                          <w:t xml:space="preserve">Of special note is that ALL modules have met the benchmark criteria for mean marks and pass rate. This reflect the hard work of the module teams and success of the current modules as the new programme continues to roll in.</w:t>
                        </w:r>
                        <w:r>
                          <w:rPr>
                            <w:rFonts w:ascii="Arial" w:hAnsi="Arial" w:eastAsia="Arial"/>
                            <w:color w:val="000000"/>
                            <w:sz w:val="24"/>
                          </w:rPr>
                          <w:br/>
                        </w:r>
                        <w:r>
                          <w:rPr>
                            <w:rFonts w:ascii="Arial" w:hAnsi="Arial" w:eastAsia="Arial"/>
                            <w:color w:val="000000"/>
                            <w:sz w:val="24"/>
                          </w:rPr>
                          <w:br/>
                          <w:t xml:space="preserve">NSS - 5/7 categories on the NSS exceeded benchmark requirements. It was particularly pleasing to see a big jump in Assessment and Feedback (up 9%) as this has been notoriously a problematic indicator on this programme. Student voice also improved by 10%. Teaching on my course was slightly under benchmark (-1.8%) as was Learning Opportunities (-1.2%) both of these metrics are on positive long term trends so this is overall a very successful outcome. Considering that this year group had a year of online learning this is an especially pleasing result. Future initiatives such as standardised canvas sites, smaller cohorts in level 6 should also continue to have positive outcomes in the future.</w:t>
                        </w:r>
                        <w:r>
                          <w:rPr>
                            <w:rFonts w:ascii="Arial" w:hAnsi="Arial" w:eastAsia="Arial"/>
                            <w:color w:val="000000"/>
                            <w:sz w:val="24"/>
                          </w:rPr>
                          <w:br/>
                        </w:r>
                        <w:r>
                          <w:rPr>
                            <w:rFonts w:ascii="Arial" w:hAnsi="Arial" w:eastAsia="Arial"/>
                            <w:color w:val="000000"/>
                            <w:sz w:val="24"/>
                          </w:rPr>
                          <w:br/>
                          <w:t xml:space="preserve">Graduation progression data was much improved for 2021/22 at 79% - an increase from 61%. It is not clear what has contributed to such a substantial jump so any intelligence/ information that we could get about this would be useful to communicate with the programme team and school.</w:t>
                        </w:r>
                        <w:r>
                          <w:rPr>
                            <w:rFonts w:ascii="Arial" w:hAnsi="Arial" w:eastAsia="Arial"/>
                            <w:color w:val="000000"/>
                            <w:sz w:val="24"/>
                          </w:rPr>
                          <w:br/>
                        </w:r>
                        <w:r>
                          <w:rPr>
                            <w:rFonts w:ascii="Arial" w:hAnsi="Arial" w:eastAsia="Arial"/>
                            <w:color w:val="000000"/>
                            <w:sz w:val="24"/>
                          </w:rPr>
                          <w:br/>
                          <w:t xml:space="preserve">There are no substantial issues to raise here as urgent but there are items added to the action plan that may require some school level co-ordination: (1) Continued reflection of AI use within programmes, (2) timetable challenges, (3) challenges of compulsory placements, (4) as Level 6 is new this year it is important to continue to check with module leaders that everything is running smoothly.</w:t>
                        </w:r>
                      </w:p>
                    </w:tc>
                  </w:tr>
                </w:tbl>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3271"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recommendations following Validation/Review</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w:t>
                        </w:r>
                        <w:r>
                          <w:rPr>
                            <w:rFonts w:ascii="Arial" w:hAnsi="Arial" w:eastAsia="Arial"/>
                            <w:b/>
                            <w:color w:val="000000"/>
                            <w:sz w:val="24"/>
                          </w:rPr>
                          <w:t xml:space="preserve">outcomes of PSRB engagement</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3D3D3"/>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Director of School / Delegate Feedback</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Programme performance has been thoroughly considered at module and overall programme level. There are mixed outcomes for key performance indicators that have been identified such as:</w:t>
                        </w:r>
                        <w:r>
                          <w:rPr>
                            <w:rFonts w:ascii="Arial" w:hAnsi="Arial" w:eastAsia="Arial"/>
                            <w:color w:val="000000"/>
                            <w:sz w:val="24"/>
                          </w:rPr>
                          <w:br/>
                          <w:t xml:space="preserve">â€¢ Progression from foundation year is below the benchmark </w:t>
                        </w:r>
                        <w:r>
                          <w:rPr>
                            <w:rFonts w:ascii="Arial" w:hAnsi="Arial" w:eastAsia="Arial"/>
                            <w:color w:val="000000"/>
                            <w:sz w:val="24"/>
                          </w:rPr>
                          <w:br/>
                          <w:t xml:space="preserve">â€¢ Continuation from L4-L5 is above benchmark </w:t>
                        </w:r>
                        <w:r>
                          <w:rPr>
                            <w:rFonts w:ascii="Arial" w:hAnsi="Arial" w:eastAsia="Arial"/>
                            <w:color w:val="000000"/>
                            <w:sz w:val="24"/>
                          </w:rPr>
                          <w:br/>
                          <w:t xml:space="preserve">â€¢ Module performance is above benchmark across the board </w:t>
                        </w:r>
                        <w:r>
                          <w:rPr>
                            <w:rFonts w:ascii="Arial" w:hAnsi="Arial" w:eastAsia="Arial"/>
                            <w:color w:val="000000"/>
                            <w:sz w:val="24"/>
                          </w:rPr>
                          <w:br/>
                          <w:t xml:space="preserve">â€¢ NSS has mixed outcomes. Teaching on my course and Learning opportunities are below benchmark</w:t>
                        </w:r>
                        <w:r>
                          <w:rPr>
                            <w:rFonts w:ascii="Arial" w:hAnsi="Arial" w:eastAsia="Arial"/>
                            <w:color w:val="000000"/>
                            <w:sz w:val="24"/>
                          </w:rPr>
                          <w:br/>
                          <w:t xml:space="preserve">â€¢ Progression is above subject and OfS benchmark </w:t>
                        </w:r>
                        <w:r>
                          <w:rPr>
                            <w:rFonts w:ascii="Arial" w:hAnsi="Arial" w:eastAsia="Arial"/>
                            <w:color w:val="000000"/>
                            <w:sz w:val="24"/>
                          </w:rPr>
                          <w:br/>
                        </w:r>
                        <w:r>
                          <w:rPr>
                            <w:rFonts w:ascii="Arial" w:hAnsi="Arial" w:eastAsia="Arial"/>
                            <w:color w:val="000000"/>
                            <w:sz w:val="24"/>
                          </w:rPr>
                          <w:br/>
                          <w:t xml:space="preserve">Key areas of reflection and action from the programme team include:</w:t>
                        </w:r>
                        <w:r>
                          <w:rPr>
                            <w:rFonts w:ascii="Arial" w:hAnsi="Arial" w:eastAsia="Arial"/>
                            <w:color w:val="000000"/>
                            <w:sz w:val="24"/>
                          </w:rPr>
                          <w:br/>
                          <w:t xml:space="preserve">â€¢ Review of L6 (placement and module choices) </w:t>
                        </w:r>
                        <w:r>
                          <w:rPr>
                            <w:rFonts w:ascii="Arial" w:hAnsi="Arial" w:eastAsia="Arial"/>
                            <w:color w:val="000000"/>
                            <w:sz w:val="24"/>
                          </w:rPr>
                          <w:br/>
                          <w:t xml:space="preserve">â€¢ Progression through sandwich year</w:t>
                        </w:r>
                        <w:r>
                          <w:rPr>
                            <w:rFonts w:ascii="Arial" w:hAnsi="Arial" w:eastAsia="Arial"/>
                            <w:color w:val="000000"/>
                            <w:sz w:val="24"/>
                          </w:rPr>
                          <w:br/>
                          <w:t xml:space="preserve">â€¢ AI and assessment </w:t>
                        </w:r>
                        <w:r>
                          <w:rPr>
                            <w:rFonts w:ascii="Arial" w:hAnsi="Arial" w:eastAsia="Arial"/>
                            <w:color w:val="000000"/>
                            <w:sz w:val="24"/>
                          </w:rPr>
                          <w:br/>
                          <w:t xml:space="preserve">â€¢ Personal tutoring </w:t>
                        </w:r>
                        <w:r>
                          <w:rPr>
                            <w:rFonts w:ascii="Arial" w:hAnsi="Arial" w:eastAsia="Arial"/>
                            <w:color w:val="000000"/>
                            <w:sz w:val="24"/>
                          </w:rPr>
                          <w:br/>
                        </w:r>
                        <w:r>
                          <w:rPr>
                            <w:rFonts w:ascii="Arial" w:hAnsi="Arial" w:eastAsia="Arial"/>
                            <w:color w:val="000000"/>
                            <w:sz w:val="24"/>
                          </w:rPr>
                          <w:br/>
                          <w:t xml:space="preserve">The reflections and actions align with identified school strategic priorities in relation to; continuation/completion; Student Experience; Progression. Areas that potentially need further attention are; induction and monitoring student engagement through census points (continuation/completion); Teaching on my course (Student Experience); Placement opportunities for students (progression).  </w:t>
                        </w:r>
                        <w:r>
                          <w:rPr>
                            <w:rFonts w:ascii="Arial" w:hAnsi="Arial" w:eastAsia="Arial"/>
                            <w:color w:val="000000"/>
                            <w:sz w:val="24"/>
                          </w:rPr>
                          <w:br/>
                        </w:r>
                      </w:p>
                    </w:tc>
                  </w:tr>
                </w:tbl>
                <w:p>
                  <w:pPr>
                    <w:spacing w:after="0" w:line="240" w:lineRule="auto"/>
                  </w:pPr>
                </w:p>
              </w:tc>
            </w:tr>
            <w:tr>
              <w:trPr>
                <w:trHeight w:val="20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Reporting Year - </w:t>
                  </w:r>
                  <w:r>
                    <w:rPr>
                      <w:rFonts w:ascii="Arial" w:hAnsi="Arial" w:eastAsia="Arial"/>
                      <w:b/>
                      <w:color w:val="000000"/>
                      <w:sz w:val="24"/>
                    </w:rPr>
                    <w:t xml:space="preserve">2022</w:t>
                  </w:r>
                  <w:r>
                    <w:rPr>
                      <w:rFonts w:ascii="Arial" w:hAnsi="Arial" w:eastAsia="Arial"/>
                      <w:b/>
                      <w:color w:val="000000"/>
                      <w:sz w:val="24"/>
                    </w:rPr>
                    <w:t xml:space="preserve">/</w:t>
                  </w:r>
                  <w:r>
                    <w:rPr>
                      <w:rFonts w:ascii="Arial" w:hAnsi="Arial" w:eastAsia="Arial"/>
                      <w:b/>
                      <w:color w:val="000000"/>
                      <w:sz w:val="24"/>
                    </w:rPr>
                    <w:t xml:space="preserve">23</w:t>
                  </w:r>
                </w:p>
              </w:tc>
            </w:tr>
            <w:tr>
              <w:trPr>
                <w:trHeight w:val="980"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Reflection</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This year Level 4 of the newly validated programme was rolled out, whilst L5 and L6 of the old programme were delivered.  We received very positive feedback from all external examiners regarding the new L4, in which we have addressed previous concerns around consistency of marking and feedback.  New assessment approaches in L4 were also praised for their innovative use of digital technology and reflective practice and also the amount of valuable canvas resources available to students.  </w:t>
                        </w:r>
                        <w:r>
                          <w:rPr>
                            <w:rFonts w:ascii="Arial" w:hAnsi="Arial" w:eastAsia="Arial"/>
                            <w:color w:val="000000"/>
                            <w:sz w:val="24"/>
                          </w:rPr>
                          <w:br/>
                        </w:r>
                        <w:r>
                          <w:rPr>
                            <w:rFonts w:ascii="Arial" w:hAnsi="Arial" w:eastAsia="Arial"/>
                            <w:color w:val="000000"/>
                            <w:sz w:val="24"/>
                          </w:rPr>
                          <w:br/>
                          <w:t xml:space="preserve">Other available programme data is also very encouraging.  All modules at levels 4 , 5 and 6 exceeded university benchmarks for mean marks and pass rates and all but 1 module exceeded targets for median module survey scores.  All level 5 modules were above threshold, which is a noticeable improvement on previous years.</w:t>
                        </w:r>
                        <w:r>
                          <w:rPr>
                            <w:rFonts w:ascii="Arial" w:hAnsi="Arial" w:eastAsia="Arial"/>
                            <w:color w:val="000000"/>
                            <w:sz w:val="24"/>
                          </w:rPr>
                          <w:br/>
                        </w:r>
                        <w:r>
                          <w:rPr>
                            <w:rFonts w:ascii="Arial" w:hAnsi="Arial" w:eastAsia="Arial"/>
                            <w:color w:val="000000"/>
                            <w:sz w:val="24"/>
                          </w:rPr>
                          <w:br/>
                          <w:t xml:space="preserve">We also saw an improvement in NSS scores across the board from the previous two years and all categories were above benchmark with the exception of the student voice, which is an area we focused on last year, but will continue to do so this year to improve further with the aim to exceed benchmark this next year.</w:t>
                        </w:r>
                        <w:r>
                          <w:rPr>
                            <w:rFonts w:ascii="Arial" w:hAnsi="Arial" w:eastAsia="Arial"/>
                            <w:color w:val="000000"/>
                            <w:sz w:val="24"/>
                          </w:rPr>
                          <w:br/>
                        </w:r>
                        <w:r>
                          <w:rPr>
                            <w:rFonts w:ascii="Arial" w:hAnsi="Arial" w:eastAsia="Arial"/>
                            <w:color w:val="000000"/>
                            <w:sz w:val="24"/>
                          </w:rPr>
                          <w:br/>
                          <w:t xml:space="preserve">With regards to further areas of improvement, external examiners and student reps have highlighted the need for better consistency of support across personal tutors and project supervisors and a new personal tutor system is being put in place this year to begin to address some of these concerns, which will also help with student continuation and progression.  We also need to consider the use of more innovative assessment reflecting real-life scenarios at levels 5 and in particular 6, and incorporate more time and thought around the usage of technologies and A.I.</w:t>
                        </w:r>
                      </w:p>
                    </w:tc>
                  </w:tr>
                </w:tbl>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3271"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recommendations following Validation/Review</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One area which was identified for review as a school following validation of the new suite of programmes was ensuring a 50:50 split between quantitative and qualitative taught content at L4 and L5 within the shared research methods modules.  However, this is an area for potential concern for the Sport and Exercise Science cohort as most major projects are quantitative.  Consideration is needed on where the displaced quantitative teaching may now sit.</w:t>
                        </w: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w:t>
                        </w:r>
                        <w:r>
                          <w:rPr>
                            <w:rFonts w:ascii="Arial" w:hAnsi="Arial" w:eastAsia="Arial"/>
                            <w:b/>
                            <w:color w:val="000000"/>
                            <w:sz w:val="24"/>
                          </w:rPr>
                          <w:t xml:space="preserve">outcomes of PSRB engagement</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No action taken.  BASES endorsement was attained for the newly validated programme for the start of the 2022-23 academic year</w:t>
                        </w: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3D3D3"/>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Director of School / Delegate Feedback</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This report has been completed by the programme leader, with subsequent amendments following School Director review. </w:t>
                        </w:r>
                      </w:p>
                    </w:tc>
                  </w:tr>
                </w:tbl>
                <w:p>
                  <w:pPr>
                    <w:spacing w:after="0" w:line="240" w:lineRule="auto"/>
                  </w:pPr>
                </w:p>
              </w:tc>
            </w:tr>
          </w:tbl>
          <w:p>
            <w:pPr>
              <w:spacing w:after="0" w:line="240" w:lineRule="auto"/>
            </w:pPr>
          </w:p>
        </w:tc>
        <w:tc>
          <w:tcPr>
            <w:tcW w:w="15515" w:type="dxa"/>
            <w:hMerge w:val="continue"/>
          </w:tcPr>
          <w:p>
            <w:pPr>
              <w:pStyle w:val="EmptyCellLayoutStyle"/>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555"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42"/>
            </w:tblGrid>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2025</w:t>
                  </w:r>
                  <w:r>
                    <w:rPr>
                      <w:rFonts w:ascii="Arial" w:hAnsi="Arial" w:eastAsia="Arial"/>
                      <w:b/>
                      <w:color w:val="000000"/>
                      <w:sz w:val="24"/>
                    </w:rPr>
                    <w:t xml:space="preserve">/</w:t>
                  </w:r>
                  <w:r>
                    <w:rPr>
                      <w:rFonts w:ascii="Arial" w:hAnsi="Arial" w:eastAsia="Arial"/>
                      <w:b/>
                      <w:color w:val="000000"/>
                      <w:sz w:val="24"/>
                    </w:rPr>
                    <w:t xml:space="preserve">26</w:t>
                  </w:r>
                </w:p>
              </w:tc>
            </w:tr>
            <w:tr>
              <w:trPr>
                <w:trHeight w:val="5896"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Progression of Graduates: The programme’s positive Graduate Outcomes rate of 71.7% remains above the subject benchmark of 67.7% and the OfS baseline of 60%. However, the decline from 78.9% in 2021/22 and 78.2% in 2022/23 indicates that performance should be strengthened rather than judged solely against the current benchmark. </w:t>
                        </w:r>
                        <w:r>
                          <w:rPr>
                            <w:rFonts w:ascii="Arial" w:hAnsi="Arial" w:eastAsia="Arial"/>
                            <w:color w:val="000000"/>
                            <w:sz w:val="20"/>
                          </w:rPr>
                          <w:br/>
                          <w:t xml:space="preserve">Through the PPR process the programme team have created a pathway structure at level 6 to help students decide on career routes and choose suitable optional modules.  To further enhance the career support to students we will introduce further graduate transition support sessions at L5 and 6 by putting on sessions involving careers support, alumni and/or employers.  This process was started with L5 students in semester 2 of 2025-2026, so hopefully we will see the benefit of this when these students graduate.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Graduate Outcomes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20/10/26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Teaching on my course: Although Teaching on My Course remains positive at 87%, performance is below the subject benchmark of 88.8% and the aspiration rate of 91.3%. The programme will strengthen its approach to teaching enhancement by using NSS, module evaluation, student performance and student voice forum data to identify the aspects of teaching requiring improvement. Particular attention will be given to clarity of explanation, intellectual stimulation, inclusive teaching and the extent to which teaching helps students apply knowledge to professional and practical contexts.</w:t>
                        </w:r>
                        <w:r>
                          <w:rPr>
                            <w:rFonts w:ascii="Arial" w:hAnsi="Arial" w:eastAsia="Arial"/>
                            <w:color w:val="000000"/>
                            <w:sz w:val="20"/>
                          </w:rPr>
                          <w:br/>
                        </w:r>
                        <w:r>
                          <w:rPr>
                            <w:rFonts w:ascii="Arial" w:hAnsi="Arial" w:eastAsia="Arial"/>
                            <w:color w:val="000000"/>
                            <w:sz w:val="20"/>
                          </w:rPr>
                          <w:br/>
                          <w:t xml:space="preserve">In addition to the School initiatives, part of programme meetings will be saved for teaching-development discussions.  Each module team will identify one evidence-based improvement to teaching or learning design. Good practice identified through module evaluations, student feedback and teaching observation will be shared at these sessions. The programme will also work with student representatives to explore what students understand by high-quality teaching and to evaluate the effect of agreed changes.</w:t>
                        </w:r>
                        <w:r>
                          <w:rPr>
                            <w:rFonts w:ascii="Arial" w:hAnsi="Arial" w:eastAsia="Arial"/>
                            <w:color w:val="000000"/>
                            <w:sz w:val="20"/>
                          </w:rPr>
                          <w:br/>
                        </w:r>
                        <w:r>
                          <w:rPr>
                            <w:rFonts w:ascii="Arial" w:hAnsi="Arial" w:eastAsia="Arial"/>
                            <w:color w:val="000000"/>
                            <w:sz w:val="20"/>
                          </w:rPr>
                          <w:br/>
                          <w:t xml:space="preserve">By the end of the academic year, all core modules will have documented and evaluated at least one teaching enhancement. Progress will be monitored through mid-module feedback, module evaluation results and NSS performance, with the aim of increasing Teaching on My Course to at least the subject benchmark in the next survey cycle and progressing towards or beyond the 91.3% aspiration rate.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20/10/26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Use PPR to embed A.I literacy and sustainability throughout the programme.  Review of the existing provision has highlighted these are two areas we need to enhance within the programme.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Graduate Outcomes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01/12/2026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Re-design PT/PLG approach to address academic support, student voice, module support, engagement and student progression.  This will be done by the programme team as part of the current PPR.</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Continuation, Level 4-5 Progression, 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01/12/2026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TIMETABLING </w:t>
                        </w:r>
                        <w:r>
                          <w:rPr>
                            <w:rFonts w:ascii="Arial" w:hAnsi="Arial" w:eastAsia="Arial"/>
                            <w:color w:val="000000"/>
                            <w:sz w:val="20"/>
                          </w:rPr>
                          <w:br/>
                          <w:t xml:space="preserve">The current timetabling system does not work for our programme.  This year classes are being held on Wednesdays, there are changes in rooms and times on a weekly basis, this has been reported as an issue in student feedback and will continue to impact on the student experience.  </w:t>
                        </w:r>
                        <w:r>
                          <w:rPr>
                            <w:rFonts w:ascii="Arial" w:hAnsi="Arial" w:eastAsia="Arial"/>
                            <w:color w:val="000000"/>
                            <w:sz w:val="20"/>
                          </w:rPr>
                          <w:br/>
                          <w:t xml:space="preserve">The programme team proposes the following structure:</w:t>
                        </w:r>
                        <w:r>
                          <w:rPr>
                            <w:rFonts w:ascii="Arial" w:hAnsi="Arial" w:eastAsia="Arial"/>
                            <w:color w:val="000000"/>
                            <w:sz w:val="20"/>
                          </w:rPr>
                          <w:br/>
                          <w:t xml:space="preserve">L4 students timetabled on Mondays and Tuesdays</w:t>
                        </w:r>
                        <w:r>
                          <w:rPr>
                            <w:rFonts w:ascii="Arial" w:hAnsi="Arial" w:eastAsia="Arial"/>
                            <w:color w:val="000000"/>
                            <w:sz w:val="20"/>
                          </w:rPr>
                          <w:br/>
                          <w:t xml:space="preserve">L5 students timetabled on Thursdays and Fridays.</w:t>
                        </w:r>
                        <w:r>
                          <w:rPr>
                            <w:rFonts w:ascii="Arial" w:hAnsi="Arial" w:eastAsia="Arial"/>
                            <w:color w:val="000000"/>
                            <w:sz w:val="20"/>
                          </w:rPr>
                          <w:br/>
                          <w:t xml:space="preserve">L6 students will depend on optional module/pathway chosen.</w:t>
                        </w:r>
                        <w:r>
                          <w:rPr>
                            <w:rFonts w:ascii="Arial" w:hAnsi="Arial" w:eastAsia="Arial"/>
                            <w:color w:val="000000"/>
                            <w:sz w:val="20"/>
                          </w:rPr>
                          <w:br/>
                          <w:t xml:space="preserve">This set up would also mean students could more easily work around their studies and save on transport costs. </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 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PBSISADL</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Continue to improve student voice metric with the target this year of above threshold.</w:t>
                        </w:r>
                        <w:r>
                          <w:rPr>
                            <w:rFonts w:ascii="Arial" w:hAnsi="Arial" w:eastAsia="Arial"/>
                            <w:color w:val="000000"/>
                            <w:sz w:val="20"/>
                          </w:rPr>
                          <w:br/>
                          <w:t xml:space="preserve">Work with course reps and School rep to increase engagement, consider dissemination of forum feedback.</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2024</w:t>
                  </w:r>
                  <w:r>
                    <w:rPr>
                      <w:rFonts w:ascii="Arial" w:hAnsi="Arial" w:eastAsia="Arial"/>
                      <w:b/>
                      <w:color w:val="000000"/>
                      <w:sz w:val="24"/>
                    </w:rPr>
                    <w:t xml:space="preserve">/</w:t>
                  </w:r>
                  <w:r>
                    <w:rPr>
                      <w:rFonts w:ascii="Arial" w:hAnsi="Arial" w:eastAsia="Arial"/>
                      <w:b/>
                      <w:color w:val="000000"/>
                      <w:sz w:val="24"/>
                    </w:rPr>
                    <w:t xml:space="preserve">25</w:t>
                  </w:r>
                </w:p>
              </w:tc>
            </w:tr>
            <w:tr>
              <w:trPr>
                <w:trHeight w:val="2721"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Review possible future actions/initiatives we can put in place to try to close the gap for IMD Q1,2 students.</w:t>
                        </w:r>
                        <w:r>
                          <w:rPr>
                            <w:rFonts w:ascii="Arial" w:hAnsi="Arial" w:eastAsia="Arial"/>
                            <w:color w:val="000000"/>
                            <w:sz w:val="20"/>
                          </w:rPr>
                          <w:br/>
                          <w:t xml:space="preserve">Support from School and APP team to share successful strategies.  Identify an initiative to pilot and review for the next academic year.  Prioritise as a programme team which key institutional target to address in this pilot.</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Attainment, Continuation</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Ongoing</w:t>
                        </w:r>
                      </w:p>
                    </w:tc>
                  </w:tr>
                  <w:tr>
                    <w:trPr>
                      <w:trHeight w:val="375"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Foundation year progression and attainment.</w:t>
                        </w:r>
                        <w:r>
                          <w:rPr>
                            <w:rFonts w:ascii="Arial" w:hAnsi="Arial" w:eastAsia="Arial"/>
                            <w:color w:val="000000"/>
                            <w:sz w:val="20"/>
                          </w:rPr>
                          <w:br/>
                          <w:t xml:space="preserve">Progression and attainment of foundation year students is showing a decline.  School support is needed to investigate the why and how of this and the future of the foundation year.</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Attainment, Foundation Progression</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Work with student reps and advocates to improve communication with students and investigate how we can 'improve' the 'student voice'.</w:t>
                        </w:r>
                        <w:r>
                          <w:rPr>
                            <w:rFonts w:ascii="Arial" w:hAnsi="Arial" w:eastAsia="Arial"/>
                            <w:color w:val="000000"/>
                            <w:sz w:val="20"/>
                          </w:rPr>
                          <w:br/>
                          <w:t xml:space="preserve">PL and YTs to meet with course reps to discuss their involvement and how to engage reps and students in the process. Find out what 'student voice' means to them.</w:t>
                        </w:r>
                        <w:r>
                          <w:rPr>
                            <w:rFonts w:ascii="Arial" w:hAnsi="Arial" w:eastAsia="Arial"/>
                            <w:color w:val="000000"/>
                            <w:sz w:val="20"/>
                          </w:rPr>
                          <w:br/>
                          <w:t xml:space="preserve">Work with the School Working group.</w:t>
                        </w:r>
                        <w:r>
                          <w:rPr>
                            <w:rFonts w:ascii="Arial" w:hAnsi="Arial" w:eastAsia="Arial"/>
                            <w:color w:val="000000"/>
                            <w:sz w:val="20"/>
                          </w:rPr>
                          <w:br/>
                          <w:t xml:space="preserve">Review the School's new approach to the Board of Studies with the programme team and reps.</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01/06/2026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student voice forum was created this year which proved a success in generating more feedback from students. This will be continued to be worked upon this next academic year.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Completed 23/09/26</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2023</w:t>
                  </w:r>
                  <w:r>
                    <w:rPr>
                      <w:rFonts w:ascii="Arial" w:hAnsi="Arial" w:eastAsia="Arial"/>
                      <w:b/>
                      <w:color w:val="000000"/>
                      <w:sz w:val="24"/>
                    </w:rPr>
                    <w:t xml:space="preserve">/</w:t>
                  </w:r>
                  <w:r>
                    <w:rPr>
                      <w:rFonts w:ascii="Arial" w:hAnsi="Arial" w:eastAsia="Arial"/>
                      <w:b/>
                      <w:color w:val="000000"/>
                      <w:sz w:val="24"/>
                    </w:rPr>
                    <w:t xml:space="preserve">24</w:t>
                  </w:r>
                </w:p>
              </w:tc>
            </w:tr>
            <w:tr>
              <w:trPr>
                <w:trHeight w:val="2267"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Students allocated to a placement by week 2 of the semester.</w:t>
                        </w:r>
                        <w:r>
                          <w:rPr>
                            <w:rFonts w:ascii="Arial" w:hAnsi="Arial" w:eastAsia="Arial"/>
                            <w:color w:val="000000"/>
                            <w:sz w:val="20"/>
                          </w:rPr>
                          <w:br/>
                        </w:r>
                        <w:r>
                          <w:rPr>
                            <w:rFonts w:ascii="Arial" w:hAnsi="Arial" w:eastAsia="Arial"/>
                            <w:color w:val="000000"/>
                            <w:sz w:val="20"/>
                          </w:rPr>
                          <w:br/>
                          <w:t xml:space="preserve">Background: As of week 4 there are still 100 students who have not yet "signed up" or been allocated to a placement. Although the main reason for this is their lack of action, the allocation process should be reflected upon and students assigned to placements earlier, or by default etc.</w:t>
                        </w:r>
                        <w:r>
                          <w:rPr>
                            <w:rFonts w:ascii="Arial" w:hAnsi="Arial" w:eastAsia="Arial"/>
                            <w:color w:val="000000"/>
                            <w:sz w:val="20"/>
                          </w:rPr>
                          <w:br/>
                        </w:r>
                        <w:r>
                          <w:rPr>
                            <w:rFonts w:ascii="Arial" w:hAnsi="Arial" w:eastAsia="Arial"/>
                            <w:color w:val="000000"/>
                            <w:sz w:val="20"/>
                          </w:rPr>
                          <w:br/>
                          <w:t xml:space="preserve">Action: Discuss placement options and allocations with Tim (ML) and Craig (SH).</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SPSMROBI</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31/05/2026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process has been reviewed again this year and setting a  target of all students being allocated a placement by week 2 is unfeasible, due to the number of students self-sourcing placements.  The placement team (led by CT) are reviewing the process again this year.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11/10/24 Completed 23/09/26</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Review module choices and module pools offered to students at L6 with a view to achieving:</w:t>
                        </w:r>
                        <w:r>
                          <w:rPr>
                            <w:rFonts w:ascii="Arial" w:hAnsi="Arial" w:eastAsia="Arial"/>
                            <w:color w:val="000000"/>
                            <w:sz w:val="20"/>
                          </w:rPr>
                          <w:br/>
                          <w:t xml:space="preserve">1. A timetable without clashes</w:t>
                        </w:r>
                        <w:r>
                          <w:rPr>
                            <w:rFonts w:ascii="Arial" w:hAnsi="Arial" w:eastAsia="Arial"/>
                            <w:color w:val="000000"/>
                            <w:sz w:val="20"/>
                          </w:rPr>
                          <w:br/>
                          <w:t xml:space="preserve">2. A better balance across Pool B </w:t>
                        </w:r>
                        <w:r>
                          <w:rPr>
                            <w:rFonts w:ascii="Arial" w:hAnsi="Arial" w:eastAsia="Arial"/>
                            <w:color w:val="000000"/>
                            <w:sz w:val="20"/>
                          </w:rPr>
                          <w:br/>
                          <w:t xml:space="preserve">3. A smaller cohort on S&amp;C </w:t>
                        </w:r>
                        <w:r>
                          <w:rPr>
                            <w:rFonts w:ascii="Arial" w:hAnsi="Arial" w:eastAsia="Arial"/>
                            <w:color w:val="000000"/>
                            <w:sz w:val="20"/>
                          </w:rPr>
                          <w:br/>
                        </w:r>
                        <w:r>
                          <w:rPr>
                            <w:rFonts w:ascii="Arial" w:hAnsi="Arial" w:eastAsia="Arial"/>
                            <w:color w:val="000000"/>
                            <w:sz w:val="20"/>
                          </w:rPr>
                          <w:br/>
                          <w:t xml:space="preserve">Action - review student selections in 2024, meet with Subject Heads to review L6 provision on SES, identify under recruiting modules and edits/ amendments to programme specification, prerequisites, modules needed.</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SPSMROBI</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01/03/2026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This is going to be looked at again this year with a view to putting on a careers and module choice support day for the L5 students in semester 2.  The programme team will work with the placement/professional practice team on this.</w:t>
                        </w:r>
                        <w:r>
                          <w:rPr>
                            <w:rFonts w:ascii="Arial" w:hAnsi="Arial" w:eastAsia="Arial"/>
                            <w:color w:val="000000"/>
                            <w:sz w:val="20"/>
                          </w:rPr>
                          <w:br/>
                        </w:r>
                        <w:r>
                          <w:rPr>
                            <w:rFonts w:ascii="Arial" w:hAnsi="Arial" w:eastAsia="Arial"/>
                            <w:color w:val="000000"/>
                            <w:sz w:val="20"/>
                          </w:rPr>
                          <w:br/>
                          <w:t xml:space="preserve">Programme pathways have been developed as part of the ongoing PPR.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11/10/24 Completed 23/09/26</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2022</w:t>
                  </w:r>
                  <w:r>
                    <w:rPr>
                      <w:rFonts w:ascii="Arial" w:hAnsi="Arial" w:eastAsia="Arial"/>
                      <w:b/>
                      <w:color w:val="000000"/>
                      <w:sz w:val="24"/>
                    </w:rPr>
                    <w:t xml:space="preserve">/</w:t>
                  </w:r>
                  <w:r>
                    <w:rPr>
                      <w:rFonts w:ascii="Arial" w:hAnsi="Arial" w:eastAsia="Arial"/>
                      <w:b/>
                      <w:color w:val="000000"/>
                      <w:sz w:val="24"/>
                    </w:rPr>
                    <w:t xml:space="preserve">23</w:t>
                  </w:r>
                </w:p>
              </w:tc>
            </w:tr>
            <w:tr>
              <w:trPr>
                <w:trHeight w:val="1360"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More thought around technologies and A.I use. A.I and the changing environment is potentially one of the biggest threats to assessment on the programme.</w:t>
                        </w:r>
                        <w:r>
                          <w:rPr>
                            <w:rFonts w:ascii="Arial" w:hAnsi="Arial" w:eastAsia="Arial"/>
                            <w:color w:val="000000"/>
                            <w:sz w:val="20"/>
                          </w:rPr>
                          <w:br/>
                          <w:t xml:space="preserve">Programme team to discuss in team meetings and share expertise.</w:t>
                        </w:r>
                        <w:r>
                          <w:rPr>
                            <w:rFonts w:ascii="Arial" w:hAnsi="Arial" w:eastAsia="Arial"/>
                            <w:color w:val="000000"/>
                            <w:sz w:val="20"/>
                          </w:rPr>
                          <w:br/>
                          <w:t xml:space="preserve">Programme staff to attend university/faculty and school support sessions.</w:t>
                        </w:r>
                        <w:r>
                          <w:rPr>
                            <w:rFonts w:ascii="Arial" w:hAnsi="Arial" w:eastAsia="Arial"/>
                            <w:color w:val="000000"/>
                            <w:sz w:val="20"/>
                          </w:rPr>
                          <w:br/>
                          <w:t xml:space="preserve">Programme team are currently working in discipline groups to consider changes to assessments for new level 6 modules for 23_24</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school A.I group have done alot of work on this, which is now being fed into programme teams. The programme team is also looking at embedding A.I learning across the programme as part of the PPR.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09/11/23 Ongoing - last update 23/09/26</w:t>
                        </w:r>
                      </w:p>
                    </w:tc>
                  </w:tr>
                </w:tbl>
                <w:p>
                  <w:pPr>
                    <w:spacing w:after="0" w:line="240" w:lineRule="auto"/>
                  </w:pPr>
                </w:p>
              </w:tc>
            </w:tr>
          </w:tbl>
          <w:p>
            <w:pPr>
              <w:spacing w:after="0" w:line="240" w:lineRule="auto"/>
            </w:pPr>
          </w:p>
        </w:tc>
        <w:tc>
          <w:tcPr>
            <w:tcW w:w="61" w:type="dxa"/>
            <w:hMerge w:val="continue"/>
          </w:tcPr>
          <w:p>
            <w:pPr>
              <w:pStyle w:val="EmptyCellLayoutStyle"/>
              <w:spacing w:after="0" w:line="240" w:lineRule="auto"/>
            </w:pPr>
          </w:p>
        </w:tc>
        <w:tc>
          <w:tcPr>
            <w:tcW w:w="15515" w:type="dxa"/>
            <w:hMerge w:val="continue"/>
          </w:tcPr>
          <w:p>
            <w:pPr>
              <w:pStyle w:val="EmptyCellLayoutStyle"/>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132"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bl>
    <w:p>
      <w:pPr>
        <w:spacing w:after="0" w:line="240" w:lineRule="auto"/>
      </w:pPr>
    </w:p>
    <w:sectPr w:rsidRPr="" w:rsidDel="" w:rsidR="" w:rsidSect="">
      <w:headerReference r:id="rId5" w:type="default"/>
      <w:footerReference r:id="rId8" w:type="default"/>
      <w:pgSz w:w="17141" w:h="11905" w:orient="landscape"/>
      <w:pgMar w:top="2372" w:right="566" w:bottom="1313" w:left="566" w:header="1133" w:footer="566" w:gutter=""/>
    </w:sectPr>
  </w:body>
</w:document>
</file>

<file path=word/footer1.xml><?xml version="1.0" encoding="utf-8"?>
<w:ftr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tbl>
    <w:tblPr>
      <w:tblCellMar>
        <w:top w:w="0" w:type="dxa"/>
        <w:left w:w="0" w:type="dxa"/>
        <w:bottom w:w="0" w:type="dxa"/>
        <w:right w:w="0" w:type="dxa"/>
      </w:tblCellMar>
    </w:tblPr>
    <w:tblGrid>
      <w:gridCol w:w="193"/>
      <w:gridCol w:w="979"/>
      <w:gridCol w:w="10030"/>
      <w:gridCol w:w="4784"/>
      <w:gridCol w:w="18"/>
    </w:tblGrid>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v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754"/>
            <w:gridCol w:w="3029"/>
          </w:tblGrid>
          <w:tr>
            <w:trPr>
              <w:trHeight w:val="74" w:hRule="atLeast"/>
            </w:trPr>
            <w:tc>
              <w:tcPr>
                <w:tcW w:w="1754" w:type="dxa"/>
              </w:tcPr>
              <w:p>
                <w:pPr>
                  <w:pStyle w:val="EmptyCellLayoutStyle"/>
                  <w:spacing w:after="0" w:line="240" w:lineRule="auto"/>
                </w:pPr>
              </w:p>
            </w:tc>
            <w:tc>
              <w:tcPr>
                <w:tcW w:w="3029" w:type="dxa"/>
              </w:tcPr>
              <w:p>
                <w:pPr>
                  <w:pStyle w:val="EmptyCellLayoutStyle"/>
                  <w:spacing w:after="0" w:line="240" w:lineRule="auto"/>
                </w:pPr>
              </w:p>
            </w:tc>
          </w:tr>
          <w:tr>
            <w:trPr/>
            <w:tc>
              <w:tcPr>
                <w:tcW w:w="1754" w:type="dxa"/>
              </w:tcPr>
              <w:p>
                <w:pPr>
                  <w:pStyle w:val="EmptyCellLayoutStyle"/>
                  <w:spacing w:after="0" w:line="240" w:lineRule="auto"/>
                </w:pPr>
              </w:p>
            </w:tc>
            <w:tc>
              <w:tcPr>
                <w:tcW w:w="3029" w:type="dxa"/>
              </w:tcPr>
              <w:tbl>
                <w:tblPr>
                  <w:tblCellMar>
                    <w:top w:w="0" w:type="dxa"/>
                    <w:left w:w="0" w:type="dxa"/>
                    <w:bottom w:w="0" w:type="dxa"/>
                    <w:right w:w="0" w:type="dxa"/>
                  </w:tblCellMar>
                </w:tblPr>
                <w:tblGrid>
                  <w:gridCol w:w="3029"/>
                </w:tblGrid>
                <w:tr>
                  <w:trPr>
                    <w:trHeight w:val="262" w:hRule="atLeast"/>
                  </w:trPr>
                  <w:tc>
                    <w:tcPr>
                      <w:tcW w:w="302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18"/>
                        </w:rPr>
                        <w:fldChar w:fldCharType="begin" w:fldLock="0" w:dirty="0"/>
                      </w:r>
                      <w:r>
                        <w:rPr>
                          <w:rFonts w:ascii="Arial" w:hAnsi="Arial" w:eastAsia="Arial"/>
                          <w:noProof/>
                          <w:color w:val="000000"/>
                          <w:sz w:val="18"/>
                        </w:rPr>
                        <w:instrText xml:space="preserve"> PAGE </w:instrText>
                      </w:r>
                      <w:r>
                        <w:rPr>
                          <w:rFonts w:ascii="Arial" w:hAnsi="Arial" w:eastAsia="Arial"/>
                          <w:color w:val="000000"/>
                          <w:sz w:val="18"/>
                        </w:rPr>
                        <w:fldChar w:fldCharType="separate" w:fldLock="0" w:dirty="0"/>
                      </w:r>
                      <w:r>
                        <w:rPr>
                          <w:rFonts w:ascii="Arial" w:hAnsi="Arial" w:eastAsia="Arial"/>
                          <w:color w:val="000000"/>
                          <w:sz w:val="18"/>
                        </w:rPr>
                        <w:t xml:space="preserve">1</w:t>
                      </w:r>
                      <w:r>
                        <w:rPr>
                          <w:rFonts w:ascii="Arial" w:hAnsi="Arial" w:eastAsia="Arial"/>
                          <w:color w:val="000000"/>
                          <w:sz w:val="18"/>
                        </w:rPr>
                        <w:fldChar w:fldCharType="end" w:fldLock="0" w:dirty="0"/>
                      </w:r>
                      <w:r>
                        <w:rPr>
                          <w:rFonts w:ascii="Arial" w:hAnsi="Arial" w:eastAsia="Arial"/>
                          <w:color w:val="000000"/>
                          <w:sz w:val="18"/>
                        </w:rPr>
                        <w:t xml:space="preserve"> of </w:t>
                      </w:r>
                      <w:r>
                        <w:rPr>
                          <w:rFonts w:ascii="Arial" w:hAnsi="Arial" w:eastAsia="Arial"/>
                          <w:color w:val="000000"/>
                          <w:sz w:val="18"/>
                        </w:rPr>
                        <w:fldChar w:fldCharType="begin" w:fldLock="0" w:dirty="0"/>
                      </w:r>
                      <w:r>
                        <w:rPr>
                          <w:rFonts w:ascii="Arial" w:hAnsi="Arial" w:eastAsia="Arial"/>
                          <w:noProof/>
                          <w:color w:val="000000"/>
                          <w:sz w:val="18"/>
                        </w:rPr>
                        <w:instrText xml:space="preserve"> NUMPAGES </w:instrText>
                      </w:r>
                      <w:r>
                        <w:rPr>
                          <w:rFonts w:ascii="Arial" w:hAnsi="Arial" w:eastAsia="Arial"/>
                          <w:color w:val="000000"/>
                          <w:sz w:val="18"/>
                        </w:rPr>
                        <w:fldChar w:fldCharType="separate" w:fldLock="0" w:dirty="0"/>
                      </w:r>
                      <w:r>
                        <w:rPr>
                          <w:rFonts w:ascii="Arial" w:hAnsi="Arial" w:eastAsia="Arial"/>
                          <w:color w:val="000000"/>
                          <w:sz w:val="18"/>
                        </w:rPr>
                        <w:t xml:space="preserve">1</w:t>
                      </w:r>
                      <w:r>
                        <w:rPr>
                          <w:rFonts w:ascii="Arial" w:hAnsi="Arial" w:eastAsia="Arial"/>
                          <w:color w:val="000000"/>
                          <w:sz w:val="18"/>
                        </w:rPr>
                        <w:fldChar w:fldCharType="end" w:fldLock="0" w:dirty="0"/>
                      </w:r>
                    </w:p>
                  </w:tc>
                </w:tr>
              </w:tbl>
              <w:p>
                <w:pPr>
                  <w:spacing w:after="0" w:line="240" w:lineRule="auto"/>
                </w:pPr>
              </w:p>
            </w:tc>
          </w:tr>
          <w:tr>
            <w:trPr>
              <w:trHeight w:val="154" w:hRule="atLeast"/>
            </w:trPr>
            <w:tc>
              <w:tcPr>
                <w:tcW w:w="1754" w:type="dxa"/>
              </w:tcPr>
              <w:p>
                <w:pPr>
                  <w:pStyle w:val="EmptyCellLayoutStyle"/>
                  <w:spacing w:after="0" w:line="240" w:lineRule="auto"/>
                </w:pPr>
              </w:p>
            </w:tc>
            <w:tc>
              <w:tcPr>
                <w:tcW w:w="3029" w:type="dxa"/>
              </w:tcPr>
              <w:p>
                <w:pPr>
                  <w:pStyle w:val="EmptyCellLayoutStyle"/>
                  <w:spacing w:after="0" w:line="240" w:lineRule="auto"/>
                </w:pPr>
              </w:p>
            </w:tc>
          </w:tr>
        </w:tbl>
        <w:p>
          <w:pPr>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tbl>
          <w:tblPr>
            <w:tblCellMar>
              <w:top w:w="0" w:type="dxa"/>
              <w:left w:w="0" w:type="dxa"/>
              <w:bottom w:w="0" w:type="dxa"/>
              <w:right w:w="0" w:type="dxa"/>
            </w:tblCellMar>
          </w:tblPr>
          <w:tblGrid>
            <w:gridCol w:w="979"/>
          </w:tblGrid>
          <w:tr>
            <w:trPr>
              <w:trHeight w:val="220" w:hRule="atLeast"/>
            </w:trPr>
            <w:tc>
              <w:tcPr>
                <w:tcW w:w="97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8"/>
                  </w:rPr>
                  <w:t xml:space="preserve">v3.08_26</w:t>
                </w:r>
              </w:p>
            </w:tc>
          </w:tr>
        </w:tbl>
        <w:p>
          <w:pPr>
            <w:spacing w:after="0" w:line="240" w:lineRule="auto"/>
          </w:pPr>
        </w:p>
      </w:tc>
      <w:tc>
        <w:tcPr>
          <w:tcW w:w="10030" w:type="dxa"/>
        </w:tcPr>
        <w:p>
          <w:pPr>
            <w:pStyle w:val="EmptyCellLayoutStyle"/>
            <w:spacing w:after="0" w:line="240" w:lineRule="auto"/>
          </w:pPr>
        </w:p>
      </w:tc>
      <w:tc>
        <w:tcPr>
          <w:tcW w:w="4784" w:type="dxa"/>
          <w:vMerge w:val="continue"/>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vMerge w:val="continue"/>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tcPr>
        <w:p>
          <w:pPr>
            <w:pStyle w:val="EmptyCellLayoutStyle"/>
            <w:spacing w:after="0" w:line="240" w:lineRule="auto"/>
          </w:pPr>
        </w:p>
      </w:tc>
      <w:tc>
        <w:tcPr>
          <w:tcW w:w="18" w:type="dxa"/>
        </w:tcPr>
        <w:p>
          <w:pPr>
            <w:pStyle w:val="EmptyCellLayoutStyle"/>
            <w:spacing w:after="0" w:line="240" w:lineRule="auto"/>
          </w:pPr>
        </w:p>
      </w:tc>
    </w:tr>
  </w:tbl>
</w:ftr>
</file>

<file path=word/header0.xml><?xml version="1.0" encoding="utf-8"?>
<w:hdr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tbl>
    <w:tblPr>
      <w:tblCellMar>
        <w:top w:w="0" w:type="dxa"/>
        <w:left w:w="0" w:type="dxa"/>
        <w:bottom w:w="0" w:type="dxa"/>
        <w:right w:w="0" w:type="dxa"/>
      </w:tblCellMar>
    </w:tblPr>
    <w:tblGrid>
      <w:gridCol w:w="204"/>
      <w:gridCol w:w="5865"/>
      <w:gridCol w:w="6674"/>
      <w:gridCol w:w="3140"/>
      <w:gridCol w:w="122"/>
    </w:tblGrid>
    <w:tr>
      <w:trPr/>
      <w:tc>
        <w:tcPr>
          <w:tcW w:w="204" w:type="dxa"/>
        </w:tcPr>
        <w:p>
          <w:pPr>
            <w:pStyle w:val="EmptyCellLayoutStyle"/>
            <w:spacing w:after="0" w:line="240" w:lineRule="auto"/>
          </w:pPr>
        </w:p>
      </w:tc>
      <w:tc>
        <w:tcPr>
          <w:tcW w:w="5865" w:type="dxa"/>
        </w:tcPr>
        <w:p>
          <w:pPr>
            <w:pStyle w:val="EmptyCellLayoutStyle"/>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v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990"/>
            <w:gridCol w:w="115"/>
            <w:gridCol w:w="3358"/>
            <w:gridCol w:w="400"/>
          </w:tblGrid>
          <w:tr>
            <w:trPr>
              <w:trHeight w:val="159" w:hRule="atLeast"/>
            </w:trPr>
            <w:tc>
              <w:tcPr>
                <w:tcW w:w="1990" w:type="dxa"/>
              </w:tcPr>
              <w:p>
                <w:pPr>
                  <w:pStyle w:val="EmptyCellLayoutStyle"/>
                  <w:spacing w:after="0" w:line="240" w:lineRule="auto"/>
                </w:pPr>
              </w:p>
            </w:tc>
            <w:tc>
              <w:tcPr>
                <w:tcW w:w="115" w:type="dxa"/>
              </w:tcPr>
              <w:p>
                <w:pPr>
                  <w:pStyle w:val="EmptyCellLayoutStyle"/>
                  <w:spacing w:after="0" w:line="240" w:lineRule="auto"/>
                </w:pPr>
              </w:p>
            </w:tc>
            <w:tc>
              <w:tcPr>
                <w:tcW w:w="3358" w:type="dxa"/>
              </w:tcPr>
              <w:p>
                <w:pPr>
                  <w:pStyle w:val="EmptyCellLayoutStyle"/>
                  <w:spacing w:after="0" w:line="240" w:lineRule="auto"/>
                </w:pPr>
              </w:p>
            </w:tc>
            <w:tc>
              <w:tcPr>
                <w:tcW w:w="400" w:type="dxa"/>
              </w:tcPr>
              <w:p>
                <w:pPr>
                  <w:pStyle w:val="EmptyCellLayoutStyle"/>
                  <w:spacing w:after="0" w:line="240" w:lineRule="auto"/>
                </w:pPr>
              </w:p>
            </w:tc>
          </w:tr>
          <w:tr>
            <w:trPr/>
            <w:tc>
              <w:tcPr>
                <w:tcW w:w="1990"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r w:rsidRPr="" w:rsidDel="" w:rsidR="">
                  <w:drawing>
                    <wp:inline>
                      <wp:extent cx="1034939" cy="549526"/>
                      <wp:docPr id="0" name="img3.jpg"/>
                      <a:graphic>
                        <a:graphicData uri="http://schemas.openxmlformats.org/drawingml/2006/picture">
                          <pic:pic>
                            <pic:nvPicPr>
                              <pic:cNvPr id="1" name="img3.jpg"/>
                              <pic:cNvPicPr/>
                            </pic:nvPicPr>
                            <pic:blipFill>
                              <a:blip r:embed="rId6" cstate="print"/>
                              <a:stretch>
                                <a:fillRect r="0" b="0"/>
                              </a:stretch>
                            </pic:blipFill>
                            <pic:spPr>
                              <a:xfrm>
                                <a:off x="0" y="0"/>
                                <a:ext cx="1034939" cy="549526"/>
                              </a:xfrm>
                              <a:prstGeom prst="rect">
                                <a:avLst/>
                              </a:prstGeom>
                            </pic:spPr>
                          </pic:pic>
                        </a:graphicData>
                      </a:graphic>
                    </wp:inline>
                  </w:drawing>
                </w:r>
              </w:p>
            </w:tc>
            <w:tc>
              <w:tcPr>
                <w:tcW w:w="115" w:type="dxa"/>
              </w:tcPr>
              <w:p>
                <w:pPr>
                  <w:pStyle w:val="EmptyCellLayoutStyle"/>
                  <w:spacing w:after="0" w:line="240" w:lineRule="auto"/>
                </w:pPr>
              </w:p>
            </w:tc>
            <w:tc>
              <w:tcPr>
                <w:tcW w:w="335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r w:rsidRPr="" w:rsidDel="" w:rsidR="">
                  <w:drawing>
                    <wp:inline>
                      <wp:extent cx="1899706" cy="549526"/>
                      <wp:docPr id="2" name="img4.jpg"/>
                      <a:graphic>
                        <a:graphicData uri="http://schemas.openxmlformats.org/drawingml/2006/picture">
                          <pic:pic>
                            <pic:nvPicPr>
                              <pic:cNvPr id="3" name="img4.jpg"/>
                              <pic:cNvPicPr/>
                            </pic:nvPicPr>
                            <pic:blipFill>
                              <a:blip r:embed="rId7" cstate="print"/>
                              <a:stretch>
                                <a:fillRect r="0" b="0"/>
                              </a:stretch>
                            </pic:blipFill>
                            <pic:spPr>
                              <a:xfrm>
                                <a:off x="0" y="0"/>
                                <a:ext cx="1899706" cy="549526"/>
                              </a:xfrm>
                              <a:prstGeom prst="rect">
                                <a:avLst/>
                              </a:prstGeom>
                            </pic:spPr>
                          </pic:pic>
                        </a:graphicData>
                      </a:graphic>
                    </wp:inline>
                  </w:drawing>
                </w:r>
              </w:p>
            </w:tc>
            <w:tc>
              <w:tcPr>
                <w:tcW w:w="400" w:type="dxa"/>
              </w:tcPr>
              <w:p>
                <w:pPr>
                  <w:pStyle w:val="EmptyCellLayoutStyle"/>
                  <w:spacing w:after="0" w:line="240" w:lineRule="auto"/>
                </w:pPr>
              </w:p>
            </w:tc>
          </w:tr>
        </w:tbl>
        <w:p>
          <w:pPr>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vMerge w:val="continue"/>
        </w:tcPr>
        <w:p>
          <w:pPr>
            <w:pStyle w:val="EmptyCellLayoutStyle"/>
            <w:spacing w:after="0" w:line="240" w:lineRule="auto"/>
          </w:pPr>
        </w:p>
      </w:tc>
      <w:tc>
        <w:tcPr>
          <w:tcW w:w="6674" w:type="dxa"/>
        </w:tcPr>
        <w:p>
          <w:pPr>
            <w:pStyle w:val="EmptyCellLayoutStyle"/>
            <w:spacing w:after="0" w:line="240" w:lineRule="auto"/>
          </w:pPr>
        </w:p>
      </w:tc>
      <w:tc>
        <w:tcPr>
          <w:tcW w:w="3140" w:type="dxa"/>
        </w:tcPr>
        <w:tbl>
          <w:tblPr>
            <w:tblCellMar>
              <w:top w:w="0" w:type="dxa"/>
              <w:left w:w="0" w:type="dxa"/>
              <w:bottom w:w="0" w:type="dxa"/>
              <w:right w:w="0" w:type="dxa"/>
            </w:tblCellMar>
          </w:tblPr>
          <w:tblGrid>
            <w:gridCol w:w="3140"/>
          </w:tblGrid>
          <w:tr>
            <w:trPr>
              <w:trHeight w:val="797" w:hRule="atLeast"/>
            </w:trPr>
            <w:tc>
              <w:tcPr>
                <w:tcW w:w="3140"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Last Updated by: </w:t>
                </w:r>
                <w:r>
                  <w:rPr>
                    <w:rFonts w:ascii="Arial" w:hAnsi="Arial" w:eastAsia="Arial"/>
                    <w:color w:val="000000"/>
                    <w:sz w:val="20"/>
                  </w:rPr>
                  <w:t xml:space="preserve">SPSRMURP</w:t>
                </w:r>
              </w:p>
              <w:p>
                <w:pPr>
                  <w:spacing w:after="0" w:line="240" w:lineRule="auto"/>
                  <w:jc w:val="left"/>
                </w:pPr>
                <w:r>
                  <w:rPr>
                    <w:rFonts w:ascii="Arial" w:hAnsi="Arial" w:eastAsia="Arial"/>
                    <w:color w:val="000000"/>
                    <w:sz w:val="20"/>
                  </w:rPr>
                  <w:t xml:space="preserve">Date: </w:t>
                </w:r>
                <w:r>
                  <w:rPr>
                    <w:rFonts w:ascii="Arial" w:hAnsi="Arial" w:eastAsia="Arial"/>
                    <w:color w:val="000000"/>
                    <w:sz w:val="20"/>
                  </w:rPr>
                  <w:t xml:space="preserve">11/01/24</w:t>
                </w:r>
              </w:p>
            </w:tc>
          </w:tr>
        </w:tbl>
        <w:p>
          <w:pPr>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tcPr>
        <w:p>
          <w:pPr>
            <w:pStyle w:val="EmptyCellLayoutStyle"/>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bl>
</w:hdr>
</file>

<file path=word/numbering.xml><?xml version="1.0" encoding="utf-8"?>
<w:numbering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abstractNum w:abstractNumId="0">
    <w:nsid w:val="00000001"/>
    <w:multiLevelType w:val="multilevel"/>
    <w:tmpl w:val="00000001"/>
    <w:lvl w:ilvl="0">
      <w:start w:val="1"/>
      <w:numFmt w:val="bullet"/>
      <w:lvlText w:val="·"/>
      <w:lvlJc w:val="left"/>
      <w:rPr>
        <w:rFonts w:ascii="Symbol" w:hAnsi="Symbol" w:eastAsia="Symbol" w:cs="Symbol"/>
        <w:sz w:val="20"/>
      </w:rPr>
    </w:lvl>
    <w:lvl w:ilvl="1">
      <w:start w:val="1"/>
      <w:numFmt w:val="bullet"/>
      <w:lvlText w:val="o"/>
      <w:lvlJc w:val="left"/>
      <w:rPr>
        <w:rFonts w:ascii="Courier New" w:hAnsi="Courier New" w:eastAsia="Courier New" w:cs="Courier New"/>
        <w:sz w:val="20"/>
      </w:rPr>
    </w:lvl>
    <w:lvl w:ilvl="2">
      <w:start w:val="1"/>
      <w:numFmt w:val="bullet"/>
      <w:lvlText w:val="§"/>
      <w:lvlJc w:val="left"/>
      <w:rPr>
        <w:rFonts w:ascii="Wingdings" w:hAnsi="Wingdings" w:eastAsia="Wingdings" w:cs="Wingdings"/>
        <w:sz w:val="20"/>
      </w:rPr>
    </w:lvl>
    <w:lvl w:ilvl="3">
      <w:start w:val="1"/>
      <w:numFmt w:val="bullet"/>
      <w:lvlText w:val="·"/>
      <w:lvlJc w:val="left"/>
      <w:rPr>
        <w:rFonts w:ascii="Symbol" w:hAnsi="Symbol" w:eastAsia="Symbol" w:cs="Symbol"/>
        <w:sz w:val="20"/>
      </w:rPr>
    </w:lvl>
    <w:lvl w:ilvl="4">
      <w:start w:val="1"/>
      <w:numFmt w:val="bullet"/>
      <w:lvlText w:val="o"/>
      <w:lvlJc w:val="left"/>
      <w:rPr>
        <w:rFonts w:ascii="Courier New" w:hAnsi="Courier New" w:eastAsia="Courier New" w:cs="Courier New"/>
        <w:sz w:val="20"/>
      </w:rPr>
    </w:lvl>
    <w:lvl w:ilvl="5">
      <w:start w:val="1"/>
      <w:numFmt w:val="bullet"/>
      <w:lvlText w:val="§"/>
      <w:lvlJc w:val="left"/>
      <w:rPr>
        <w:rFonts w:ascii="Wingdings" w:hAnsi="Wingdings" w:eastAsia="Wingdings" w:cs="Wingdings"/>
        <w:sz w:val="20"/>
      </w:rPr>
    </w:lvl>
    <w:lvl w:ilvl="6">
      <w:start w:val="1"/>
      <w:numFmt w:val="bullet"/>
      <w:lvlText w:val="·"/>
      <w:lvlJc w:val="left"/>
      <w:rPr>
        <w:rFonts w:ascii="Symbol" w:hAnsi="Symbol" w:eastAsia="Symbol" w:cs="Symbol"/>
        <w:sz w:val="20"/>
      </w:rPr>
    </w:lvl>
    <w:lvl w:ilvl="7">
      <w:start w:val="1"/>
      <w:numFmt w:val="bullet"/>
      <w:lvlText w:val="o"/>
      <w:lvlJc w:val="left"/>
      <w:rPr>
        <w:rFonts w:ascii="Courier New" w:hAnsi="Courier New" w:eastAsia="Courier New" w:cs="Courier New"/>
        <w:sz w:val="20"/>
      </w:rPr>
    </w:lvl>
    <w:lvl w:ilvl="8">
      <w:start w:val="1"/>
      <w:numFmt w:val="bullet"/>
      <w:lvlText w:val="§"/>
      <w:lvlJc w:val="left"/>
      <w:rPr>
        <w:rFonts w:ascii="Wingdings" w:hAnsi="Wingdings" w:eastAsia="Wingdings" w:cs="Wingdings"/>
        <w:sz w:val="20"/>
      </w:rPr>
    </w:lvl>
  </w:abstractNum>
  <w:abstractNum w:abstractNumId="1">
    <w:nsid w:val="00000002"/>
    <w:multiLevelType w:val="multilevel"/>
    <w:tmpl w:val="0000000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
    <w:nsid w:val="00000003"/>
    <w:multiLevelType w:val="multilevel"/>
    <w:tmpl w:val="0000000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
    <w:nsid w:val="00000004"/>
    <w:multiLevelType w:val="multilevel"/>
    <w:tmpl w:val="0000000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
    <w:nsid w:val="00000005"/>
    <w:multiLevelType w:val="multilevel"/>
    <w:tmpl w:val="0000000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
    <w:nsid w:val="00000006"/>
    <w:multiLevelType w:val="multilevel"/>
    <w:tmpl w:val="0000000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
    <w:nsid w:val="00000007"/>
    <w:multiLevelType w:val="multilevel"/>
    <w:tmpl w:val="0000000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
    <w:nsid w:val="00000008"/>
    <w:multiLevelType w:val="multilevel"/>
    <w:tmpl w:val="0000000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
    <w:nsid w:val="00000009"/>
    <w:multiLevelType w:val="multilevel"/>
    <w:tmpl w:val="0000000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
    <w:nsid w:val="0000000A"/>
    <w:multiLevelType w:val="multilevel"/>
    <w:tmpl w:val="0000000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
    <w:nsid w:val="0000000B"/>
    <w:multiLevelType w:val="multilevel"/>
    <w:tmpl w:val="0000000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
    <w:nsid w:val="0000000C"/>
    <w:multiLevelType w:val="multilevel"/>
    <w:tmpl w:val="0000000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settings>
</file>

<file path=word/styles.xml><?xml version="1.0" encoding="utf-8"?>
<w:styl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docDefaults>
    <w:rPrDefault>
      <w:rPr>
        <w:rFonts w:ascii="Times New Roman" w:hAnsi="Times New Roman" w:eastAsia="Times New Roman" w:cs="Times New Roman"/>
      </w:rPr>
    </w:rPrDefault>
  </w:docDefaults>
  <w:style>
    <w:name w:val="EmptyCellLayoutStyle"/>
    <w:basedOn w:val="Normal"/>
    <w:rPr>
      <w:sz w:val="2"/>
    </w:rPr>
  </w:style>
</w:styles>
</file>

<file path=word/_rels/document.xml.rels>&#65279;<?xml version="1.0" encoding="utf-8"?><Relationships xmlns="http://schemas.openxmlformats.org/package/2006/relationships"><Relationship Type="http://schemas.openxmlformats.org/officeDocument/2006/relationships/styles" Target="/word/styles.xml" Id="rId3" /><Relationship Type="http://schemas.openxmlformats.org/officeDocument/2006/relationships/settings" Target="/word/settings.xml" Id="rId4" /><Relationship Type="http://schemas.openxmlformats.org/officeDocument/2006/relationships/header" Target="/word/header0.xml" Id="rId5" /><Relationship Type="http://schemas.openxmlformats.org/officeDocument/2006/relationships/footer" Target="/word/footer1.xml" Id="rId8" /><Relationship Type="http://schemas.openxmlformats.org/officeDocument/2006/relationships/numbering" Target="/word/numbering.xml" Id="rId10" /></Relationships>
</file>

<file path=word/_rels/header0.xml.rels>&#65279;<?xml version="1.0" encoding="utf-8"?><Relationships xmlns="http://schemas.openxmlformats.org/package/2006/relationships"><Relationship Type="http://schemas.openxmlformats.org/officeDocument/2006/relationships/image" Target="/word/media/img3.jpg" Id="rId6" /><Relationship Type="http://schemas.openxmlformats.org/officeDocument/2006/relationships/image" Target="/word/media/img4.jpg" Id="rId7" /></Relationships>
</file>

<file path=docProps/core.xml><?xml version="1.0" encoding="utf-8"?>
<cp:coreProperti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dc:creator/>
  <dc:description/>
  <dc:title>Reflection_and_Action_Plan</dc:title>
</cp:coreProperties>
</file>