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jpg" ContentType="image/jpg"/>
  <Override PartName="/word/styles.xml" ContentType="application/vnd.openxmlformats-officedocument.wordprocessingml.styles+xml"/>
  <Override PartName="/word/settings.xml" ContentType="application/vnd.openxmlformats-officedocument.wordprocessingml.settings+xml"/>
  <Override PartName="/word/header0.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Id2" /><Relationship Type="http://schemas.openxmlformats.org/package/2006/relationships/metadata/core-properties" Target="/docProps/core.xml" Id="rId9" /></Relationships>
</file>

<file path=word/document.xml><?xml version="1.0" encoding="utf-8"?>
<w:document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body>
    <w:tbl>
      <w:tblPr>
        <w:tblCellMar>
          <w:top w:w="0" w:type="dxa"/>
          <w:left w:w="0" w:type="dxa"/>
          <w:bottom w:w="0" w:type="dxa"/>
          <w:right w:w="0" w:type="dxa"/>
        </w:tblCellMar>
      </w:tblPr>
      <w:tblGrid>
        <w:gridCol w:w="138"/>
        <w:gridCol w:w="4"/>
        <w:gridCol w:w="61"/>
        <w:gridCol w:w="15515"/>
        <w:gridCol w:w="161"/>
        <w:gridCol w:w="122"/>
      </w:tblGrid>
      <w:tr>
        <w:trPr>
          <w:trHeight w:val="15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rHeight w:val="430"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tbl>
            <w:tblPr>
              <w:tblCellMar>
                <w:top w:w="0" w:type="dxa"/>
                <w:left w:w="0" w:type="dxa"/>
                <w:bottom w:w="0" w:type="dxa"/>
                <w:right w:w="0" w:type="dxa"/>
              </w:tblCellMar>
            </w:tblPr>
            <w:tblGrid>
              <w:gridCol w:w="15515"/>
            </w:tblGrid>
            <w:tr>
              <w:trPr>
                <w:trHeight w:val="352" w:hRule="atLeast"/>
              </w:trPr>
              <w:tc>
                <w:tcPr>
                  <w:tcW w:w="15515"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b/>
                      <w:color w:val="000000"/>
                      <w:sz w:val="24"/>
                      <w:u w:val="single"/>
                    </w:rPr>
                    <w:t xml:space="preserve">Programme Reflection and Action Plan</w:t>
                  </w:r>
                </w:p>
              </w:tc>
            </w:tr>
          </w:tbl>
          <w:p>
            <w:pPr>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rHeight w:val="99"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962"/>
              <w:gridCol w:w="1031"/>
              <w:gridCol w:w="2191"/>
              <w:gridCol w:w="9702"/>
              <w:gridCol w:w="1790"/>
            </w:tblGrid>
            <w:tr>
              <w:trPr>
                <w:trHeight w:val="262" w:hRule="atLeast"/>
              </w:trPr>
              <w:tc>
                <w:tcPr>
                  <w:tcW w:w="96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Faculty</w:t>
                  </w:r>
                </w:p>
              </w:tc>
              <w:tc>
                <w:tcPr>
                  <w:tcW w:w="103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School</w:t>
                  </w:r>
                </w:p>
              </w:tc>
              <w:tc>
                <w:tcPr>
                  <w:tcW w:w="2191"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Code</w:t>
                  </w:r>
                </w:p>
              </w:tc>
              <w:tc>
                <w:tcPr>
                  <w:tcW w:w="970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Title</w:t>
                  </w:r>
                </w:p>
              </w:tc>
              <w:tc>
                <w:tcPr>
                  <w:tcW w:w="1790"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Intake Month</w:t>
                  </w:r>
                </w:p>
              </w:tc>
            </w:tr>
            <w:tr>
              <w:trPr>
                <w:trHeight w:val="262" w:hRule="atLeast"/>
              </w:trPr>
              <w:tc>
                <w:tcPr>
                  <w:tcW w:w="96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FCC</w:t>
                  </w:r>
                </w:p>
              </w:tc>
              <w:tc>
                <w:tcPr>
                  <w:tcW w:w="103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SPS</w:t>
                  </w:r>
                </w:p>
              </w:tc>
              <w:tc>
                <w:tcPr>
                  <w:tcW w:w="219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24"/>
                    </w:rPr>
                    <w:t xml:space="preserve">30911</w:t>
                  </w:r>
                </w:p>
              </w:tc>
              <w:tc>
                <w:tcPr>
                  <w:tcW w:w="970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Sport and Exercise Science</w:t>
                  </w:r>
                </w:p>
              </w:tc>
              <w:tc>
                <w:tcPr>
                  <w:tcW w:w="1790"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Sep</w:t>
                  </w:r>
                </w:p>
              </w:tc>
            </w:tr>
            <w:tr>
              <w:trPr>
                <w:trHeight w:val="262" w:hRule="atLeast"/>
              </w:trPr>
              <w:tc>
                <w:tcPr>
                  <w:tcW w:w="96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FCC</w:t>
                  </w:r>
                </w:p>
              </w:tc>
              <w:tc>
                <w:tcPr>
                  <w:tcW w:w="103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SPS</w:t>
                  </w:r>
                </w:p>
              </w:tc>
              <w:tc>
                <w:tcPr>
                  <w:tcW w:w="2191"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24"/>
                    </w:rPr>
                    <w:t xml:space="preserve">40911</w:t>
                  </w:r>
                </w:p>
              </w:tc>
              <w:tc>
                <w:tcPr>
                  <w:tcW w:w="970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Sport and Exercise Science</w:t>
                  </w:r>
                </w:p>
              </w:tc>
              <w:tc>
                <w:tcPr>
                  <w:tcW w:w="1790"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Sep</w:t>
                  </w:r>
                </w:p>
              </w:tc>
            </w:tr>
          </w:tbl>
          <w:p>
            <w:pPr>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178"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2024</w:t>
                  </w:r>
                  <w:r>
                    <w:rPr>
                      <w:rFonts w:ascii="Arial" w:hAnsi="Arial" w:eastAsia="Arial"/>
                      <w:b/>
                      <w:color w:val="000000"/>
                      <w:sz w:val="24"/>
                    </w:rPr>
                    <w:t xml:space="preserve">/</w:t>
                  </w:r>
                  <w:r>
                    <w:rPr>
                      <w:rFonts w:ascii="Arial" w:hAnsi="Arial" w:eastAsia="Arial"/>
                      <w:b/>
                      <w:color w:val="000000"/>
                      <w:sz w:val="24"/>
                    </w:rPr>
                    <w:t xml:space="preserve">25</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Overall the 2025 data reflect on the SES programmes (30911 and 40911) positively and this would generally be echoed by the programme team and staff in the completion of another successful year. This year had every module at L4, 5 and 6 meeting their benchmark requirements and 5/7 categories on the NSS exceeding benchmark requirements. Organisation and management was slightly under benchmark (-2.9%) as was Learning Opportunities (-1.2%).  Free text comments suggested the main concern with regards to organisation and management was the timetable, this was particularly problematic this year with the role out of new optional modules at L6.</w:t>
                        </w:r>
                        <w:r>
                          <w:rPr>
                            <w:rFonts w:ascii="Arial" w:hAnsi="Arial" w:eastAsia="Arial"/>
                            <w:color w:val="000000"/>
                            <w:sz w:val="24"/>
                          </w:rPr>
                          <w:br/>
                        </w:r>
                        <w:r>
                          <w:rPr>
                            <w:rFonts w:ascii="Arial" w:hAnsi="Arial" w:eastAsia="Arial"/>
                            <w:color w:val="000000"/>
                            <w:sz w:val="24"/>
                          </w:rPr>
                          <w:br/>
                          <w:t xml:space="preserve">Recruitment for 2024/25 was at 94% (203 students), which was slightly lower than the 5-year average for the programme.  However, 2025/26 has seen an increase to 233, which is substantially higher than the previous three years.</w:t>
                        </w:r>
                        <w:r>
                          <w:rPr>
                            <w:rFonts w:ascii="Arial" w:hAnsi="Arial" w:eastAsia="Arial"/>
                            <w:color w:val="000000"/>
                            <w:sz w:val="24"/>
                          </w:rPr>
                          <w:br/>
                        </w:r>
                        <w:r>
                          <w:rPr>
                            <w:rFonts w:ascii="Arial" w:hAnsi="Arial" w:eastAsia="Arial"/>
                            <w:color w:val="000000"/>
                            <w:sz w:val="24"/>
                          </w:rPr>
                          <w:br/>
                          <w:t xml:space="preserve">Retention and Continuation data are above benchmark for the current L5 and L6.  Progression from L4 to L5 was good at 90%, however progression from L3 to L4 was low at 70%, and lower than the previous year (77%).   Foundation year progression seems to be an issue across a number of programmes in the school and an area we need to focus on.</w:t>
                        </w:r>
                        <w:r>
                          <w:rPr>
                            <w:rFonts w:ascii="Arial" w:hAnsi="Arial" w:eastAsia="Arial"/>
                            <w:color w:val="000000"/>
                            <w:sz w:val="24"/>
                          </w:rPr>
                          <w:br/>
                        </w:r>
                        <w:r>
                          <w:rPr>
                            <w:rFonts w:ascii="Arial" w:hAnsi="Arial" w:eastAsia="Arial"/>
                            <w:color w:val="000000"/>
                            <w:sz w:val="24"/>
                          </w:rPr>
                          <w:br/>
                          <w:t xml:space="preserve">Programme completion for 2022/23 is comfortably over the benchmark (83.2%) and has increased from previous years. Attainment has remained stable at 70% 2:1 or 1st degrees, but remains slightly below the 71.2% benchmark. Overall there are a small proportion of 2:2 and 3rds awarded but there remains a relatively small proportion of students achieving a 1st compared to a 2:1 - only 36/203. Of concern, the attainment of foundation year students seems to be dropping - only 46% of the foundation cohort achieved a 2:1 or 1st.</w:t>
                        </w:r>
                        <w:r>
                          <w:rPr>
                            <w:rFonts w:ascii="Arial" w:hAnsi="Arial" w:eastAsia="Arial"/>
                            <w:color w:val="000000"/>
                            <w:sz w:val="24"/>
                          </w:rPr>
                          <w:br/>
                        </w:r>
                        <w:r>
                          <w:rPr>
                            <w:rFonts w:ascii="Arial" w:hAnsi="Arial" w:eastAsia="Arial"/>
                            <w:color w:val="000000"/>
                            <w:sz w:val="24"/>
                          </w:rPr>
                          <w:br/>
                          <w:t xml:space="preserve">Of special note is that ALL modules at L4, 5 and 6 have met the benchmark criteria for mean marks and pass rate. This reflects the hard work of the module teams and success of the new programme module now that all levels have been rolled out.  In addition to this all modules met the threshold for student satisfaction, with many of the new level 6 modules receiving 'high' scores, which is great to see.</w:t>
                        </w:r>
                        <w:r>
                          <w:rPr>
                            <w:rFonts w:ascii="Arial" w:hAnsi="Arial" w:eastAsia="Arial"/>
                            <w:color w:val="000000"/>
                            <w:sz w:val="24"/>
                          </w:rPr>
                          <w:br/>
                        </w:r>
                        <w:r>
                          <w:rPr>
                            <w:rFonts w:ascii="Arial" w:hAnsi="Arial" w:eastAsia="Arial"/>
                            <w:color w:val="000000"/>
                            <w:sz w:val="24"/>
                          </w:rPr>
                          <w:br/>
                          <w:t xml:space="preserve">NSS - 5/7 categories on the NSS exceeded benchmark requirements. It was particularly pleasing to see an increase on 'teaching on my course', which is the highest it has been over the 5 year period and the first time above benchmark. Student voice was at benchmark, although still the lowest score of the categories.  This is an area we are addressing as a programme team and looking to work more closely with our reps and the School working group to improve on. Organisation &amp; Management was lower than it has been the previous two years.  Free text comments suggest this in part is due to timetabling, particularly of level 6 modules.  This is something we will address as a programme team this year and look to provide L5 students with module option pathways going in to L6, so we don't have the difficulties with module clashes.</w:t>
                        </w:r>
                        <w:r>
                          <w:rPr>
                            <w:rFonts w:ascii="Arial" w:hAnsi="Arial" w:eastAsia="Arial"/>
                            <w:color w:val="000000"/>
                            <w:sz w:val="24"/>
                          </w:rPr>
                          <w:br/>
                        </w:r>
                        <w:r>
                          <w:rPr>
                            <w:rFonts w:ascii="Arial" w:hAnsi="Arial" w:eastAsia="Arial"/>
                            <w:color w:val="000000"/>
                            <w:sz w:val="24"/>
                          </w:rPr>
                          <w:br/>
                          <w:t xml:space="preserve">Second year survey - feedback from L5 students was that they would like more advice with careers and module choice selection.</w:t>
                        </w:r>
                        <w:r>
                          <w:rPr>
                            <w:rFonts w:ascii="Arial" w:hAnsi="Arial" w:eastAsia="Arial"/>
                            <w:color w:val="000000"/>
                            <w:sz w:val="24"/>
                          </w:rPr>
                          <w:br/>
                        </w:r>
                        <w:r>
                          <w:rPr>
                            <w:rFonts w:ascii="Arial" w:hAnsi="Arial" w:eastAsia="Arial"/>
                            <w:color w:val="000000"/>
                            <w:sz w:val="24"/>
                          </w:rPr>
                          <w:br/>
                          <w:t xml:space="preserve">Graduation progression data was much improved for 2021/22 at 79% - an increase from 61% and 10% above the aspiration rate. </w:t>
                        </w:r>
                        <w:r>
                          <w:rPr>
                            <w:rFonts w:ascii="Arial" w:hAnsi="Arial" w:eastAsia="Arial"/>
                            <w:color w:val="000000"/>
                            <w:sz w:val="24"/>
                          </w:rPr>
                          <w:br/>
                        </w:r>
                        <w:r>
                          <w:rPr>
                            <w:rFonts w:ascii="Arial" w:hAnsi="Arial" w:eastAsia="Arial"/>
                            <w:color w:val="000000"/>
                            <w:sz w:val="24"/>
                          </w:rPr>
                          <w:br/>
                          <w:t xml:space="preserve">External examiner reports were really positive, highlighting the engaging curriculum, innovative teaching delivery, good range of authentic assessments and clear moderation.  This is great to hear given the effort that has been put in to designing the new programme and rolling out the new level 6 modules this year.  Comments for improvement were focused around strengthening the links between L5 Research Methods and L6 Major project.  This is something we will look at coming into the next programme review.</w:t>
                        </w:r>
                        <w:r>
                          <w:rPr>
                            <w:rFonts w:ascii="Arial" w:hAnsi="Arial" w:eastAsia="Arial"/>
                            <w:color w:val="000000"/>
                            <w:sz w:val="24"/>
                          </w:rPr>
                          <w:br/>
                        </w:r>
                        <w:r>
                          <w:rPr>
                            <w:rFonts w:ascii="Arial" w:hAnsi="Arial" w:eastAsia="Arial"/>
                            <w:color w:val="000000"/>
                            <w:sz w:val="24"/>
                          </w:rPr>
                          <w:br/>
                          <w:t xml:space="preserve">Access and Participation Plan:</w:t>
                        </w:r>
                        <w:r>
                          <w:rPr>
                            <w:rFonts w:ascii="Arial" w:hAnsi="Arial" w:eastAsia="Arial"/>
                            <w:color w:val="000000"/>
                            <w:sz w:val="24"/>
                          </w:rPr>
                          <w:br/>
                          <w:t xml:space="preserve">Continuation - In the previous two years it is good to see that there is very little difference in continuation rates on the programme between IMD indices and students from England and Northern Ireland.  With regards to disability, those with social and communication impairments had higher levels of continuation than no disability, whereas those with mental health conditions had lower continuation rates.</w:t>
                        </w:r>
                        <w:r>
                          <w:rPr>
                            <w:rFonts w:ascii="Arial" w:hAnsi="Arial" w:eastAsia="Arial"/>
                            <w:color w:val="000000"/>
                            <w:sz w:val="24"/>
                          </w:rPr>
                          <w:br/>
                          <w:t xml:space="preserve">Completion - there is no data available for Northern Ireland or disability in this category, however, there was a substantial gap in completion for Q1,2 students (74.1%) compared with Q3,4,5 (94.8%).  This is something to consider going forwards.</w:t>
                        </w:r>
                        <w:r>
                          <w:rPr>
                            <w:rFonts w:ascii="Arial" w:hAnsi="Arial" w:eastAsia="Arial"/>
                            <w:color w:val="000000"/>
                            <w:sz w:val="24"/>
                          </w:rPr>
                          <w:br/>
                          <w:t xml:space="preserve">Attainment - the number of black students (n = 4) attaining a 2:1 or 1st was at 25%, compared to white students 76.1%.  The numbers here are low, but the gap is high and needs to be looked into.  Over the previous three years there has been a significant gap in attainment between Q1,2 students and Q3,4,5.  Programme data suggests that IMD is an area that warrants the most investigation in terms of determining how we can look to reduce these gaps.  Similarly progression is lower in Q1,2 students than Q3,4,5.</w:t>
                        </w:r>
                        <w:r>
                          <w:rPr>
                            <w:rFonts w:ascii="Arial" w:hAnsi="Arial" w:eastAsia="Arial"/>
                            <w:color w:val="000000"/>
                            <w:sz w:val="24"/>
                          </w:rPr>
                          <w:br/>
                        </w:r>
                        <w:r>
                          <w:rPr>
                            <w:rFonts w:ascii="Arial" w:hAnsi="Arial" w:eastAsia="Arial"/>
                            <w:color w:val="000000"/>
                            <w:sz w:val="24"/>
                          </w:rPr>
                          <w:br/>
                          <w:t xml:space="preserve">Overall, there are no substantial issues to raise here as urgent but there are items added to the action plan that may require some school level co-ordination: (1) Continued reflection of AI use within programmes, particularly assessments, (2) work with students to improve 'student voice' (3) foundation year progression and attainment, (4) review of monitoring and addressing support for IMD Q1,2 students, (5) support L5 students with careers and module choice pathways at L6.</w:t>
                        </w:r>
                        <w:r>
                          <w:rPr>
                            <w:rFonts w:ascii="Arial" w:hAnsi="Arial" w:eastAsia="Arial"/>
                            <w:color w:val="000000"/>
                            <w:sz w:val="24"/>
                          </w:rPr>
                          <w:br/>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Hi Liz,</w:t>
                        </w:r>
                        <w:r>
                          <w:rPr>
                            <w:rFonts w:ascii="Arial" w:hAnsi="Arial" w:eastAsia="Arial"/>
                            <w:color w:val="000000"/>
                            <w:sz w:val="24"/>
                          </w:rPr>
                          <w:br/>
                          <w:t xml:space="preserve">It is great to see a successful year for the programme. Thanks for a thorough report with actions that reflect the data.</w:t>
                        </w:r>
                        <w:r>
                          <w:rPr>
                            <w:rFonts w:ascii="Arial" w:hAnsi="Arial" w:eastAsia="Arial"/>
                            <w:color w:val="000000"/>
                            <w:sz w:val="24"/>
                          </w:rPr>
                          <w:br/>
                          <w:t xml:space="preserve">Best Wishes,</w:t>
                        </w:r>
                        <w:r>
                          <w:rPr>
                            <w:rFonts w:ascii="Arial" w:hAnsi="Arial" w:eastAsia="Arial"/>
                            <w:color w:val="000000"/>
                            <w:sz w:val="24"/>
                          </w:rPr>
                          <w:br/>
                          <w:t xml:space="preserve">Becky. </w:t>
                        </w:r>
                        <w:r>
                          <w:rPr>
                            <w:rFonts w:ascii="Arial" w:hAnsi="Arial" w:eastAsia="Arial"/>
                            <w:color w:val="000000"/>
                            <w:sz w:val="24"/>
                          </w:rPr>
                          <w:br/>
                        </w:r>
                      </w:p>
                    </w:tc>
                  </w:tr>
                </w:tbl>
                <w:p>
                  <w:pPr>
                    <w:spacing w:after="0" w:line="240" w:lineRule="auto"/>
                  </w:pPr>
                </w:p>
              </w:tc>
            </w:tr>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2023</w:t>
                  </w:r>
                  <w:r>
                    <w:rPr>
                      <w:rFonts w:ascii="Arial" w:hAnsi="Arial" w:eastAsia="Arial"/>
                      <w:b/>
                      <w:color w:val="000000"/>
                      <w:sz w:val="24"/>
                    </w:rPr>
                    <w:t xml:space="preserve">/</w:t>
                  </w:r>
                  <w:r>
                    <w:rPr>
                      <w:rFonts w:ascii="Arial" w:hAnsi="Arial" w:eastAsia="Arial"/>
                      <w:b/>
                      <w:color w:val="000000"/>
                      <w:sz w:val="24"/>
                    </w:rPr>
                    <w:t xml:space="preserve">24</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Overall the 2024 data reflect on the SES programmes (30911 and 40911) positively and this would generally be echoed by the programme team and staff in the completion of another successful year. This year had every module meeting their benchmark requirements and 5/7 categories on the NSS exceeding benchmark requirements. Teaching on my course was slightly under benchmark (-1.8%) as was Learning Opportunities (1.2%).</w:t>
                        </w:r>
                        <w:r>
                          <w:rPr>
                            <w:rFonts w:ascii="Arial" w:hAnsi="Arial" w:eastAsia="Arial"/>
                            <w:color w:val="000000"/>
                            <w:sz w:val="24"/>
                          </w:rPr>
                          <w:br/>
                        </w:r>
                        <w:r>
                          <w:rPr>
                            <w:rFonts w:ascii="Arial" w:hAnsi="Arial" w:eastAsia="Arial"/>
                            <w:color w:val="000000"/>
                            <w:sz w:val="24"/>
                          </w:rPr>
                          <w:br/>
                          <w:t xml:space="preserve">Recruitment for 2023/24 was at 122% which was consistent with the 5-year average for the programme but this is typically buoyed by foundation targets being &gt;140%. This has implications for delivery of the programme and large modules across the school and often does not result in excellent progression or completion statistics so additional recruitment should be seen from this perspective.</w:t>
                        </w:r>
                        <w:r>
                          <w:rPr>
                            <w:rFonts w:ascii="Arial" w:hAnsi="Arial" w:eastAsia="Arial"/>
                            <w:color w:val="000000"/>
                            <w:sz w:val="24"/>
                          </w:rPr>
                          <w:br/>
                        </w:r>
                        <w:r>
                          <w:rPr>
                            <w:rFonts w:ascii="Arial" w:hAnsi="Arial" w:eastAsia="Arial"/>
                            <w:color w:val="000000"/>
                            <w:sz w:val="24"/>
                          </w:rPr>
                          <w:br/>
                          <w:t xml:space="preserve">Retention and Continuation data are above 90% for the current L5 and L6. It should be noted that the 2021/22 retention data was at 84% but with a substantially greater intake (n=304) compared to the last three years (~220). Current numbers therefore seem to be appropriate from a continuation standpoint across the foundation and 3-year programmes. L4 progression for foundation students was 77% for 2023/24 which is similar to the long term trend.</w:t>
                        </w:r>
                        <w:r>
                          <w:rPr>
                            <w:rFonts w:ascii="Arial" w:hAnsi="Arial" w:eastAsia="Arial"/>
                            <w:color w:val="000000"/>
                            <w:sz w:val="24"/>
                          </w:rPr>
                          <w:br/>
                        </w:r>
                        <w:r>
                          <w:rPr>
                            <w:rFonts w:ascii="Arial" w:hAnsi="Arial" w:eastAsia="Arial"/>
                            <w:color w:val="000000"/>
                            <w:sz w:val="24"/>
                          </w:rPr>
                          <w:br/>
                          <w:t xml:space="preserve">Programme completion for 2021/22i is comfortably over the benchmark and attainment has increased slightly to 70% 2:1 or 1st degrees which is an improvement over the last two years but slightly below the 71.2% benchmark. Overall there are a small proportion of 2:2 and 3rds awarded but there remains a relatively small proportion of students achieving a 1st compared to a 2:1 - only 41/225. The trend is moving in the desired direction. Notably in 2023/24 only 60% of the foundation cohort achieved 2:1 or 1st but this is not reflective of the previous years where outcome from the foundation programme have been very positive (80% and 88% previous 2 years).</w:t>
                        </w:r>
                        <w:r>
                          <w:rPr>
                            <w:rFonts w:ascii="Arial" w:hAnsi="Arial" w:eastAsia="Arial"/>
                            <w:color w:val="000000"/>
                            <w:sz w:val="24"/>
                          </w:rPr>
                          <w:br/>
                        </w:r>
                        <w:r>
                          <w:rPr>
                            <w:rFonts w:ascii="Arial" w:hAnsi="Arial" w:eastAsia="Arial"/>
                            <w:color w:val="000000"/>
                            <w:sz w:val="24"/>
                          </w:rPr>
                          <w:br/>
                          <w:t xml:space="preserve">Of special note is that ALL modules have met the benchmark criteria for mean marks and pass rate. This reflect the hard work of the module teams and success of the current modules as the new programme continues to roll in.</w:t>
                        </w:r>
                        <w:r>
                          <w:rPr>
                            <w:rFonts w:ascii="Arial" w:hAnsi="Arial" w:eastAsia="Arial"/>
                            <w:color w:val="000000"/>
                            <w:sz w:val="24"/>
                          </w:rPr>
                          <w:br/>
                        </w:r>
                        <w:r>
                          <w:rPr>
                            <w:rFonts w:ascii="Arial" w:hAnsi="Arial" w:eastAsia="Arial"/>
                            <w:color w:val="000000"/>
                            <w:sz w:val="24"/>
                          </w:rPr>
                          <w:br/>
                          <w:t xml:space="preserve">NSS - 5/7 categories on the NSS exceeded benchmark requirements. It was particularly pleasing to see a big jump in Assessment and Feedback (up 9%) as this has been notoriously a problematic indicator on this programme. Student voice also improved by 10%. Teaching on my course was slightly under benchmark (-1.8%) as was Learning Opportunities (-1.2%) both of these metrics are on positive long term trends so this is overall a very successful outcome. Considering that this year group had a year of online learning this is an especially pleasing result. Future initiatives such as standardised canvas sites, smaller cohorts in level 6 should also continue to have positive outcomes in the future.</w:t>
                        </w:r>
                        <w:r>
                          <w:rPr>
                            <w:rFonts w:ascii="Arial" w:hAnsi="Arial" w:eastAsia="Arial"/>
                            <w:color w:val="000000"/>
                            <w:sz w:val="24"/>
                          </w:rPr>
                          <w:br/>
                        </w:r>
                        <w:r>
                          <w:rPr>
                            <w:rFonts w:ascii="Arial" w:hAnsi="Arial" w:eastAsia="Arial"/>
                            <w:color w:val="000000"/>
                            <w:sz w:val="24"/>
                          </w:rPr>
                          <w:br/>
                          <w:t xml:space="preserve">Graduation progression data was much improved for 2021/22 at 79% - an increase from 61%. It is not clear what has contributed to such a substantial jump so any intelligence/ information that we could get about this would be useful to communicate with the programme team and school.</w:t>
                        </w:r>
                        <w:r>
                          <w:rPr>
                            <w:rFonts w:ascii="Arial" w:hAnsi="Arial" w:eastAsia="Arial"/>
                            <w:color w:val="000000"/>
                            <w:sz w:val="24"/>
                          </w:rPr>
                          <w:br/>
                        </w:r>
                        <w:r>
                          <w:rPr>
                            <w:rFonts w:ascii="Arial" w:hAnsi="Arial" w:eastAsia="Arial"/>
                            <w:color w:val="000000"/>
                            <w:sz w:val="24"/>
                          </w:rPr>
                          <w:br/>
                          <w:t xml:space="preserve">There are no substantial issues to raise here as urgent but there are items added to the action plan that may require some school level co-ordination: (1) Continued reflection of AI use within programmes, (2) timetable challenges, (3) challenges of compulsory placements, (4) as Level 6 is new this year it is important to continue to check with module leaders that everything is running smoothly.</w:t>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Programme performance has been thoroughly considered at module and overall programme level. There are mixed outcomes for key performance indicators that have been identified such as:</w:t>
                        </w:r>
                        <w:r>
                          <w:rPr>
                            <w:rFonts w:ascii="Arial" w:hAnsi="Arial" w:eastAsia="Arial"/>
                            <w:color w:val="000000"/>
                            <w:sz w:val="24"/>
                          </w:rPr>
                          <w:br/>
                          <w:t xml:space="preserve">â€¢ Progression from foundation year is below the benchmark </w:t>
                        </w:r>
                        <w:r>
                          <w:rPr>
                            <w:rFonts w:ascii="Arial" w:hAnsi="Arial" w:eastAsia="Arial"/>
                            <w:color w:val="000000"/>
                            <w:sz w:val="24"/>
                          </w:rPr>
                          <w:br/>
                          <w:t xml:space="preserve">â€¢ Continuation from L4-L5 is above benchmark </w:t>
                        </w:r>
                        <w:r>
                          <w:rPr>
                            <w:rFonts w:ascii="Arial" w:hAnsi="Arial" w:eastAsia="Arial"/>
                            <w:color w:val="000000"/>
                            <w:sz w:val="24"/>
                          </w:rPr>
                          <w:br/>
                          <w:t xml:space="preserve">â€¢ Module performance is above benchmark across the board </w:t>
                        </w:r>
                        <w:r>
                          <w:rPr>
                            <w:rFonts w:ascii="Arial" w:hAnsi="Arial" w:eastAsia="Arial"/>
                            <w:color w:val="000000"/>
                            <w:sz w:val="24"/>
                          </w:rPr>
                          <w:br/>
                          <w:t xml:space="preserve">â€¢ NSS has mixed outcomes. Teaching on my course and Learning opportunities are below benchmark</w:t>
                        </w:r>
                        <w:r>
                          <w:rPr>
                            <w:rFonts w:ascii="Arial" w:hAnsi="Arial" w:eastAsia="Arial"/>
                            <w:color w:val="000000"/>
                            <w:sz w:val="24"/>
                          </w:rPr>
                          <w:br/>
                          <w:t xml:space="preserve">â€¢ Progression is above subject and OfS benchmark </w:t>
                        </w:r>
                        <w:r>
                          <w:rPr>
                            <w:rFonts w:ascii="Arial" w:hAnsi="Arial" w:eastAsia="Arial"/>
                            <w:color w:val="000000"/>
                            <w:sz w:val="24"/>
                          </w:rPr>
                          <w:br/>
                        </w:r>
                        <w:r>
                          <w:rPr>
                            <w:rFonts w:ascii="Arial" w:hAnsi="Arial" w:eastAsia="Arial"/>
                            <w:color w:val="000000"/>
                            <w:sz w:val="24"/>
                          </w:rPr>
                          <w:br/>
                          <w:t xml:space="preserve">Key areas of reflection and action from the programme team include:</w:t>
                        </w:r>
                        <w:r>
                          <w:rPr>
                            <w:rFonts w:ascii="Arial" w:hAnsi="Arial" w:eastAsia="Arial"/>
                            <w:color w:val="000000"/>
                            <w:sz w:val="24"/>
                          </w:rPr>
                          <w:br/>
                          <w:t xml:space="preserve">â€¢ Review of L6 (placement and module choices) </w:t>
                        </w:r>
                        <w:r>
                          <w:rPr>
                            <w:rFonts w:ascii="Arial" w:hAnsi="Arial" w:eastAsia="Arial"/>
                            <w:color w:val="000000"/>
                            <w:sz w:val="24"/>
                          </w:rPr>
                          <w:br/>
                          <w:t xml:space="preserve">â€¢ Progression through sandwich year</w:t>
                        </w:r>
                        <w:r>
                          <w:rPr>
                            <w:rFonts w:ascii="Arial" w:hAnsi="Arial" w:eastAsia="Arial"/>
                            <w:color w:val="000000"/>
                            <w:sz w:val="24"/>
                          </w:rPr>
                          <w:br/>
                          <w:t xml:space="preserve">â€¢ AI and assessment </w:t>
                        </w:r>
                        <w:r>
                          <w:rPr>
                            <w:rFonts w:ascii="Arial" w:hAnsi="Arial" w:eastAsia="Arial"/>
                            <w:color w:val="000000"/>
                            <w:sz w:val="24"/>
                          </w:rPr>
                          <w:br/>
                          <w:t xml:space="preserve">â€¢ Personal tutoring </w:t>
                        </w:r>
                        <w:r>
                          <w:rPr>
                            <w:rFonts w:ascii="Arial" w:hAnsi="Arial" w:eastAsia="Arial"/>
                            <w:color w:val="000000"/>
                            <w:sz w:val="24"/>
                          </w:rPr>
                          <w:br/>
                        </w:r>
                        <w:r>
                          <w:rPr>
                            <w:rFonts w:ascii="Arial" w:hAnsi="Arial" w:eastAsia="Arial"/>
                            <w:color w:val="000000"/>
                            <w:sz w:val="24"/>
                          </w:rPr>
                          <w:br/>
                          <w:t xml:space="preserve">The reflections and actions align with identified school strategic priorities in relation to; continuation/completion; Student Experience; Progression. Areas that potentially need further attention are; induction and monitoring student engagement through census points (continuation/completion); Teaching on my course (Student Experience); Placement opportunities for students (progression).  </w:t>
                        </w:r>
                        <w:r>
                          <w:rPr>
                            <w:rFonts w:ascii="Arial" w:hAnsi="Arial" w:eastAsia="Arial"/>
                            <w:color w:val="000000"/>
                            <w:sz w:val="24"/>
                          </w:rPr>
                          <w:br/>
                        </w:r>
                      </w:p>
                    </w:tc>
                  </w:tr>
                </w:tbl>
                <w:p>
                  <w:pPr>
                    <w:spacing w:after="0" w:line="240" w:lineRule="auto"/>
                  </w:pPr>
                </w:p>
              </w:tc>
            </w:tr>
            <w:tr>
              <w:trPr>
                <w:trHeight w:val="20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2"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Reporting Year - </w:t>
                  </w:r>
                  <w:r>
                    <w:rPr>
                      <w:rFonts w:ascii="Arial" w:hAnsi="Arial" w:eastAsia="Arial"/>
                      <w:b/>
                      <w:color w:val="000000"/>
                      <w:sz w:val="24"/>
                    </w:rPr>
                    <w:t xml:space="preserve">2022</w:t>
                  </w:r>
                  <w:r>
                    <w:rPr>
                      <w:rFonts w:ascii="Arial" w:hAnsi="Arial" w:eastAsia="Arial"/>
                      <w:b/>
                      <w:color w:val="000000"/>
                      <w:sz w:val="24"/>
                    </w:rPr>
                    <w:t xml:space="preserve">/</w:t>
                  </w:r>
                  <w:r>
                    <w:rPr>
                      <w:rFonts w:ascii="Arial" w:hAnsi="Arial" w:eastAsia="Arial"/>
                      <w:b/>
                      <w:color w:val="000000"/>
                      <w:sz w:val="24"/>
                    </w:rPr>
                    <w:t xml:space="preserve">23</w:t>
                  </w:r>
                </w:p>
              </w:tc>
            </w:tr>
            <w:tr>
              <w:trPr>
                <w:trHeight w:val="980"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Programme Reflection</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This year Level 4 of the newly validated programme was rolled out, whilst L5 and L6 of the old programme were delivered.  We received very positive feedback from all external examiners regarding the new L4, in which we have addressed previous concerns around consistency of marking and feedback.  New assessment approaches in L4 were also praised for their innovative use of digital technology and reflective practice and also the amount of valuable canvas resources available to students.  </w:t>
                        </w:r>
                        <w:r>
                          <w:rPr>
                            <w:rFonts w:ascii="Arial" w:hAnsi="Arial" w:eastAsia="Arial"/>
                            <w:color w:val="000000"/>
                            <w:sz w:val="24"/>
                          </w:rPr>
                          <w:br/>
                        </w:r>
                        <w:r>
                          <w:rPr>
                            <w:rFonts w:ascii="Arial" w:hAnsi="Arial" w:eastAsia="Arial"/>
                            <w:color w:val="000000"/>
                            <w:sz w:val="24"/>
                          </w:rPr>
                          <w:br/>
                          <w:t xml:space="preserve">Other available programme data is also very encouraging.  All modules at levels 4 , 5 and 6 exceeded university benchmarks for mean marks and pass rates and all but 1 module exceeded targets for median module survey scores.  All level 5 modules were above threshold, which is a noticeable improvement on previous years.</w:t>
                        </w:r>
                        <w:r>
                          <w:rPr>
                            <w:rFonts w:ascii="Arial" w:hAnsi="Arial" w:eastAsia="Arial"/>
                            <w:color w:val="000000"/>
                            <w:sz w:val="24"/>
                          </w:rPr>
                          <w:br/>
                        </w:r>
                        <w:r>
                          <w:rPr>
                            <w:rFonts w:ascii="Arial" w:hAnsi="Arial" w:eastAsia="Arial"/>
                            <w:color w:val="000000"/>
                            <w:sz w:val="24"/>
                          </w:rPr>
                          <w:br/>
                          <w:t xml:space="preserve">We also saw an improvement in NSS scores across the board from the previous two years and all categories were above benchmark with the exception of the student voice, which is an area we focused on last year, but will continue to do so this year to improve further with the aim to exceed benchmark this next year.</w:t>
                        </w:r>
                        <w:r>
                          <w:rPr>
                            <w:rFonts w:ascii="Arial" w:hAnsi="Arial" w:eastAsia="Arial"/>
                            <w:color w:val="000000"/>
                            <w:sz w:val="24"/>
                          </w:rPr>
                          <w:br/>
                        </w:r>
                        <w:r>
                          <w:rPr>
                            <w:rFonts w:ascii="Arial" w:hAnsi="Arial" w:eastAsia="Arial"/>
                            <w:color w:val="000000"/>
                            <w:sz w:val="24"/>
                          </w:rPr>
                          <w:br/>
                          <w:t xml:space="preserve">With regards to further areas of improvement, external examiners and student reps have highlighted the need for better consistency of support across personal tutors and project supervisors and a new personal tutor system is being put in place this year to begin to address some of these concerns, which will also help with student continuation and progression.  We also need to consider the use of more innovative assessment reflecting real-life scenarios at levels 5 and in particular 6, and incorporate more time and thought around the usage of technologies and A.I.</w:t>
                        </w:r>
                      </w:p>
                    </w:tc>
                  </w:tr>
                </w:tbl>
                <w:p>
                  <w:pPr>
                    <w:spacing w:after="0" w:line="240" w:lineRule="auto"/>
                  </w:pP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3271" w:hRule="atLeast"/>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38"/>
                  </w:tblGrid>
                  <w:tr>
                    <w:trPr/>
                    <w:tc>
                      <w:tcPr>
                        <w:tcW w:w="1573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recommendations following Validation/Review</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One area which was identified for review as a school following validation of the new suite of programmes was ensuring a 50:50 split between quantitative and qualitative taught content at L4 and L5 within the shared research methods modules.  However, this is an area for potential concern for the Sport and Exercise Science cohort as most major projects are quantitative.  Consideration is needed on where the displaced quantitative teaching may now sit.</w:t>
                        </w: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Action taken to address </w:t>
                        </w:r>
                        <w:r>
                          <w:rPr>
                            <w:rFonts w:ascii="Arial" w:hAnsi="Arial" w:eastAsia="Arial"/>
                            <w:b/>
                            <w:color w:val="000000"/>
                            <w:sz w:val="24"/>
                          </w:rPr>
                          <w:t xml:space="preserve">outcomes of PSRB engagement</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No action taken.  BASES endorsement was attained for the newly validated programme for the start of the 2022-23 academic year</w:t>
                        </w:r>
                      </w:p>
                    </w:tc>
                  </w:tr>
                  <w:tr>
                    <w:trPr>
                      <w:trHeight w:val="87" w:hRule="atLeast"/>
                    </w:trPr>
                    <w:tc>
                      <w:tcPr>
                        <w:tcW w:w="15738"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pPr>
                      </w:p>
                    </w:tc>
                  </w:tr>
                  <w:tr>
                    <w:trPr>
                      <w:trHeight w:val="340" w:hRule="atLeast"/>
                    </w:trPr>
                    <w:tc>
                      <w:tcPr>
                        <w:tcW w:w="15738" w:type="dxa"/>
                        <w:tcBorders>
                          <w:top w:val="single" w:color="000000" w:sz="7"/>
                          <w:left w:val="single" w:color="000000" w:sz="7"/>
                          <w:bottom w:val="single" w:color="000000" w:sz="7"/>
                          <w:right w:val="single" w:color="000000" w:sz="7"/>
                        </w:tcBorders>
                        <w:shd w:val="clear" w:fill="D3D3D3"/>
                        <w:tcMar>
                          <w:top w:w="39" w:type="dxa"/>
                          <w:left w:w="39" w:type="dxa"/>
                          <w:bottom w:w="39" w:type="dxa"/>
                          <w:right w:w="39" w:type="dxa"/>
                        </w:tcMar>
                      </w:tcPr>
                      <w:p>
                        <w:pPr>
                          <w:spacing w:after="0" w:line="240" w:lineRule="auto"/>
                          <w:jc w:val="left"/>
                        </w:pPr>
                        <w:r>
                          <w:rPr>
                            <w:rFonts w:ascii="Arial" w:hAnsi="Arial" w:eastAsia="Arial"/>
                            <w:b/>
                            <w:color w:val="000000"/>
                            <w:sz w:val="24"/>
                          </w:rPr>
                          <w:t xml:space="preserve">Director of School / Delegate Feedback</w:t>
                        </w:r>
                      </w:p>
                    </w:tc>
                  </w:tr>
                  <w:tr>
                    <w:trPr>
                      <w:trHeight w:val="483" w:hRule="atLeast"/>
                    </w:trPr>
                    <w:tc>
                      <w:tcPr>
                        <w:tcW w:w="15738"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4"/>
                          </w:rPr>
                          <w:t xml:space="preserve">This report has been completed by the programme leader, with subsequent amendments following School Director review. </w:t>
                        </w:r>
                      </w:p>
                    </w:tc>
                  </w:tr>
                </w:tbl>
                <w:p>
                  <w:pPr>
                    <w:spacing w:after="0" w:line="240" w:lineRule="auto"/>
                  </w:pPr>
                </w:p>
              </w:tc>
            </w:tr>
          </w:tbl>
          <w:p>
            <w:pPr>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555"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r>
        <w:trPr/>
        <w:tc>
          <w:tcPr>
            <w:tcW w:w="138" w:type="dxa"/>
          </w:tcPr>
          <w:p>
            <w:pPr>
              <w:pStyle w:val="EmptyCellLayoutStyle"/>
              <w:spacing w:after="0" w:line="240" w:lineRule="auto"/>
            </w:pPr>
          </w:p>
        </w:tc>
        <w:tc>
          <w:tcPr>
            <w:tcW w:w="4" w:type="dxa"/>
            <w:h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5742"/>
            </w:tblGrid>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2025</w:t>
                  </w:r>
                  <w:r>
                    <w:rPr>
                      <w:rFonts w:ascii="Arial" w:hAnsi="Arial" w:eastAsia="Arial"/>
                      <w:b/>
                      <w:color w:val="000000"/>
                      <w:sz w:val="24"/>
                    </w:rPr>
                    <w:t xml:space="preserve">/</w:t>
                  </w:r>
                  <w:r>
                    <w:rPr>
                      <w:rFonts w:ascii="Arial" w:hAnsi="Arial" w:eastAsia="Arial"/>
                      <w:b/>
                      <w:color w:val="000000"/>
                      <w:sz w:val="24"/>
                    </w:rPr>
                    <w:t xml:space="preserve">26</w:t>
                  </w:r>
                </w:p>
              </w:tc>
            </w:tr>
            <w:tr>
              <w:trPr>
                <w:trHeight w:val="5896"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Progression of Graduates: The programme’s positive Graduate Outcomes rate of 71.7% remains above the subject benchmark of 67.7% and the OfS baseline of 60%. However, the decline from 78.9% in 2021/22 and 78.2% in 2022/23 indicates that performance should be strengthened rather than judged solely against the current benchmark. </w:t>
                        </w:r>
                        <w:r>
                          <w:rPr>
                            <w:rFonts w:ascii="Arial" w:hAnsi="Arial" w:eastAsia="Arial"/>
                            <w:color w:val="000000"/>
                            <w:sz w:val="20"/>
                          </w:rPr>
                          <w:br/>
                          <w:t xml:space="preserve">Through the PPR process the programme team have created a pathway structure at level 6 to help students decide on career routes and choose suitable optional modules.  To further enhance the career support to students we will introduce further graduate transition support sessions at L5 and 6 by putting on sessions involving careers support, alumni and/or employers.  This process was started with L5 students in semester 2 of 2025-2026, so hopefully we will see the benefit of this when these students graduate.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Graduate Outcomes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20/10/26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Teaching on my course: Although Teaching on My Course remains positive at 87%, performance is below the subject benchmark of 88.8% and the aspiration rate of 91.3%. The programme will strengthen its approach to teaching enhancement by using NSS, module evaluation, student performance and student voice forum data to identify the aspects of teaching requiring improvement. Particular attention will be given to clarity of explanation, intellectual stimulation, inclusive teaching and the extent to which teaching helps students apply knowledge to professional and practical contexts.</w:t>
                        </w:r>
                        <w:r>
                          <w:rPr>
                            <w:rFonts w:ascii="Arial" w:hAnsi="Arial" w:eastAsia="Arial"/>
                            <w:color w:val="000000"/>
                            <w:sz w:val="20"/>
                          </w:rPr>
                          <w:br/>
                        </w:r>
                        <w:r>
                          <w:rPr>
                            <w:rFonts w:ascii="Arial" w:hAnsi="Arial" w:eastAsia="Arial"/>
                            <w:color w:val="000000"/>
                            <w:sz w:val="20"/>
                          </w:rPr>
                          <w:br/>
                          <w:t xml:space="preserve">In addition to the School initiatives, part of programme meetings will be saved for teaching-development discussions.  Each module team will identify one evidence-based improvement to teaching or learning design. Good practice identified through module evaluations, student feedback and teaching observation will be shared at these sessions. The programme will also work with student representatives to explore what students understand by high-quality teaching and to evaluate the effect of agreed changes.</w:t>
                        </w:r>
                        <w:r>
                          <w:rPr>
                            <w:rFonts w:ascii="Arial" w:hAnsi="Arial" w:eastAsia="Arial"/>
                            <w:color w:val="000000"/>
                            <w:sz w:val="20"/>
                          </w:rPr>
                          <w:br/>
                        </w:r>
                        <w:r>
                          <w:rPr>
                            <w:rFonts w:ascii="Arial" w:hAnsi="Arial" w:eastAsia="Arial"/>
                            <w:color w:val="000000"/>
                            <w:sz w:val="20"/>
                          </w:rPr>
                          <w:br/>
                          <w:t xml:space="preserve">By the end of the academic year, all core modules will have documented and evaluated at least one teaching enhancement. Progress will be monitored through mid-module feedback, module evaluation results and NSS performance, with the aim of increasing Teaching on My Course to at least the subject benchmark in the next survey cycle and progressing towards or beyond the 91.3% aspiration rate.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20/10/26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Use PPR to embed A.I literacy and sustainability throughout the programme.  Review of the existing provision has highlighted these are two areas we need to enhance within the programme.</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Graduate Outcomes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01/12/2026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Re-design PT/PLG approach to address academic support, student voice, module support, engagement and student progression.  This will be done by the programme team as part of the current PPR.</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Continuation, Level 4-5 Progression, 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01/12/2026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TIMETABLING </w:t>
                        </w:r>
                        <w:r>
                          <w:rPr>
                            <w:rFonts w:ascii="Arial" w:hAnsi="Arial" w:eastAsia="Arial"/>
                            <w:color w:val="000000"/>
                            <w:sz w:val="20"/>
                          </w:rPr>
                          <w:br/>
                          <w:t xml:space="preserve">The current timetabling system does not work for our programme.  This year classes are being held on Wednesdays, there are changes in rooms and times on a weekly basis, this has been reported as an issue in student feedback and will continue to impact on the student experience.  </w:t>
                        </w:r>
                        <w:r>
                          <w:rPr>
                            <w:rFonts w:ascii="Arial" w:hAnsi="Arial" w:eastAsia="Arial"/>
                            <w:color w:val="000000"/>
                            <w:sz w:val="20"/>
                          </w:rPr>
                          <w:br/>
                          <w:t xml:space="preserve">The programme team proposes the following structure:</w:t>
                        </w:r>
                        <w:r>
                          <w:rPr>
                            <w:rFonts w:ascii="Arial" w:hAnsi="Arial" w:eastAsia="Arial"/>
                            <w:color w:val="000000"/>
                            <w:sz w:val="20"/>
                          </w:rPr>
                          <w:br/>
                          <w:t xml:space="preserve">L4 students timetabled on Mondays and Tuesdays</w:t>
                        </w:r>
                        <w:r>
                          <w:rPr>
                            <w:rFonts w:ascii="Arial" w:hAnsi="Arial" w:eastAsia="Arial"/>
                            <w:color w:val="000000"/>
                            <w:sz w:val="20"/>
                          </w:rPr>
                          <w:br/>
                          <w:t xml:space="preserve">L5 students timetabled on Thursdays and Fridays.</w:t>
                        </w:r>
                        <w:r>
                          <w:rPr>
                            <w:rFonts w:ascii="Arial" w:hAnsi="Arial" w:eastAsia="Arial"/>
                            <w:color w:val="000000"/>
                            <w:sz w:val="20"/>
                          </w:rPr>
                          <w:br/>
                          <w:t xml:space="preserve">L6 students will depend on optional module/pathway chosen.</w:t>
                        </w:r>
                        <w:r>
                          <w:rPr>
                            <w:rFonts w:ascii="Arial" w:hAnsi="Arial" w:eastAsia="Arial"/>
                            <w:color w:val="000000"/>
                            <w:sz w:val="20"/>
                          </w:rPr>
                          <w:br/>
                          <w:t xml:space="preserve">This set up would also mean students could more easily work around their studies and save on transport costs. </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 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PBSISADL</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Continue to improve student voice metric with the target this year of above threshold.</w:t>
                        </w:r>
                        <w:r>
                          <w:rPr>
                            <w:rFonts w:ascii="Arial" w:hAnsi="Arial" w:eastAsia="Arial"/>
                            <w:color w:val="000000"/>
                            <w:sz w:val="20"/>
                          </w:rPr>
                          <w:br/>
                          <w:t xml:space="preserve">Work with course reps and School rep to increase engagement, consider dissemination of forum feedback.</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23/09/26 Ongoing</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2024</w:t>
                  </w:r>
                  <w:r>
                    <w:rPr>
                      <w:rFonts w:ascii="Arial" w:hAnsi="Arial" w:eastAsia="Arial"/>
                      <w:b/>
                      <w:color w:val="000000"/>
                      <w:sz w:val="24"/>
                    </w:rPr>
                    <w:t xml:space="preserve">/</w:t>
                  </w:r>
                  <w:r>
                    <w:rPr>
                      <w:rFonts w:ascii="Arial" w:hAnsi="Arial" w:eastAsia="Arial"/>
                      <w:b/>
                      <w:color w:val="000000"/>
                      <w:sz w:val="24"/>
                    </w:rPr>
                    <w:t xml:space="preserve">25</w:t>
                  </w:r>
                </w:p>
              </w:tc>
            </w:tr>
            <w:tr>
              <w:trPr>
                <w:trHeight w:val="2721"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Review possible future actions/initiatives we can put in place to try to close the gap for IMD Q1,2 students.</w:t>
                        </w:r>
                        <w:r>
                          <w:rPr>
                            <w:rFonts w:ascii="Arial" w:hAnsi="Arial" w:eastAsia="Arial"/>
                            <w:color w:val="000000"/>
                            <w:sz w:val="20"/>
                          </w:rPr>
                          <w:br/>
                          <w:t xml:space="preserve">Support from School and APP team to share successful strategies.  Identify an initiative to pilot and review for the next academic year.  Prioritise as a programme team which key institutional target to address in this pilot.</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Attainment, Continuation</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01/09/2027</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Ongoing</w:t>
                        </w:r>
                      </w:p>
                    </w:tc>
                  </w:tr>
                  <w:tr>
                    <w:trPr>
                      <w:trHeight w:val="375"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Foundation year progression and attainment.</w:t>
                        </w:r>
                        <w:r>
                          <w:rPr>
                            <w:rFonts w:ascii="Arial" w:hAnsi="Arial" w:eastAsia="Arial"/>
                            <w:color w:val="000000"/>
                            <w:sz w:val="20"/>
                          </w:rPr>
                          <w:br/>
                          <w:t xml:space="preserve">Progression and attainment of foundation year students is showing a decline.  School support is needed to investigate the why and how of this and the future of the foundation year.</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Attainment, Foundation Progression</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YES</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pP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Ongoing</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Work with student reps and advocates to improve communication with students and investigate how we can 'improve' the 'student voice'.</w:t>
                        </w:r>
                        <w:r>
                          <w:rPr>
                            <w:rFonts w:ascii="Arial" w:hAnsi="Arial" w:eastAsia="Arial"/>
                            <w:color w:val="000000"/>
                            <w:sz w:val="20"/>
                          </w:rPr>
                          <w:br/>
                          <w:t xml:space="preserve">PL and YTs to meet with course reps to discuss their involvement and how to engage reps and students in the process. Find out what 'student voice' means to them.</w:t>
                        </w:r>
                        <w:r>
                          <w:rPr>
                            <w:rFonts w:ascii="Arial" w:hAnsi="Arial" w:eastAsia="Arial"/>
                            <w:color w:val="000000"/>
                            <w:sz w:val="20"/>
                          </w:rPr>
                          <w:br/>
                          <w:t xml:space="preserve">Work with the School Working group.</w:t>
                        </w:r>
                        <w:r>
                          <w:rPr>
                            <w:rFonts w:ascii="Arial" w:hAnsi="Arial" w:eastAsia="Arial"/>
                            <w:color w:val="000000"/>
                            <w:sz w:val="20"/>
                          </w:rPr>
                          <w:br/>
                          <w:t xml:space="preserve">Review the School's new approach to the Board of Studies with the programme team and reps.</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 Voice incl. Surveys</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01/06/2026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student voice forum was created this year which proved a success in generating more feedback from students. This will be continued to be worked upon this next academic year.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22/10/25 Completed 23/09/26</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2023</w:t>
                  </w:r>
                  <w:r>
                    <w:rPr>
                      <w:rFonts w:ascii="Arial" w:hAnsi="Arial" w:eastAsia="Arial"/>
                      <w:b/>
                      <w:color w:val="000000"/>
                      <w:sz w:val="24"/>
                    </w:rPr>
                    <w:t xml:space="preserve">/</w:t>
                  </w:r>
                  <w:r>
                    <w:rPr>
                      <w:rFonts w:ascii="Arial" w:hAnsi="Arial" w:eastAsia="Arial"/>
                      <w:b/>
                      <w:color w:val="000000"/>
                      <w:sz w:val="24"/>
                    </w:rPr>
                    <w:t xml:space="preserve">24</w:t>
                  </w:r>
                </w:p>
              </w:tc>
            </w:tr>
            <w:tr>
              <w:trPr>
                <w:trHeight w:val="2267"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Students allocated to a placement by week 2 of the semester.</w:t>
                        </w:r>
                        <w:r>
                          <w:rPr>
                            <w:rFonts w:ascii="Arial" w:hAnsi="Arial" w:eastAsia="Arial"/>
                            <w:color w:val="000000"/>
                            <w:sz w:val="20"/>
                          </w:rPr>
                          <w:br/>
                        </w:r>
                        <w:r>
                          <w:rPr>
                            <w:rFonts w:ascii="Arial" w:hAnsi="Arial" w:eastAsia="Arial"/>
                            <w:color w:val="000000"/>
                            <w:sz w:val="20"/>
                          </w:rPr>
                          <w:br/>
                          <w:t xml:space="preserve">Background: As of week 4 there are still 100 students who have not yet "signed up" or been allocated to a placement. Although the main reason for this is their lack of action, the allocation process should be reflected upon and students assigned to placements earlier, or by default etc.</w:t>
                        </w:r>
                        <w:r>
                          <w:rPr>
                            <w:rFonts w:ascii="Arial" w:hAnsi="Arial" w:eastAsia="Arial"/>
                            <w:color w:val="000000"/>
                            <w:sz w:val="20"/>
                          </w:rPr>
                          <w:br/>
                        </w:r>
                        <w:r>
                          <w:rPr>
                            <w:rFonts w:ascii="Arial" w:hAnsi="Arial" w:eastAsia="Arial"/>
                            <w:color w:val="000000"/>
                            <w:sz w:val="20"/>
                          </w:rPr>
                          <w:br/>
                          <w:t xml:space="preserve">Action: Discuss placement options and allocations with Tim (ML) and Craig (SH).</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SPSMROBI</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31/05/2026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process has been reviewed again this year and setting a  target of all students being allocated a placement by week 2 is unfeasible, due to the number of students self-sourcing placements.  The placement team (led by CT) are reviewing the process again this year.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11/10/24 Completed 23/09/26</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Review module choices and module pools offered to students at L6 with a view to achieving:</w:t>
                        </w:r>
                        <w:r>
                          <w:rPr>
                            <w:rFonts w:ascii="Arial" w:hAnsi="Arial" w:eastAsia="Arial"/>
                            <w:color w:val="000000"/>
                            <w:sz w:val="20"/>
                          </w:rPr>
                          <w:br/>
                          <w:t xml:space="preserve">1. A timetable without clashes</w:t>
                        </w:r>
                        <w:r>
                          <w:rPr>
                            <w:rFonts w:ascii="Arial" w:hAnsi="Arial" w:eastAsia="Arial"/>
                            <w:color w:val="000000"/>
                            <w:sz w:val="20"/>
                          </w:rPr>
                          <w:br/>
                          <w:t xml:space="preserve">2. A better balance across Pool B </w:t>
                        </w:r>
                        <w:r>
                          <w:rPr>
                            <w:rFonts w:ascii="Arial" w:hAnsi="Arial" w:eastAsia="Arial"/>
                            <w:color w:val="000000"/>
                            <w:sz w:val="20"/>
                          </w:rPr>
                          <w:br/>
                          <w:t xml:space="preserve">3. A smaller cohort on S&amp;C </w:t>
                        </w:r>
                        <w:r>
                          <w:rPr>
                            <w:rFonts w:ascii="Arial" w:hAnsi="Arial" w:eastAsia="Arial"/>
                            <w:color w:val="000000"/>
                            <w:sz w:val="20"/>
                          </w:rPr>
                          <w:br/>
                        </w:r>
                        <w:r>
                          <w:rPr>
                            <w:rFonts w:ascii="Arial" w:hAnsi="Arial" w:eastAsia="Arial"/>
                            <w:color w:val="000000"/>
                            <w:sz w:val="20"/>
                          </w:rPr>
                          <w:br/>
                          <w:t xml:space="preserve">Action - review student selections in 2024, meet with Subject Heads to review L6 provision on SES, identify under recruiting modules and edits/ amendments to programme specification, prerequisites, modules needed.</w:t>
                        </w:r>
                        <w:r>
                          <w:rPr>
                            <w:rFonts w:ascii="Arial" w:hAnsi="Arial" w:eastAsia="Arial"/>
                            <w:color w:val="000000"/>
                            <w:sz w:val="20"/>
                          </w:rPr>
                          <w:br/>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SPSMROBI</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01/03/2026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This is going to be looked at again this year with a view to putting on a careers and module choice support day for the L5 students in semester 2.  The programme team will work with the placement/professional practice team on this.</w:t>
                        </w:r>
                        <w:r>
                          <w:rPr>
                            <w:rFonts w:ascii="Arial" w:hAnsi="Arial" w:eastAsia="Arial"/>
                            <w:color w:val="000000"/>
                            <w:sz w:val="20"/>
                          </w:rPr>
                          <w:br/>
                        </w:r>
                        <w:r>
                          <w:rPr>
                            <w:rFonts w:ascii="Arial" w:hAnsi="Arial" w:eastAsia="Arial"/>
                            <w:color w:val="000000"/>
                            <w:sz w:val="20"/>
                          </w:rPr>
                          <w:br/>
                          <w:t xml:space="preserve">Programme pathways have been developed as part of the ongoing PPR.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11/10/24 Completed 23/09/26</w:t>
                        </w:r>
                      </w:p>
                    </w:tc>
                  </w:tr>
                </w:tbl>
                <w:p>
                  <w:pPr>
                    <w:spacing w:after="0" w:line="240" w:lineRule="auto"/>
                  </w:pPr>
                </w:p>
              </w:tc>
            </w:tr>
            <w:tr>
              <w:trPr>
                <w:trHeight w:val="154" w:hRule="atLeast"/>
              </w:trPr>
              <w:tc>
                <w:tcPr>
                  <w:tcW w:w="15742" w:type="dxa"/>
                  <w:tcBorders>
                    <w:top w:val="nil" w:color="000000" w:sz="7"/>
                    <w:left w:val="nil" w:color="000000" w:sz="7"/>
                    <w:bottom w:val="nil" w:color="000000" w:sz="7"/>
                    <w:right w:val="nil" w:color="000000" w:sz="7"/>
                  </w:tcBorders>
                  <w:tcMar>
                    <w:top w:w="39" w:type="dxa"/>
                    <w:left w:w="39" w:type="dxa"/>
                    <w:bottom w:w="39" w:type="dxa"/>
                    <w:right w:w="39" w:type="dxa"/>
                  </w:tcMar>
                  <w:vAlign w:val="center"/>
                </w:tcPr>
                <w:p>
                  <w:pPr>
                    <w:spacing w:after="0" w:line="240" w:lineRule="auto"/>
                  </w:pPr>
                </w:p>
              </w:tc>
            </w:tr>
            <w:tr>
              <w:trPr>
                <w:trHeight w:val="424" w:hRule="atLeast"/>
              </w:trPr>
              <w:tc>
                <w:tcPr>
                  <w:tcW w:w="1574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vAlign w:val="center"/>
                </w:tcPr>
                <w:p>
                  <w:pPr>
                    <w:spacing w:after="0" w:line="240" w:lineRule="auto"/>
                    <w:jc w:val="left"/>
                  </w:pPr>
                  <w:r>
                    <w:rPr>
                      <w:rFonts w:ascii="Arial" w:hAnsi="Arial" w:eastAsia="Arial"/>
                      <w:b/>
                      <w:color w:val="000000"/>
                      <w:sz w:val="24"/>
                    </w:rPr>
                    <w:t xml:space="preserve">Action Plan - </w:t>
                  </w:r>
                  <w:r>
                    <w:rPr>
                      <w:rFonts w:ascii="Arial" w:hAnsi="Arial" w:eastAsia="Arial"/>
                      <w:b/>
                      <w:color w:val="000000"/>
                      <w:sz w:val="24"/>
                    </w:rPr>
                    <w:t xml:space="preserve">2022</w:t>
                  </w:r>
                  <w:r>
                    <w:rPr>
                      <w:rFonts w:ascii="Arial" w:hAnsi="Arial" w:eastAsia="Arial"/>
                      <w:b/>
                      <w:color w:val="000000"/>
                      <w:sz w:val="24"/>
                    </w:rPr>
                    <w:t xml:space="preserve">/</w:t>
                  </w:r>
                  <w:r>
                    <w:rPr>
                      <w:rFonts w:ascii="Arial" w:hAnsi="Arial" w:eastAsia="Arial"/>
                      <w:b/>
                      <w:color w:val="000000"/>
                      <w:sz w:val="24"/>
                    </w:rPr>
                    <w:t xml:space="preserve">23</w:t>
                  </w:r>
                </w:p>
              </w:tc>
            </w:tr>
            <w:tr>
              <w:trPr>
                <w:trHeight w:val="1360" w:hRule="atLeast"/>
              </w:trPr>
              <w:tc>
                <w:tcPr>
                  <w:tcW w:w="15742" w:type="dxa"/>
                  <w:tcBorders>
                    <w:top w:val="nil" w:color="000000" w:sz="7"/>
                    <w:left w:val="nil" w:color="000000" w:sz="7"/>
                    <w:bottom w:val="nil" w:color="000000" w:sz="7"/>
                    <w:right w:val="nil"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gridCol w:w="3636"/>
                    <w:gridCol w:w="1589"/>
                    <w:gridCol w:w="1283"/>
                    <w:gridCol w:w="1209"/>
                    <w:gridCol w:w="1594"/>
                    <w:gridCol w:w="3312"/>
                    <w:gridCol w:w="1226"/>
                  </w:tblGrid>
                  <w:tr>
                    <w:trPr>
                      <w:trHeight w:val="375" w:hRule="atLeast"/>
                    </w:trPr>
                    <w:tc>
                      <w:tcPr>
                        <w:tcW w:w="18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Applicable Programmes</w:t>
                        </w:r>
                      </w:p>
                    </w:tc>
                    <w:tc>
                      <w:tcPr>
                        <w:tcW w:w="363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Actions to Achieve</w:t>
                        </w:r>
                      </w:p>
                    </w:tc>
                    <w:tc>
                      <w:tcPr>
                        <w:tcW w:w="158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Theme</w:t>
                        </w:r>
                      </w:p>
                    </w:tc>
                    <w:tc>
                      <w:tcPr>
                        <w:tcW w:w="1283"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Person Responsible</w:t>
                        </w:r>
                      </w:p>
                    </w:tc>
                    <w:tc>
                      <w:tcPr>
                        <w:tcW w:w="1209"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Timescale</w:t>
                        </w:r>
                      </w:p>
                    </w:tc>
                    <w:tc>
                      <w:tcPr>
                        <w:tcW w:w="1594"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Resource Implications</w:t>
                        </w:r>
                      </w:p>
                    </w:tc>
                    <w:tc>
                      <w:tcPr>
                        <w:tcW w:w="3312"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 Update</w:t>
                        </w:r>
                      </w:p>
                    </w:tc>
                    <w:tc>
                      <w:tcPr>
                        <w:tcW w:w="1226" w:type="dxa"/>
                        <w:tcBorders>
                          <w:top w:val="single" w:color="000000" w:sz="7"/>
                          <w:left w:val="single" w:color="000000" w:sz="7"/>
                          <w:bottom w:val="single" w:color="000000" w:sz="7"/>
                          <w:right w:val="single" w:color="000000" w:sz="7"/>
                        </w:tcBorders>
                        <w:shd w:val="clear" w:fill="DEEAF6"/>
                        <w:tcMar>
                          <w:top w:w="39" w:type="dxa"/>
                          <w:left w:w="39" w:type="dxa"/>
                          <w:bottom w:w="39" w:type="dxa"/>
                          <w:right w:w="39" w:type="dxa"/>
                        </w:tcMar>
                      </w:tcPr>
                      <w:p>
                        <w:pPr>
                          <w:spacing w:after="0" w:line="240" w:lineRule="auto"/>
                          <w:jc w:val="left"/>
                        </w:pPr>
                        <w:r>
                          <w:rPr>
                            <w:rFonts w:ascii="Arial" w:hAnsi="Arial" w:eastAsia="Arial"/>
                            <w:b/>
                            <w:color w:val="000000"/>
                            <w:sz w:val="20"/>
                          </w:rPr>
                          <w:t xml:space="preserve">Status</w:t>
                        </w:r>
                      </w:p>
                    </w:tc>
                  </w:tr>
                  <w:tr>
                    <w:trPr>
                      <w:trHeight w:val="829" w:hRule="atLeast"/>
                    </w:trPr>
                    <w:tc>
                      <w:tcPr>
                        <w:tcW w:w="1889" w:type="dxa"/>
                        <w:tcBorders>
                          <w:top w:val="single" w:color="000000" w:sz="7"/>
                          <w:left w:val="single" w:color="000000" w:sz="7"/>
                          <w:bottom w:val="single" w:color="000000" w:sz="7"/>
                          <w:right w:val="single" w:color="000000" w:sz="7"/>
                        </w:tcBorders>
                        <w:tcMar>
                          <w:top w:w="0" w:type="dxa"/>
                          <w:left w:w="0" w:type="dxa"/>
                          <w:bottom w:w="0" w:type="dxa"/>
                          <w:right w:w="0" w:type="dxa"/>
                        </w:tcMar>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889"/>
                        </w:tblGrid>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30911 - Sport and Exercise Science</w:t>
                              </w:r>
                            </w:p>
                          </w:tc>
                        </w:tr>
                        <w:tr>
                          <w:trPr>
                            <w:trHeight w:val="375" w:hRule="atLeast"/>
                          </w:trPr>
                          <w:tc>
                            <w:tcPr>
                              <w:tcW w:w="188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40911 - Sport and Exercise Science</w:t>
                              </w:r>
                            </w:p>
                          </w:tc>
                        </w:tr>
                      </w:tbl>
                      <w:p>
                        <w:pPr>
                          <w:spacing w:after="0" w:line="240" w:lineRule="auto"/>
                        </w:pPr>
                      </w:p>
                    </w:tc>
                    <w:tc>
                      <w:tcPr>
                        <w:tcW w:w="363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More thought around technologies and A.I use. A.I and the changing environment is potentially one of the biggest threats to assessment on the programme.</w:t>
                        </w:r>
                        <w:r>
                          <w:rPr>
                            <w:rFonts w:ascii="Arial" w:hAnsi="Arial" w:eastAsia="Arial"/>
                            <w:color w:val="000000"/>
                            <w:sz w:val="20"/>
                          </w:rPr>
                          <w:br/>
                          <w:t xml:space="preserve">Programme team to discuss in team meetings and share expertise.</w:t>
                        </w:r>
                        <w:r>
                          <w:rPr>
                            <w:rFonts w:ascii="Arial" w:hAnsi="Arial" w:eastAsia="Arial"/>
                            <w:color w:val="000000"/>
                            <w:sz w:val="20"/>
                          </w:rPr>
                          <w:br/>
                          <w:t xml:space="preserve">Programme staff to attend university/faculty and school support sessions.</w:t>
                        </w:r>
                        <w:r>
                          <w:rPr>
                            <w:rFonts w:ascii="Arial" w:hAnsi="Arial" w:eastAsia="Arial"/>
                            <w:color w:val="000000"/>
                            <w:sz w:val="20"/>
                          </w:rPr>
                          <w:br/>
                          <w:t xml:space="preserve">Programme team are currently working in discipline groups to consider changes to assessments for new level 6 modules for 23_24</w:t>
                        </w:r>
                      </w:p>
                    </w:tc>
                    <w:tc>
                      <w:tcPr>
                        <w:tcW w:w="158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Other</w:t>
                        </w:r>
                      </w:p>
                    </w:tc>
                    <w:tc>
                      <w:tcPr>
                        <w:tcW w:w="1283"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SLNEMAH1</w:t>
                        </w:r>
                      </w:p>
                    </w:tc>
                    <w:tc>
                      <w:tcPr>
                        <w:tcW w:w="1209"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01/09/2026</w:t>
                        </w:r>
                      </w:p>
                    </w:tc>
                    <w:tc>
                      <w:tcPr>
                        <w:tcW w:w="1594"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N/A</w:t>
                        </w:r>
                      </w:p>
                    </w:tc>
                    <w:tc>
                      <w:tcPr>
                        <w:tcW w:w="3312"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The school A.I group have done alot of work on this, which is now being fed into programme teams. The programme team is also looking at embedding A.I learning across the programme as part of the PPR.</w:t>
                        </w:r>
                      </w:p>
                    </w:tc>
                    <w:tc>
                      <w:tcPr>
                        <w:tcW w:w="1226" w:type="dxa"/>
                        <w:tcBorders>
                          <w:top w:val="single" w:color="000000" w:sz="7"/>
                          <w:left w:val="single" w:color="000000" w:sz="7"/>
                          <w:bottom w:val="single" w:color="000000" w:sz="7"/>
                          <w:right w:val="single"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Created 09/11/23 Ongoing - last update 23/09/26</w:t>
                        </w:r>
                      </w:p>
                    </w:tc>
                  </w:tr>
                </w:tbl>
                <w:p>
                  <w:pPr>
                    <w:spacing w:after="0" w:line="240" w:lineRule="auto"/>
                  </w:pPr>
                </w:p>
              </w:tc>
            </w:tr>
          </w:tbl>
          <w:p>
            <w:pPr>
              <w:spacing w:after="0" w:line="240" w:lineRule="auto"/>
            </w:pPr>
          </w:p>
        </w:tc>
        <w:tc>
          <w:tcPr>
            <w:tcW w:w="61" w:type="dxa"/>
            <w:hMerge w:val="continue"/>
          </w:tcPr>
          <w:p>
            <w:pPr>
              <w:pStyle w:val="EmptyCellLayoutStyle"/>
              <w:spacing w:after="0" w:line="240" w:lineRule="auto"/>
            </w:pPr>
          </w:p>
        </w:tc>
        <w:tc>
          <w:tcPr>
            <w:tcW w:w="15515" w:type="dxa"/>
            <w:hMerge w:val="continue"/>
          </w:tcPr>
          <w:p>
            <w:pPr>
              <w:pStyle w:val="EmptyCellLayoutStyle"/>
              <w:spacing w:after="0" w:line="240" w:lineRule="auto"/>
            </w:pPr>
          </w:p>
        </w:tc>
        <w:tc>
          <w:tcPr>
            <w:tcW w:w="161" w:type="dxa"/>
            <w:hMerge w:val="continue"/>
          </w:tcPr>
          <w:p>
            <w:pPr>
              <w:pStyle w:val="EmptyCellLayoutStyle"/>
              <w:spacing w:after="0" w:line="240" w:lineRule="auto"/>
            </w:pPr>
          </w:p>
        </w:tc>
        <w:tc>
          <w:tcPr>
            <w:tcW w:w="122" w:type="dxa"/>
          </w:tcPr>
          <w:p>
            <w:pPr>
              <w:pStyle w:val="EmptyCellLayoutStyle"/>
              <w:spacing w:after="0" w:line="240" w:lineRule="auto"/>
            </w:pPr>
          </w:p>
        </w:tc>
      </w:tr>
      <w:tr>
        <w:trPr>
          <w:trHeight w:val="132" w:hRule="atLeast"/>
        </w:trPr>
        <w:tc>
          <w:tcPr>
            <w:tcW w:w="138" w:type="dxa"/>
          </w:tcPr>
          <w:p>
            <w:pPr>
              <w:pStyle w:val="EmptyCellLayoutStyle"/>
              <w:spacing w:after="0" w:line="240" w:lineRule="auto"/>
            </w:pPr>
          </w:p>
        </w:tc>
        <w:tc>
          <w:tcPr>
            <w:tcW w:w="4" w:type="dxa"/>
          </w:tcPr>
          <w:p>
            <w:pPr>
              <w:pStyle w:val="EmptyCellLayoutStyle"/>
              <w:spacing w:after="0" w:line="240" w:lineRule="auto"/>
            </w:pPr>
          </w:p>
        </w:tc>
        <w:tc>
          <w:tcPr>
            <w:tcW w:w="61" w:type="dxa"/>
          </w:tcPr>
          <w:p>
            <w:pPr>
              <w:pStyle w:val="EmptyCellLayoutStyle"/>
              <w:spacing w:after="0" w:line="240" w:lineRule="auto"/>
            </w:pPr>
          </w:p>
        </w:tc>
        <w:tc>
          <w:tcPr>
            <w:tcW w:w="15515" w:type="dxa"/>
          </w:tcPr>
          <w:p>
            <w:pPr>
              <w:pStyle w:val="EmptyCellLayoutStyle"/>
              <w:spacing w:after="0" w:line="240" w:lineRule="auto"/>
            </w:pPr>
          </w:p>
        </w:tc>
        <w:tc>
          <w:tcPr>
            <w:tcW w:w="161" w:type="dxa"/>
          </w:tcPr>
          <w:p>
            <w:pPr>
              <w:pStyle w:val="EmptyCellLayoutStyle"/>
              <w:spacing w:after="0" w:line="240" w:lineRule="auto"/>
            </w:pPr>
          </w:p>
        </w:tc>
        <w:tc>
          <w:tcPr>
            <w:tcW w:w="122" w:type="dxa"/>
          </w:tcPr>
          <w:p>
            <w:pPr>
              <w:pStyle w:val="EmptyCellLayoutStyle"/>
              <w:spacing w:after="0" w:line="240" w:lineRule="auto"/>
            </w:pPr>
          </w:p>
        </w:tc>
      </w:tr>
    </w:tbl>
    <w:p>
      <w:pPr>
        <w:spacing w:after="0" w:line="240" w:lineRule="auto"/>
      </w:pPr>
    </w:p>
    <w:sectPr w:rsidRPr="" w:rsidDel="" w:rsidR="" w:rsidSect="">
      <w:headerReference r:id="rId5" w:type="default"/>
      <w:footerReference r:id="rId8" w:type="default"/>
      <w:pgSz w:w="17141" w:h="11905" w:orient="landscape"/>
      <w:pgMar w:top="2372" w:right="566" w:bottom="1313" w:left="566" w:header="1133" w:footer="566" w:gutter=""/>
    </w:sectPr>
  </w:body>
</w:document>
</file>

<file path=word/footer1.xml><?xml version="1.0" encoding="utf-8"?>
<w:ft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193"/>
      <w:gridCol w:w="979"/>
      <w:gridCol w:w="10030"/>
      <w:gridCol w:w="4784"/>
      <w:gridCol w:w="18"/>
    </w:tblGrid>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v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754"/>
            <w:gridCol w:w="3029"/>
          </w:tblGrid>
          <w:tr>
            <w:trPr>
              <w:trHeight w:val="74" w:hRule="atLeast"/>
            </w:trPr>
            <w:tc>
              <w:tcPr>
                <w:tcW w:w="1754" w:type="dxa"/>
              </w:tcPr>
              <w:p>
                <w:pPr>
                  <w:pStyle w:val="EmptyCellLayoutStyle"/>
                  <w:spacing w:after="0" w:line="240" w:lineRule="auto"/>
                </w:pPr>
              </w:p>
            </w:tc>
            <w:tc>
              <w:tcPr>
                <w:tcW w:w="3029" w:type="dxa"/>
              </w:tcPr>
              <w:p>
                <w:pPr>
                  <w:pStyle w:val="EmptyCellLayoutStyle"/>
                  <w:spacing w:after="0" w:line="240" w:lineRule="auto"/>
                </w:pPr>
              </w:p>
            </w:tc>
          </w:tr>
          <w:tr>
            <w:trPr/>
            <w:tc>
              <w:tcPr>
                <w:tcW w:w="1754" w:type="dxa"/>
              </w:tcPr>
              <w:p>
                <w:pPr>
                  <w:pStyle w:val="EmptyCellLayoutStyle"/>
                  <w:spacing w:after="0" w:line="240" w:lineRule="auto"/>
                </w:pPr>
              </w:p>
            </w:tc>
            <w:tc>
              <w:tcPr>
                <w:tcW w:w="3029" w:type="dxa"/>
              </w:tcPr>
              <w:tbl>
                <w:tblPr>
                  <w:tblCellMar>
                    <w:top w:w="0" w:type="dxa"/>
                    <w:left w:w="0" w:type="dxa"/>
                    <w:bottom w:w="0" w:type="dxa"/>
                    <w:right w:w="0" w:type="dxa"/>
                  </w:tblCellMar>
                </w:tblPr>
                <w:tblGrid>
                  <w:gridCol w:w="3029"/>
                </w:tblGrid>
                <w:tr>
                  <w:trPr>
                    <w:trHeight w:val="262" w:hRule="atLeast"/>
                  </w:trPr>
                  <w:tc>
                    <w:tcPr>
                      <w:tcW w:w="302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right"/>
                      </w:pPr>
                      <w:r>
                        <w:rPr>
                          <w:rFonts w:ascii="Arial" w:hAnsi="Arial" w:eastAsia="Arial"/>
                          <w:color w:val="000000"/>
                          <w:sz w:val="18"/>
                        </w:rPr>
                        <w:fldChar w:fldCharType="begin" w:fldLock="0" w:dirty="0"/>
                      </w:r>
                      <w:r>
                        <w:rPr>
                          <w:rFonts w:ascii="Arial" w:hAnsi="Arial" w:eastAsia="Arial"/>
                          <w:noProof/>
                          <w:color w:val="000000"/>
                          <w:sz w:val="18"/>
                        </w:rPr>
                        <w:instrText xml:space="preserve"> PAGE </w:instrText>
                      </w:r>
                      <w:r>
                        <w:rPr>
                          <w:rFonts w:ascii="Arial" w:hAnsi="Arial" w:eastAsia="Arial"/>
                          <w:color w:val="000000"/>
                          <w:sz w:val="18"/>
                        </w:rPr>
                        <w:fldChar w:fldCharType="separate" w:fldLock="0" w:dirty="0"/>
                      </w:r>
                      <w:r>
                        <w:rPr>
                          <w:rFonts w:ascii="Arial" w:hAnsi="Arial" w:eastAsia="Arial"/>
                          <w:color w:val="000000"/>
                          <w:sz w:val="18"/>
                        </w:rPr>
                        <w:t xml:space="preserve">1</w:t>
                      </w:r>
                      <w:r>
                        <w:rPr>
                          <w:rFonts w:ascii="Arial" w:hAnsi="Arial" w:eastAsia="Arial"/>
                          <w:color w:val="000000"/>
                          <w:sz w:val="18"/>
                        </w:rPr>
                        <w:fldChar w:fldCharType="end" w:fldLock="0" w:dirty="0"/>
                      </w:r>
                      <w:r>
                        <w:rPr>
                          <w:rFonts w:ascii="Arial" w:hAnsi="Arial" w:eastAsia="Arial"/>
                          <w:color w:val="000000"/>
                          <w:sz w:val="18"/>
                        </w:rPr>
                        <w:t xml:space="preserve"> of </w:t>
                      </w:r>
                      <w:r>
                        <w:rPr>
                          <w:rFonts w:ascii="Arial" w:hAnsi="Arial" w:eastAsia="Arial"/>
                          <w:color w:val="000000"/>
                          <w:sz w:val="18"/>
                        </w:rPr>
                        <w:fldChar w:fldCharType="begin" w:fldLock="0" w:dirty="0"/>
                      </w:r>
                      <w:r>
                        <w:rPr>
                          <w:rFonts w:ascii="Arial" w:hAnsi="Arial" w:eastAsia="Arial"/>
                          <w:noProof/>
                          <w:color w:val="000000"/>
                          <w:sz w:val="18"/>
                        </w:rPr>
                        <w:instrText xml:space="preserve"> NUMPAGES </w:instrText>
                      </w:r>
                      <w:r>
                        <w:rPr>
                          <w:rFonts w:ascii="Arial" w:hAnsi="Arial" w:eastAsia="Arial"/>
                          <w:color w:val="000000"/>
                          <w:sz w:val="18"/>
                        </w:rPr>
                        <w:fldChar w:fldCharType="separate" w:fldLock="0" w:dirty="0"/>
                      </w:r>
                      <w:r>
                        <w:rPr>
                          <w:rFonts w:ascii="Arial" w:hAnsi="Arial" w:eastAsia="Arial"/>
                          <w:color w:val="000000"/>
                          <w:sz w:val="18"/>
                        </w:rPr>
                        <w:t xml:space="preserve">1</w:t>
                      </w:r>
                      <w:r>
                        <w:rPr>
                          <w:rFonts w:ascii="Arial" w:hAnsi="Arial" w:eastAsia="Arial"/>
                          <w:color w:val="000000"/>
                          <w:sz w:val="18"/>
                        </w:rPr>
                        <w:fldChar w:fldCharType="end" w:fldLock="0" w:dirty="0"/>
                      </w:r>
                    </w:p>
                  </w:tc>
                </w:tr>
              </w:tbl>
              <w:p>
                <w:pPr>
                  <w:spacing w:after="0" w:line="240" w:lineRule="auto"/>
                </w:pPr>
              </w:p>
            </w:tc>
          </w:tr>
          <w:tr>
            <w:trPr>
              <w:trHeight w:val="154" w:hRule="atLeast"/>
            </w:trPr>
            <w:tc>
              <w:tcPr>
                <w:tcW w:w="1754" w:type="dxa"/>
              </w:tcPr>
              <w:p>
                <w:pPr>
                  <w:pStyle w:val="EmptyCellLayoutStyle"/>
                  <w:spacing w:after="0" w:line="240" w:lineRule="auto"/>
                </w:pPr>
              </w:p>
            </w:tc>
            <w:tc>
              <w:tcPr>
                <w:tcW w:w="3029" w:type="dxa"/>
              </w:tcPr>
              <w:p>
                <w:pPr>
                  <w:pStyle w:val="EmptyCellLayoutStyle"/>
                  <w:spacing w:after="0" w:line="240" w:lineRule="auto"/>
                </w:pPr>
              </w:p>
            </w:tc>
          </w:tr>
        </w:tbl>
        <w:p>
          <w:pPr>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tbl>
          <w:tblPr>
            <w:tblCellMar>
              <w:top w:w="0" w:type="dxa"/>
              <w:left w:w="0" w:type="dxa"/>
              <w:bottom w:w="0" w:type="dxa"/>
              <w:right w:w="0" w:type="dxa"/>
            </w:tblCellMar>
          </w:tblPr>
          <w:tblGrid>
            <w:gridCol w:w="979"/>
          </w:tblGrid>
          <w:tr>
            <w:trPr>
              <w:trHeight w:val="220" w:hRule="atLeast"/>
            </w:trPr>
            <w:tc>
              <w:tcPr>
                <w:tcW w:w="979"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18"/>
                  </w:rPr>
                  <w:t xml:space="preserve">v3.08_26</w:t>
                </w:r>
              </w:p>
            </w:tc>
          </w:tr>
        </w:tbl>
        <w:p>
          <w:pPr>
            <w:spacing w:after="0" w:line="240" w:lineRule="auto"/>
          </w:pPr>
        </w:p>
      </w:tc>
      <w:tc>
        <w:tcPr>
          <w:tcW w:w="10030" w:type="dxa"/>
        </w:tcPr>
        <w:p>
          <w:pPr>
            <w:pStyle w:val="EmptyCellLayoutStyle"/>
            <w:spacing w:after="0" w:line="240" w:lineRule="auto"/>
          </w:pPr>
        </w:p>
      </w:tc>
      <w:tc>
        <w:tcPr>
          <w:tcW w:w="4784" w:type="dxa"/>
          <w:vMerge w:val="continue"/>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vMerge w:val="continue"/>
        </w:tcPr>
        <w:p>
          <w:pPr>
            <w:pStyle w:val="EmptyCellLayoutStyle"/>
            <w:spacing w:after="0" w:line="240" w:lineRule="auto"/>
          </w:pPr>
        </w:p>
      </w:tc>
      <w:tc>
        <w:tcPr>
          <w:tcW w:w="18" w:type="dxa"/>
        </w:tcPr>
        <w:p>
          <w:pPr>
            <w:pStyle w:val="EmptyCellLayoutStyle"/>
            <w:spacing w:after="0" w:line="240" w:lineRule="auto"/>
          </w:pPr>
        </w:p>
      </w:tc>
    </w:tr>
    <w:tr>
      <w:trPr/>
      <w:tc>
        <w:tcPr>
          <w:tcW w:w="193" w:type="dxa"/>
        </w:tcPr>
        <w:p>
          <w:pPr>
            <w:pStyle w:val="EmptyCellLayoutStyle"/>
            <w:spacing w:after="0" w:line="240" w:lineRule="auto"/>
          </w:pPr>
        </w:p>
      </w:tc>
      <w:tc>
        <w:tcPr>
          <w:tcW w:w="979" w:type="dxa"/>
        </w:tcPr>
        <w:p>
          <w:pPr>
            <w:pStyle w:val="EmptyCellLayoutStyle"/>
            <w:spacing w:after="0" w:line="240" w:lineRule="auto"/>
          </w:pPr>
        </w:p>
      </w:tc>
      <w:tc>
        <w:tcPr>
          <w:tcW w:w="10030" w:type="dxa"/>
        </w:tcPr>
        <w:p>
          <w:pPr>
            <w:pStyle w:val="EmptyCellLayoutStyle"/>
            <w:spacing w:after="0" w:line="240" w:lineRule="auto"/>
          </w:pPr>
        </w:p>
      </w:tc>
      <w:tc>
        <w:tcPr>
          <w:tcW w:w="4784" w:type="dxa"/>
        </w:tcPr>
        <w:p>
          <w:pPr>
            <w:pStyle w:val="EmptyCellLayoutStyle"/>
            <w:spacing w:after="0" w:line="240" w:lineRule="auto"/>
          </w:pPr>
        </w:p>
      </w:tc>
      <w:tc>
        <w:tcPr>
          <w:tcW w:w="18" w:type="dxa"/>
        </w:tcPr>
        <w:p>
          <w:pPr>
            <w:pStyle w:val="EmptyCellLayoutStyle"/>
            <w:spacing w:after="0" w:line="240" w:lineRule="auto"/>
          </w:pPr>
        </w:p>
      </w:tc>
    </w:tr>
  </w:tbl>
</w:ftr>
</file>

<file path=word/header0.xml><?xml version="1.0" encoding="utf-8"?>
<w:hdr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tbl>
    <w:tblPr>
      <w:tblCellMar>
        <w:top w:w="0" w:type="dxa"/>
        <w:left w:w="0" w:type="dxa"/>
        <w:bottom w:w="0" w:type="dxa"/>
        <w:right w:w="0" w:type="dxa"/>
      </w:tblCellMar>
    </w:tblPr>
    <w:tblGrid>
      <w:gridCol w:w="204"/>
      <w:gridCol w:w="5865"/>
      <w:gridCol w:w="6674"/>
      <w:gridCol w:w="3140"/>
      <w:gridCol w:w="122"/>
    </w:tblGrid>
    <w:tr>
      <w:trPr/>
      <w:tc>
        <w:tcPr>
          <w:tcW w:w="204" w:type="dxa"/>
        </w:tcPr>
        <w:p>
          <w:pPr>
            <w:pStyle w:val="EmptyCellLayoutStyle"/>
            <w:spacing w:after="0" w:line="240" w:lineRule="auto"/>
          </w:pPr>
        </w:p>
      </w:tc>
      <w:tc>
        <w:tcPr>
          <w:tcW w:w="5865" w:type="dxa"/>
        </w:tcPr>
        <w:p>
          <w:pPr>
            <w:pStyle w:val="EmptyCellLayoutStyle"/>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vMerge w:val="restart"/>
        </w:tcPr>
        <w:tbl>
          <w:tblPr>
            <w:tblBorders>
              <w:top w:val="nil" w:color="000000" w:sz="7"/>
              <w:left w:val="nil" w:color="000000" w:sz="7"/>
              <w:bottom w:val="nil" w:color="000000" w:sz="7"/>
              <w:right w:val="nil" w:color="000000" w:sz="7"/>
            </w:tblBorders>
            <w:tblCellMar>
              <w:top w:w="0" w:type="dxa"/>
              <w:left w:w="0" w:type="dxa"/>
              <w:bottom w:w="0" w:type="dxa"/>
              <w:right w:w="0" w:type="dxa"/>
            </w:tblCellMar>
          </w:tblPr>
          <w:tblGrid>
            <w:gridCol w:w="1990"/>
            <w:gridCol w:w="115"/>
            <w:gridCol w:w="3358"/>
            <w:gridCol w:w="400"/>
          </w:tblGrid>
          <w:tr>
            <w:trPr>
              <w:trHeight w:val="159" w:hRule="atLeast"/>
            </w:trPr>
            <w:tc>
              <w:tcPr>
                <w:tcW w:w="1990" w:type="dxa"/>
              </w:tcPr>
              <w:p>
                <w:pPr>
                  <w:pStyle w:val="EmptyCellLayoutStyle"/>
                  <w:spacing w:after="0" w:line="240" w:lineRule="auto"/>
                </w:pPr>
              </w:p>
            </w:tc>
            <w:tc>
              <w:tcPr>
                <w:tcW w:w="115" w:type="dxa"/>
              </w:tcPr>
              <w:p>
                <w:pPr>
                  <w:pStyle w:val="EmptyCellLayoutStyle"/>
                  <w:spacing w:after="0" w:line="240" w:lineRule="auto"/>
                </w:pPr>
              </w:p>
            </w:tc>
            <w:tc>
              <w:tcPr>
                <w:tcW w:w="3358" w:type="dxa"/>
              </w:tcPr>
              <w:p>
                <w:pPr>
                  <w:pStyle w:val="EmptyCellLayoutStyle"/>
                  <w:spacing w:after="0" w:line="240" w:lineRule="auto"/>
                </w:pPr>
              </w:p>
            </w:tc>
            <w:tc>
              <w:tcPr>
                <w:tcW w:w="400" w:type="dxa"/>
              </w:tcPr>
              <w:p>
                <w:pPr>
                  <w:pStyle w:val="EmptyCellLayoutStyle"/>
                  <w:spacing w:after="0" w:line="240" w:lineRule="auto"/>
                </w:pPr>
              </w:p>
            </w:tc>
          </w:tr>
          <w:tr>
            <w:trPr/>
            <w:tc>
              <w:tcPr>
                <w:tcW w:w="1990"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1034939" cy="549526"/>
                      <wp:docPr id="0" name="img3.jpg"/>
                      <a:graphic>
                        <a:graphicData uri="http://schemas.openxmlformats.org/drawingml/2006/picture">
                          <pic:pic>
                            <pic:nvPicPr>
                              <pic:cNvPr id="1" name="img3.jpg"/>
                              <pic:cNvPicPr/>
                            </pic:nvPicPr>
                            <pic:blipFill>
                              <a:blip r:embed="rId6" cstate="print"/>
                              <a:stretch>
                                <a:fillRect r="0" b="0"/>
                              </a:stretch>
                            </pic:blipFill>
                            <pic:spPr>
                              <a:xfrm>
                                <a:off x="0" y="0"/>
                                <a:ext cx="1034939" cy="549526"/>
                              </a:xfrm>
                              <a:prstGeom prst="rect">
                                <a:avLst/>
                              </a:prstGeom>
                            </pic:spPr>
                          </pic:pic>
                        </a:graphicData>
                      </a:graphic>
                    </wp:inline>
                  </w:drawing>
                </w:r>
              </w:p>
            </w:tc>
            <w:tc>
              <w:tcPr>
                <w:tcW w:w="115" w:type="dxa"/>
              </w:tcPr>
              <w:p>
                <w:pPr>
                  <w:pStyle w:val="EmptyCellLayoutStyle"/>
                  <w:spacing w:after="0" w:line="240" w:lineRule="auto"/>
                </w:pPr>
              </w:p>
            </w:tc>
            <w:tc>
              <w:tcPr>
                <w:tcW w:w="3358" w:type="dxa"/>
                <w:tcBorders>
                  <w:top w:val="nil" w:color="000000" w:sz="7"/>
                  <w:left w:val="nil" w:color="000000" w:sz="7"/>
                  <w:bottom w:val="nil" w:color="000000" w:sz="7"/>
                  <w:right w:val="nil" w:color="000000" w:sz="7"/>
                </w:tcBorders>
                <w:tcMar>
                  <w:top w:w="0" w:type="dxa"/>
                  <w:left w:w="0" w:type="dxa"/>
                  <w:bottom w:w="0" w:type="dxa"/>
                  <w:right w:w="0" w:type="dxa"/>
                </w:tcMar>
              </w:tcPr>
              <w:p>
                <w:pPr>
                  <w:spacing w:after="0" w:line="240" w:lineRule="auto"/>
                </w:pPr>
                <w:r w:rsidRPr="" w:rsidDel="" w:rsidR="">
                  <w:drawing>
                    <wp:inline>
                      <wp:extent cx="1899706" cy="549526"/>
                      <wp:docPr id="2" name="img4.jpg"/>
                      <a:graphic>
                        <a:graphicData uri="http://schemas.openxmlformats.org/drawingml/2006/picture">
                          <pic:pic>
                            <pic:nvPicPr>
                              <pic:cNvPr id="3" name="img4.jpg"/>
                              <pic:cNvPicPr/>
                            </pic:nvPicPr>
                            <pic:blipFill>
                              <a:blip r:embed="rId7" cstate="print"/>
                              <a:stretch>
                                <a:fillRect r="0" b="0"/>
                              </a:stretch>
                            </pic:blipFill>
                            <pic:spPr>
                              <a:xfrm>
                                <a:off x="0" y="0"/>
                                <a:ext cx="1899706" cy="549526"/>
                              </a:xfrm>
                              <a:prstGeom prst="rect">
                                <a:avLst/>
                              </a:prstGeom>
                            </pic:spPr>
                          </pic:pic>
                        </a:graphicData>
                      </a:graphic>
                    </wp:inline>
                  </w:drawing>
                </w:r>
              </w:p>
            </w:tc>
            <w:tc>
              <w:tcPr>
                <w:tcW w:w="400" w:type="dxa"/>
              </w:tcPr>
              <w:p>
                <w:pPr>
                  <w:pStyle w:val="EmptyCellLayoutStyle"/>
                  <w:spacing w:after="0" w:line="240" w:lineRule="auto"/>
                </w:pPr>
              </w:p>
            </w:tc>
          </w:tr>
        </w:tbl>
        <w:p>
          <w:pPr>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vMerge w:val="continue"/>
        </w:tcPr>
        <w:p>
          <w:pPr>
            <w:pStyle w:val="EmptyCellLayoutStyle"/>
            <w:spacing w:after="0" w:line="240" w:lineRule="auto"/>
          </w:pPr>
        </w:p>
      </w:tc>
      <w:tc>
        <w:tcPr>
          <w:tcW w:w="6674" w:type="dxa"/>
        </w:tcPr>
        <w:p>
          <w:pPr>
            <w:pStyle w:val="EmptyCellLayoutStyle"/>
            <w:spacing w:after="0" w:line="240" w:lineRule="auto"/>
          </w:pPr>
        </w:p>
      </w:tc>
      <w:tc>
        <w:tcPr>
          <w:tcW w:w="3140" w:type="dxa"/>
        </w:tcPr>
        <w:tbl>
          <w:tblPr>
            <w:tblCellMar>
              <w:top w:w="0" w:type="dxa"/>
              <w:left w:w="0" w:type="dxa"/>
              <w:bottom w:w="0" w:type="dxa"/>
              <w:right w:w="0" w:type="dxa"/>
            </w:tblCellMar>
          </w:tblPr>
          <w:tblGrid>
            <w:gridCol w:w="3140"/>
          </w:tblGrid>
          <w:tr>
            <w:trPr>
              <w:trHeight w:val="797" w:hRule="atLeast"/>
            </w:trPr>
            <w:tc>
              <w:tcPr>
                <w:tcW w:w="3140" w:type="dxa"/>
                <w:tcBorders>
                  <w:top w:val="nil" w:color="000000" w:sz="7"/>
                  <w:left w:val="nil" w:color="000000" w:sz="7"/>
                  <w:bottom w:val="nil" w:color="000000" w:sz="7"/>
                  <w:right w:val="nil" w:color="000000" w:sz="7"/>
                </w:tcBorders>
                <w:tcMar>
                  <w:top w:w="39" w:type="dxa"/>
                  <w:left w:w="39" w:type="dxa"/>
                  <w:bottom w:w="39" w:type="dxa"/>
                  <w:right w:w="39" w:type="dxa"/>
                </w:tcMar>
              </w:tcPr>
              <w:p>
                <w:pPr>
                  <w:spacing w:after="0" w:line="240" w:lineRule="auto"/>
                  <w:jc w:val="left"/>
                </w:pPr>
                <w:r>
                  <w:rPr>
                    <w:rFonts w:ascii="Arial" w:hAnsi="Arial" w:eastAsia="Arial"/>
                    <w:color w:val="000000"/>
                    <w:sz w:val="20"/>
                  </w:rPr>
                  <w:t xml:space="preserve">Last Updated by: </w:t>
                </w:r>
                <w:r>
                  <w:rPr>
                    <w:rFonts w:ascii="Arial" w:hAnsi="Arial" w:eastAsia="Arial"/>
                    <w:color w:val="000000"/>
                    <w:sz w:val="20"/>
                  </w:rPr>
                  <w:t xml:space="preserve">SPSRMURP</w:t>
                </w:r>
              </w:p>
              <w:p>
                <w:pPr>
                  <w:spacing w:after="0" w:line="240" w:lineRule="auto"/>
                  <w:jc w:val="left"/>
                </w:pPr>
                <w:r>
                  <w:rPr>
                    <w:rFonts w:ascii="Arial" w:hAnsi="Arial" w:eastAsia="Arial"/>
                    <w:color w:val="000000"/>
                    <w:sz w:val="20"/>
                  </w:rPr>
                  <w:t xml:space="preserve">Date: </w:t>
                </w:r>
                <w:r>
                  <w:rPr>
                    <w:rFonts w:ascii="Arial" w:hAnsi="Arial" w:eastAsia="Arial"/>
                    <w:color w:val="000000"/>
                    <w:sz w:val="20"/>
                  </w:rPr>
                  <w:t xml:space="preserve">11/01/24</w:t>
                </w:r>
              </w:p>
            </w:tc>
          </w:tr>
        </w:tbl>
        <w:p>
          <w:pPr>
            <w:spacing w:after="0" w:line="240" w:lineRule="auto"/>
          </w:pPr>
        </w:p>
      </w:tc>
      <w:tc>
        <w:tcPr>
          <w:tcW w:w="122" w:type="dxa"/>
        </w:tcPr>
        <w:p>
          <w:pPr>
            <w:pStyle w:val="EmptyCellLayoutStyle"/>
            <w:spacing w:after="0" w:line="240" w:lineRule="auto"/>
          </w:pPr>
        </w:p>
      </w:tc>
    </w:tr>
    <w:tr>
      <w:trPr/>
      <w:tc>
        <w:tcPr>
          <w:tcW w:w="204" w:type="dxa"/>
        </w:tcPr>
        <w:p>
          <w:pPr>
            <w:pStyle w:val="EmptyCellLayoutStyle"/>
            <w:spacing w:after="0" w:line="240" w:lineRule="auto"/>
          </w:pPr>
        </w:p>
      </w:tc>
      <w:tc>
        <w:tcPr>
          <w:tcW w:w="5865" w:type="dxa"/>
        </w:tcPr>
        <w:p>
          <w:pPr>
            <w:pStyle w:val="EmptyCellLayoutStyle"/>
            <w:spacing w:after="0" w:line="240" w:lineRule="auto"/>
          </w:pPr>
        </w:p>
      </w:tc>
      <w:tc>
        <w:tcPr>
          <w:tcW w:w="6674" w:type="dxa"/>
        </w:tcPr>
        <w:p>
          <w:pPr>
            <w:pStyle w:val="EmptyCellLayoutStyle"/>
            <w:spacing w:after="0" w:line="240" w:lineRule="auto"/>
          </w:pPr>
        </w:p>
      </w:tc>
      <w:tc>
        <w:tcPr>
          <w:tcW w:w="3140" w:type="dxa"/>
        </w:tcPr>
        <w:p>
          <w:pPr>
            <w:pStyle w:val="EmptyCellLayoutStyle"/>
            <w:spacing w:after="0" w:line="240" w:lineRule="auto"/>
          </w:pPr>
        </w:p>
      </w:tc>
      <w:tc>
        <w:tcPr>
          <w:tcW w:w="122" w:type="dxa"/>
        </w:tcPr>
        <w:p>
          <w:pPr>
            <w:pStyle w:val="EmptyCellLayoutStyle"/>
            <w:spacing w:after="0" w:line="240" w:lineRule="auto"/>
          </w:pPr>
        </w:p>
      </w:tc>
    </w:tr>
  </w:tbl>
</w:hdr>
</file>

<file path=word/numbering.xml><?xml version="1.0" encoding="utf-8"?>
<w:numbering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abstractNum w:abstractNumId="0">
    <w:nsid w:val="00000001"/>
    <w:multiLevelType w:val="multilevel"/>
    <w:tmpl w:val="00000001"/>
    <w:lvl w:ilvl="0">
      <w:start w:val="1"/>
      <w:numFmt w:val="bullet"/>
      <w:lvlText w:val="·"/>
      <w:lvlJc w:val="left"/>
      <w:rPr>
        <w:rFonts w:ascii="Symbol" w:hAnsi="Symbol" w:eastAsia="Symbol" w:cs="Symbol"/>
        <w:sz w:val="20"/>
      </w:rPr>
    </w:lvl>
    <w:lvl w:ilvl="1">
      <w:start w:val="1"/>
      <w:numFmt w:val="bullet"/>
      <w:lvlText w:val="o"/>
      <w:lvlJc w:val="left"/>
      <w:rPr>
        <w:rFonts w:ascii="Courier New" w:hAnsi="Courier New" w:eastAsia="Courier New" w:cs="Courier New"/>
        <w:sz w:val="20"/>
      </w:rPr>
    </w:lvl>
    <w:lvl w:ilvl="2">
      <w:start w:val="1"/>
      <w:numFmt w:val="bullet"/>
      <w:lvlText w:val="§"/>
      <w:lvlJc w:val="left"/>
      <w:rPr>
        <w:rFonts w:ascii="Wingdings" w:hAnsi="Wingdings" w:eastAsia="Wingdings" w:cs="Wingdings"/>
        <w:sz w:val="20"/>
      </w:rPr>
    </w:lvl>
    <w:lvl w:ilvl="3">
      <w:start w:val="1"/>
      <w:numFmt w:val="bullet"/>
      <w:lvlText w:val="·"/>
      <w:lvlJc w:val="left"/>
      <w:rPr>
        <w:rFonts w:ascii="Symbol" w:hAnsi="Symbol" w:eastAsia="Symbol" w:cs="Symbol"/>
        <w:sz w:val="20"/>
      </w:rPr>
    </w:lvl>
    <w:lvl w:ilvl="4">
      <w:start w:val="1"/>
      <w:numFmt w:val="bullet"/>
      <w:lvlText w:val="o"/>
      <w:lvlJc w:val="left"/>
      <w:rPr>
        <w:rFonts w:ascii="Courier New" w:hAnsi="Courier New" w:eastAsia="Courier New" w:cs="Courier New"/>
        <w:sz w:val="20"/>
      </w:rPr>
    </w:lvl>
    <w:lvl w:ilvl="5">
      <w:start w:val="1"/>
      <w:numFmt w:val="bullet"/>
      <w:lvlText w:val="§"/>
      <w:lvlJc w:val="left"/>
      <w:rPr>
        <w:rFonts w:ascii="Wingdings" w:hAnsi="Wingdings" w:eastAsia="Wingdings" w:cs="Wingdings"/>
        <w:sz w:val="20"/>
      </w:rPr>
    </w:lvl>
    <w:lvl w:ilvl="6">
      <w:start w:val="1"/>
      <w:numFmt w:val="bullet"/>
      <w:lvlText w:val="·"/>
      <w:lvlJc w:val="left"/>
      <w:rPr>
        <w:rFonts w:ascii="Symbol" w:hAnsi="Symbol" w:eastAsia="Symbol" w:cs="Symbol"/>
        <w:sz w:val="20"/>
      </w:rPr>
    </w:lvl>
    <w:lvl w:ilvl="7">
      <w:start w:val="1"/>
      <w:numFmt w:val="bullet"/>
      <w:lvlText w:val="o"/>
      <w:lvlJc w:val="left"/>
      <w:rPr>
        <w:rFonts w:ascii="Courier New" w:hAnsi="Courier New" w:eastAsia="Courier New" w:cs="Courier New"/>
        <w:sz w:val="20"/>
      </w:rPr>
    </w:lvl>
    <w:lvl w:ilvl="8">
      <w:start w:val="1"/>
      <w:numFmt w:val="bullet"/>
      <w:lvlText w:val="§"/>
      <w:lvlJc w:val="left"/>
      <w:rPr>
        <w:rFonts w:ascii="Wingdings" w:hAnsi="Wingdings" w:eastAsia="Wingdings" w:cs="Wingdings"/>
        <w:sz w:val="20"/>
      </w:rPr>
    </w:lvl>
  </w:abstractNum>
  <w:abstractNum w:abstractNumId="1">
    <w:nsid w:val="00000002"/>
    <w:multiLevelType w:val="multilevel"/>
    <w:tmpl w:val="00000002"/>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2">
    <w:nsid w:val="00000003"/>
    <w:multiLevelType w:val="multilevel"/>
    <w:tmpl w:val="00000003"/>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3">
    <w:nsid w:val="00000004"/>
    <w:multiLevelType w:val="multilevel"/>
    <w:tmpl w:val="00000004"/>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4">
    <w:nsid w:val="00000005"/>
    <w:multiLevelType w:val="multilevel"/>
    <w:tmpl w:val="00000005"/>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5">
    <w:nsid w:val="00000006"/>
    <w:multiLevelType w:val="multilevel"/>
    <w:tmpl w:val="00000006"/>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6">
    <w:nsid w:val="00000007"/>
    <w:multiLevelType w:val="multilevel"/>
    <w:tmpl w:val="00000007"/>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7">
    <w:nsid w:val="00000008"/>
    <w:multiLevelType w:val="multilevel"/>
    <w:tmpl w:val="00000008"/>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8">
    <w:nsid w:val="00000009"/>
    <w:multiLevelType w:val="multilevel"/>
    <w:tmpl w:val="00000009"/>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9">
    <w:nsid w:val="0000000A"/>
    <w:multiLevelType w:val="multilevel"/>
    <w:tmpl w:val="0000000A"/>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0">
    <w:nsid w:val="0000000B"/>
    <w:multiLevelType w:val="multilevel"/>
    <w:tmpl w:val="0000000B"/>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1">
    <w:nsid w:val="0000000C"/>
    <w:multiLevelType w:val="multilevel"/>
    <w:tmpl w:val="0000000C"/>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2">
    <w:nsid w:val="0000000D"/>
    <w:multiLevelType w:val="multilevel"/>
    <w:tmpl w:val="0000000D"/>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abstractNum w:abstractNumId="13">
    <w:nsid w:val="0000000E"/>
    <w:multiLevelType w:val="multilevel"/>
    <w:tmpl w:val="0000000E"/>
    <w:lvl w:ilvl="0">
      <w:start w:val="1"/>
      <w:numFmt w:val="decimal"/>
      <w:lvlText w:val="%1."/>
      <w:lvlJc w:val="left"/>
      <w:rPr>
        <w:rFonts w:ascii="Arial" w:hAnsi="Arial" w:eastAsia="Arial" w:cs="Arial"/>
        <w:sz w:val="20"/>
      </w:rPr>
    </w:lvl>
    <w:lvl w:ilvl="1">
      <w:start w:val="1"/>
      <w:numFmt w:val="lowerRoman"/>
      <w:lvlText w:val="%2."/>
      <w:lvlJc w:val="left"/>
      <w:rPr>
        <w:rFonts w:ascii="Arial" w:hAnsi="Arial" w:eastAsia="Arial" w:cs="Arial"/>
        <w:sz w:val="20"/>
      </w:rPr>
    </w:lvl>
    <w:lvl w:ilvl="2">
      <w:start w:val="1"/>
      <w:numFmt w:val="lowerLetter"/>
      <w:lvlText w:val="%3."/>
      <w:lvlJc w:val="left"/>
      <w:rPr>
        <w:rFonts w:ascii="Arial" w:hAnsi="Arial" w:eastAsia="Arial" w:cs="Arial"/>
        <w:sz w:val="20"/>
      </w:rPr>
    </w:lvl>
    <w:lvl w:ilvl="3">
      <w:start w:val="1"/>
      <w:numFmt w:val="decimal"/>
      <w:lvlText w:val="%4."/>
      <w:lvlJc w:val="left"/>
      <w:rPr>
        <w:rFonts w:ascii="Arial" w:hAnsi="Arial" w:eastAsia="Arial" w:cs="Arial"/>
        <w:sz w:val="20"/>
      </w:rPr>
    </w:lvl>
    <w:lvl w:ilvl="4">
      <w:start w:val="1"/>
      <w:numFmt w:val="lowerRoman"/>
      <w:lvlText w:val="%5."/>
      <w:lvlJc w:val="left"/>
      <w:rPr>
        <w:rFonts w:ascii="Arial" w:hAnsi="Arial" w:eastAsia="Arial" w:cs="Arial"/>
        <w:sz w:val="20"/>
      </w:rPr>
    </w:lvl>
    <w:lvl w:ilvl="5">
      <w:start w:val="1"/>
      <w:numFmt w:val="lowerLetter"/>
      <w:lvlText w:val="%6."/>
      <w:lvlJc w:val="left"/>
      <w:rPr>
        <w:rFonts w:ascii="Arial" w:hAnsi="Arial" w:eastAsia="Arial" w:cs="Arial"/>
        <w:sz w:val="20"/>
      </w:rPr>
    </w:lvl>
    <w:lvl w:ilvl="6">
      <w:start w:val="1"/>
      <w:numFmt w:val="decimal"/>
      <w:lvlText w:val="%7."/>
      <w:lvlJc w:val="left"/>
      <w:rPr>
        <w:rFonts w:ascii="Arial" w:hAnsi="Arial" w:eastAsia="Arial" w:cs="Arial"/>
        <w:sz w:val="20"/>
      </w:rPr>
    </w:lvl>
    <w:lvl w:ilvl="7">
      <w:start w:val="1"/>
      <w:numFmt w:val="lowerRoman"/>
      <w:lvlText w:val="%8."/>
      <w:lvlJc w:val="left"/>
      <w:rPr>
        <w:rFonts w:ascii="Arial" w:hAnsi="Arial" w:eastAsia="Arial" w:cs="Arial"/>
        <w:sz w:val="20"/>
      </w:rPr>
    </w:lvl>
    <w:lvl w:ilvl="8">
      <w:start w:val="1"/>
      <w:numFmt w:val="lowerLetter"/>
      <w:lvlText w:val="%9."/>
      <w:lvlJc w:val="left"/>
      <w:rPr>
        <w:rFonts w:ascii="Arial" w:hAnsi="Arial" w:eastAsia="Arial" w:cs="Arial"/>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settings>
</file>

<file path=word/styles.xml><?xml version="1.0" encoding="utf-8"?>
<w:styl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w:docDefaults>
    <w:rPrDefault>
      <w:rPr>
        <w:rFonts w:ascii="Times New Roman" w:hAnsi="Times New Roman" w:eastAsia="Times New Roman" w:cs="Times New Roman"/>
      </w:rPr>
    </w:rPrDefault>
  </w:docDefaults>
  <w:style>
    <w:name w:val="EmptyCellLayoutStyle"/>
    <w:basedOn w:val="Normal"/>
    <w:rPr>
      <w:sz w:val="2"/>
    </w:rPr>
  </w:style>
</w:style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settings" Target="/word/settings.xml" Id="rId4" /><Relationship Type="http://schemas.openxmlformats.org/officeDocument/2006/relationships/header" Target="/word/header0.xml" Id="rId5" /><Relationship Type="http://schemas.openxmlformats.org/officeDocument/2006/relationships/footer" Target="/word/footer1.xml" Id="rId8" /><Relationship Type="http://schemas.openxmlformats.org/officeDocument/2006/relationships/numbering" Target="/word/numbering.xml" Id="rId10" /></Relationships>
</file>

<file path=word/_rels/header0.xml.rels>&#65279;<?xml version="1.0" encoding="utf-8"?><Relationships xmlns="http://schemas.openxmlformats.org/package/2006/relationships"><Relationship Type="http://schemas.openxmlformats.org/officeDocument/2006/relationships/image" Target="/word/media/img3.jpg" Id="rId6" /><Relationship Type="http://schemas.openxmlformats.org/officeDocument/2006/relationships/image" Target="/word/media/img4.jpg" Id="rId7" /></Relationships>
</file>

<file path=docProps/core.xml><?xml version="1.0" encoding="utf-8"?>
<cp:coreProperties xmlns:ve="http://schemas.openxmlformats.org/markup-compatibility/2006" xmlns:o="urn:schemas-microsoft-com:office:office"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r="http://schemas.openxmlformats.org/officeDocument/2006/relationships" xmlns:cp="http://schemas.openxmlformats.org/package/2006/metadata/core-properties" xmlns:dc="http://purl.org/dc/elements/1.1/" xmlns:a="http://schemas.openxmlformats.org/drawingml/2006/main" xmlns:pic="http://schemas.openxmlformats.org/drawingml/2006/picture" xmlns="http://www.w3.org/2001/XMLSchema">
  <dc:creator/>
  <dc:description/>
  <dc:title>Reflection_and_Action_Plan</dc:title>
</cp:coreProperties>
</file>