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F4AAC" w14:textId="30894AD6" w:rsidR="00DA3BAE" w:rsidRPr="00BB0E07" w:rsidRDefault="0060634D">
      <w:pPr>
        <w:spacing w:after="40"/>
      </w:pPr>
      <w:r w:rsidRPr="00BB0E07">
        <w:rPr>
          <w:rFonts w:eastAsia="Arial"/>
          <w:b/>
          <w:bCs/>
          <w:color w:val="1F3864"/>
          <w:sz w:val="22"/>
          <w:szCs w:val="22"/>
        </w:rPr>
        <w:t xml:space="preserve">PPR 2026 </w:t>
      </w:r>
    </w:p>
    <w:p w14:paraId="78F08252" w14:textId="77777777" w:rsidR="00DA3BAE" w:rsidRPr="00BB0E07" w:rsidRDefault="0060634D">
      <w:pPr>
        <w:spacing w:after="200"/>
      </w:pPr>
      <w:r w:rsidRPr="00BB0E07">
        <w:rPr>
          <w:rFonts w:eastAsia="Arial"/>
          <w:b/>
          <w:bCs/>
          <w:color w:val="1F3864"/>
          <w:sz w:val="40"/>
          <w:szCs w:val="40"/>
        </w:rPr>
        <w:t>AI Literacy</w:t>
      </w:r>
    </w:p>
    <w:p w14:paraId="35CF2731" w14:textId="77777777" w:rsidR="00DA3BAE" w:rsidRPr="00BB0E07" w:rsidRDefault="0060634D">
      <w:pPr>
        <w:spacing w:before="320" w:after="120"/>
      </w:pPr>
      <w:r w:rsidRPr="00BB0E07">
        <w:rPr>
          <w:rFonts w:eastAsia="Arial"/>
          <w:b/>
          <w:bCs/>
          <w:color w:val="1F3864"/>
          <w:sz w:val="26"/>
          <w:szCs w:val="26"/>
        </w:rPr>
        <w:t>Why this theme matters</w:t>
      </w:r>
    </w:p>
    <w:p w14:paraId="671F5EF6" w14:textId="15C9B5F1" w:rsidR="00DA3BAE" w:rsidRPr="00BB0E07" w:rsidRDefault="0060634D">
      <w:pPr>
        <w:spacing w:before="120" w:after="120" w:line="276" w:lineRule="auto"/>
        <w:jc w:val="both"/>
      </w:pPr>
      <w:r w:rsidRPr="00BB0E07">
        <w:rPr>
          <w:rFonts w:eastAsia="Arial"/>
          <w:sz w:val="22"/>
          <w:szCs w:val="22"/>
        </w:rPr>
        <w:t xml:space="preserve">For most of its history, higher education has organised itself around the scarcity of knowledge. The literature, the evidence, the people who had already done the reading and thought it through, none of it was easy to reach, and universities existed, in part, to close that distance. </w:t>
      </w:r>
      <w:r w:rsidR="00357B63" w:rsidRPr="00BB0E07">
        <w:rPr>
          <w:rFonts w:eastAsia="Arial"/>
          <w:sz w:val="22"/>
          <w:szCs w:val="22"/>
        </w:rPr>
        <w:t>academics</w:t>
      </w:r>
      <w:r w:rsidRPr="00BB0E07">
        <w:rPr>
          <w:rFonts w:eastAsia="Arial"/>
          <w:sz w:val="22"/>
          <w:szCs w:val="22"/>
        </w:rPr>
        <w:t xml:space="preserve"> were the shortest route between a student and knowledge they could not otherwise get to.</w:t>
      </w:r>
    </w:p>
    <w:p w14:paraId="398AED3E" w14:textId="25606E8F" w:rsidR="00DA3BAE" w:rsidRPr="00BB0E07" w:rsidRDefault="0060634D">
      <w:pPr>
        <w:spacing w:before="120" w:after="120" w:line="276" w:lineRule="auto"/>
        <w:jc w:val="both"/>
      </w:pPr>
      <w:r w:rsidRPr="00BB0E07">
        <w:rPr>
          <w:rFonts w:eastAsia="Arial"/>
          <w:sz w:val="22"/>
          <w:szCs w:val="22"/>
        </w:rPr>
        <w:t xml:space="preserve">That is no longer where the scarcity sits. Generative AI can produce a plausible explanation, a competent literature summary, a defensible-looking recommendation, in seconds. What it cannot do is know whether that output is right for the person in front of it, catch the assumption it quietly made, or take responsibility when the recommendation is wrong. A recent HEPI report makes a similar case at sector level, arguing that as generative AI becomes routine, it is the distinctly human qualities, judgement, integrity, collaboration, that become the scarcer and more valuable capability (Specht and Saunders, 2026). That is still, and will remain, the practitioner’s job. </w:t>
      </w:r>
      <w:r w:rsidR="00357B63" w:rsidRPr="00BB0E07">
        <w:rPr>
          <w:rFonts w:eastAsia="Arial"/>
          <w:sz w:val="22"/>
          <w:szCs w:val="22"/>
        </w:rPr>
        <w:t>So,</w:t>
      </w:r>
      <w:r w:rsidRPr="00BB0E07">
        <w:rPr>
          <w:rFonts w:eastAsia="Arial"/>
          <w:sz w:val="22"/>
          <w:szCs w:val="22"/>
        </w:rPr>
        <w:t xml:space="preserve"> the thing we are </w:t>
      </w:r>
      <w:proofErr w:type="gramStart"/>
      <w:r w:rsidRPr="00BB0E07">
        <w:rPr>
          <w:rFonts w:eastAsia="Arial"/>
          <w:sz w:val="22"/>
          <w:szCs w:val="22"/>
        </w:rPr>
        <w:t>actually teaching</w:t>
      </w:r>
      <w:proofErr w:type="gramEnd"/>
      <w:r w:rsidRPr="00BB0E07">
        <w:rPr>
          <w:rFonts w:eastAsia="Arial"/>
          <w:sz w:val="22"/>
          <w:szCs w:val="22"/>
        </w:rPr>
        <w:t xml:space="preserve"> has shifted: not primarily the transmission of knowledge, but the judgement to interrogate it, apply it, and stand behind it.</w:t>
      </w:r>
    </w:p>
    <w:p w14:paraId="21BC3041" w14:textId="4D965C08" w:rsidR="00DA3BAE" w:rsidRPr="00BB0E07" w:rsidRDefault="0060634D">
      <w:pPr>
        <w:spacing w:before="120" w:after="120" w:line="276" w:lineRule="auto"/>
        <w:jc w:val="both"/>
      </w:pPr>
      <w:r w:rsidRPr="00BB0E07">
        <w:rPr>
          <w:rFonts w:eastAsia="Arial"/>
          <w:sz w:val="22"/>
          <w:szCs w:val="22"/>
        </w:rPr>
        <w:t xml:space="preserve">That has direct implications for what we assess, and for how we talk about this with staff and students. National data now puts </w:t>
      </w:r>
      <w:r w:rsidR="00357B63" w:rsidRPr="00BB0E07">
        <w:rPr>
          <w:rFonts w:eastAsia="Arial"/>
          <w:sz w:val="22"/>
          <w:szCs w:val="22"/>
        </w:rPr>
        <w:t xml:space="preserve">the use of </w:t>
      </w:r>
      <w:r w:rsidRPr="00BB0E07">
        <w:rPr>
          <w:rFonts w:eastAsia="Arial"/>
          <w:sz w:val="22"/>
          <w:szCs w:val="22"/>
        </w:rPr>
        <w:t xml:space="preserve">AI among UK undergraduates close to universal (Stephenson and Armstrong, 2026), which matches what our own students and curriculum interns are telling us directly, this is not a problem specific to us. It also matters how guidance is framed. A recent review of UK </w:t>
      </w:r>
      <w:proofErr w:type="gramStart"/>
      <w:r w:rsidRPr="00BB0E07">
        <w:rPr>
          <w:rFonts w:eastAsia="Arial"/>
          <w:sz w:val="22"/>
          <w:szCs w:val="22"/>
        </w:rPr>
        <w:t>university</w:t>
      </w:r>
      <w:proofErr w:type="gramEnd"/>
      <w:r w:rsidRPr="00BB0E07">
        <w:rPr>
          <w:rFonts w:eastAsia="Arial"/>
          <w:sz w:val="22"/>
          <w:szCs w:val="22"/>
        </w:rPr>
        <w:t xml:space="preserve"> AI policies found that many use the language of learning while </w:t>
      </w:r>
      <w:proofErr w:type="gramStart"/>
      <w:r w:rsidRPr="00BB0E07">
        <w:rPr>
          <w:rFonts w:eastAsia="Arial"/>
          <w:sz w:val="22"/>
          <w:szCs w:val="22"/>
        </w:rPr>
        <w:t>actually functioning</w:t>
      </w:r>
      <w:proofErr w:type="gramEnd"/>
      <w:r w:rsidRPr="00BB0E07">
        <w:rPr>
          <w:rFonts w:eastAsia="Arial"/>
          <w:sz w:val="22"/>
          <w:szCs w:val="22"/>
        </w:rPr>
        <w:t xml:space="preserve"> as detection-and-discipline frameworks, built on the assumption that students cannot be trusted to think (Illingworth, 2026). We want to avoid that trap here. If a task only asks a student to produce a correct-looking answer, it no longer tells us very much, AI can do that too. What it needs to show is the reasoning behind the answer, and the judgement to know when the answer is wrong.</w:t>
      </w:r>
    </w:p>
    <w:p w14:paraId="4B93E117" w14:textId="78E5BA9F" w:rsidR="00DA3BAE" w:rsidRPr="00BB0E07" w:rsidRDefault="00357B63">
      <w:pPr>
        <w:spacing w:before="120" w:after="120" w:line="276" w:lineRule="auto"/>
        <w:jc w:val="both"/>
      </w:pPr>
      <w:r w:rsidRPr="00BB0E07">
        <w:rPr>
          <w:rFonts w:eastAsia="Arial"/>
          <w:sz w:val="22"/>
          <w:szCs w:val="22"/>
        </w:rPr>
        <w:t>Importantly</w:t>
      </w:r>
      <w:r w:rsidR="0060634D" w:rsidRPr="00BB0E07">
        <w:rPr>
          <w:rFonts w:eastAsia="Arial"/>
          <w:sz w:val="22"/>
          <w:szCs w:val="22"/>
        </w:rPr>
        <w:t>, this is not a</w:t>
      </w:r>
      <w:r w:rsidRPr="00BB0E07">
        <w:rPr>
          <w:rFonts w:eastAsia="Arial"/>
          <w:sz w:val="22"/>
          <w:szCs w:val="22"/>
        </w:rPr>
        <w:t xml:space="preserve"> software</w:t>
      </w:r>
      <w:r w:rsidR="0060634D" w:rsidRPr="00BB0E07">
        <w:rPr>
          <w:rFonts w:eastAsia="Arial"/>
          <w:sz w:val="22"/>
          <w:szCs w:val="22"/>
        </w:rPr>
        <w:t xml:space="preserve"> question. It is a shift in what expertise means in our discipline, and it touches how we teach, assess and talk to students, not just which software is allowed. </w:t>
      </w:r>
      <w:r w:rsidRPr="00BB0E07">
        <w:rPr>
          <w:rFonts w:eastAsia="Arial"/>
          <w:sz w:val="22"/>
          <w:szCs w:val="22"/>
        </w:rPr>
        <w:t>Also</w:t>
      </w:r>
      <w:r w:rsidR="0060634D" w:rsidRPr="00BB0E07">
        <w:rPr>
          <w:rFonts w:eastAsia="Arial"/>
          <w:sz w:val="22"/>
          <w:szCs w:val="22"/>
        </w:rPr>
        <w:t xml:space="preserve">, we do not have this finished. What follows is a starting position, built from staff conversations across the school, from student data our own curriculum interns gathered directly from your students, and from the current literature, offered </w:t>
      </w:r>
      <w:r w:rsidRPr="00BB0E07">
        <w:rPr>
          <w:rFonts w:eastAsia="Arial"/>
          <w:sz w:val="22"/>
          <w:szCs w:val="22"/>
        </w:rPr>
        <w:t xml:space="preserve">now </w:t>
      </w:r>
      <w:r w:rsidR="0060634D" w:rsidRPr="00BB0E07">
        <w:rPr>
          <w:rFonts w:eastAsia="Arial"/>
          <w:sz w:val="22"/>
          <w:szCs w:val="22"/>
        </w:rPr>
        <w:t>because PPR needs something to work wit</w:t>
      </w:r>
      <w:r w:rsidRPr="00BB0E07">
        <w:rPr>
          <w:rFonts w:eastAsia="Arial"/>
          <w:sz w:val="22"/>
          <w:szCs w:val="22"/>
        </w:rPr>
        <w:t>h</w:t>
      </w:r>
      <w:r w:rsidR="0060634D" w:rsidRPr="00BB0E07">
        <w:rPr>
          <w:rFonts w:eastAsia="Arial"/>
          <w:sz w:val="22"/>
          <w:szCs w:val="22"/>
        </w:rPr>
        <w:t>, not because it is the final word. Like the sector guidance it draws on, this is a living document: we expect to revise it as the evidence, the technology, and our own experience of using it all continue to move.</w:t>
      </w:r>
    </w:p>
    <w:p w14:paraId="032F0108" w14:textId="77777777" w:rsidR="00DA3BAE" w:rsidRPr="00BB0E07" w:rsidRDefault="0060634D">
      <w:pPr>
        <w:spacing w:before="320" w:after="120"/>
      </w:pPr>
      <w:r w:rsidRPr="00BB0E07">
        <w:rPr>
          <w:rFonts w:eastAsia="Arial"/>
          <w:b/>
          <w:bCs/>
          <w:color w:val="1F3864"/>
          <w:sz w:val="26"/>
          <w:szCs w:val="26"/>
        </w:rPr>
        <w:t>What this means in practice</w:t>
      </w:r>
    </w:p>
    <w:p w14:paraId="3D4742EF" w14:textId="77777777" w:rsidR="00DA3BAE" w:rsidRPr="00BB0E07" w:rsidRDefault="0060634D">
      <w:pPr>
        <w:spacing w:before="120" w:after="120" w:line="276" w:lineRule="auto"/>
        <w:jc w:val="both"/>
        <w:rPr>
          <w:rFonts w:eastAsia="Arial"/>
          <w:sz w:val="22"/>
          <w:szCs w:val="22"/>
        </w:rPr>
      </w:pPr>
      <w:r w:rsidRPr="00BB0E07">
        <w:rPr>
          <w:rFonts w:eastAsia="Arial"/>
          <w:sz w:val="22"/>
          <w:szCs w:val="22"/>
        </w:rPr>
        <w:t>The sections below follow the same logic as the argument above: what changes for knowledge and teaching, what changes for assessment, what we owe staff and students in terms of clarity, and how we keep pace as this continues to develop.</w:t>
      </w:r>
    </w:p>
    <w:p w14:paraId="0171F95F" w14:textId="77777777" w:rsidR="00357B63" w:rsidRPr="00BB0E07" w:rsidRDefault="00357B63">
      <w:pPr>
        <w:spacing w:before="120" w:after="120" w:line="276" w:lineRule="auto"/>
        <w:jc w:val="both"/>
        <w:rPr>
          <w:rFonts w:eastAsia="Arial"/>
          <w:sz w:val="22"/>
          <w:szCs w:val="22"/>
        </w:rPr>
      </w:pPr>
    </w:p>
    <w:p w14:paraId="71DF990D" w14:textId="770E52A4" w:rsidR="00DA3BAE" w:rsidRPr="00BB0E07" w:rsidRDefault="00F13317" w:rsidP="00BB0E07">
      <w:pPr>
        <w:spacing w:before="120" w:after="120" w:line="276" w:lineRule="auto"/>
        <w:jc w:val="both"/>
      </w:pPr>
      <w:r w:rsidRPr="00BB0E07">
        <w:rPr>
          <w:rFonts w:eastAsia="Arial"/>
          <w:sz w:val="22"/>
          <w:szCs w:val="22"/>
        </w:rPr>
        <w:t xml:space="preserve"> </w:t>
      </w:r>
      <w:r w:rsidR="0060634D" w:rsidRPr="00BB0E07">
        <w:rPr>
          <w:rFonts w:eastAsia="Arial"/>
          <w:b/>
          <w:bCs/>
          <w:sz w:val="22"/>
          <w:szCs w:val="22"/>
        </w:rPr>
        <w:t>For knowledge and teaching</w:t>
      </w:r>
    </w:p>
    <w:p w14:paraId="29FF6A7B" w14:textId="35CF64B3" w:rsidR="00DA3BAE" w:rsidRPr="00BB0E07" w:rsidRDefault="0060634D">
      <w:pPr>
        <w:spacing w:before="140" w:after="60" w:line="276" w:lineRule="auto"/>
        <w:jc w:val="both"/>
      </w:pPr>
      <w:r w:rsidRPr="00BB0E07">
        <w:rPr>
          <w:rFonts w:eastAsia="Arial"/>
          <w:b/>
          <w:bCs/>
          <w:color w:val="000000"/>
          <w:sz w:val="22"/>
          <w:szCs w:val="22"/>
        </w:rPr>
        <w:t xml:space="preserve">AI literacy is a graduate competency, not an assumed skill. </w:t>
      </w:r>
      <w:r w:rsidRPr="00BB0E07">
        <w:rPr>
          <w:rFonts w:eastAsia="Arial"/>
          <w:sz w:val="22"/>
          <w:szCs w:val="22"/>
        </w:rPr>
        <w:t xml:space="preserve">Students arrive with very different levels of experience, and capability should not be taken for granted. It needs to </w:t>
      </w:r>
      <w:r w:rsidR="003E5732" w:rsidRPr="00BB0E07">
        <w:rPr>
          <w:rFonts w:eastAsia="Arial"/>
          <w:sz w:val="22"/>
          <w:szCs w:val="22"/>
        </w:rPr>
        <w:t>be taught explicitly</w:t>
      </w:r>
      <w:r w:rsidR="00357B63" w:rsidRPr="00BB0E07">
        <w:rPr>
          <w:rFonts w:eastAsia="Arial"/>
          <w:sz w:val="22"/>
          <w:szCs w:val="22"/>
        </w:rPr>
        <w:t xml:space="preserve"> to everyone</w:t>
      </w:r>
      <w:r w:rsidRPr="00BB0E07">
        <w:rPr>
          <w:rFonts w:eastAsia="Arial"/>
          <w:sz w:val="22"/>
          <w:szCs w:val="22"/>
        </w:rPr>
        <w:t>.</w:t>
      </w:r>
    </w:p>
    <w:p w14:paraId="46A4B3BF" w14:textId="77777777" w:rsidR="00DA3BAE" w:rsidRPr="00BB0E07" w:rsidRDefault="0060634D">
      <w:pPr>
        <w:spacing w:before="140" w:after="60" w:line="276" w:lineRule="auto"/>
        <w:jc w:val="both"/>
      </w:pPr>
      <w:r w:rsidRPr="00BB0E07">
        <w:rPr>
          <w:rFonts w:eastAsia="Arial"/>
          <w:b/>
          <w:bCs/>
          <w:color w:val="000000"/>
          <w:sz w:val="22"/>
          <w:szCs w:val="22"/>
        </w:rPr>
        <w:lastRenderedPageBreak/>
        <w:t xml:space="preserve">Disciplinary knowledge stays primary; AI sits on top of it, not instead of it. </w:t>
      </w:r>
      <w:r w:rsidRPr="00BB0E07">
        <w:rPr>
          <w:rFonts w:eastAsia="Arial"/>
          <w:sz w:val="22"/>
          <w:szCs w:val="22"/>
        </w:rPr>
        <w:t>Students need the underpinning knowledge of their subject to use AI appropriately and to interpret its output critically. AI capability should supplement disciplinary expertise, not substitute for it.</w:t>
      </w:r>
    </w:p>
    <w:p w14:paraId="37906FAB" w14:textId="77777777" w:rsidR="00DA3BAE" w:rsidRPr="00BB0E07" w:rsidRDefault="0060634D">
      <w:pPr>
        <w:spacing w:before="140" w:after="60" w:line="276" w:lineRule="auto"/>
        <w:jc w:val="both"/>
      </w:pPr>
      <w:r w:rsidRPr="00BB0E07">
        <w:rPr>
          <w:rFonts w:eastAsia="Arial"/>
          <w:b/>
          <w:bCs/>
          <w:color w:val="000000"/>
          <w:sz w:val="22"/>
          <w:szCs w:val="22"/>
        </w:rPr>
        <w:t xml:space="preserve">Treat critical evaluation of AI output as a </w:t>
      </w:r>
      <w:proofErr w:type="gramStart"/>
      <w:r w:rsidRPr="00BB0E07">
        <w:rPr>
          <w:rFonts w:eastAsia="Arial"/>
          <w:b/>
          <w:bCs/>
          <w:color w:val="000000"/>
          <w:sz w:val="22"/>
          <w:szCs w:val="22"/>
        </w:rPr>
        <w:t>skill in its own right</w:t>
      </w:r>
      <w:proofErr w:type="gramEnd"/>
      <w:r w:rsidRPr="00BB0E07">
        <w:rPr>
          <w:rFonts w:eastAsia="Arial"/>
          <w:b/>
          <w:bCs/>
          <w:color w:val="000000"/>
          <w:sz w:val="22"/>
          <w:szCs w:val="22"/>
        </w:rPr>
        <w:t xml:space="preserve">. </w:t>
      </w:r>
      <w:r w:rsidRPr="00BB0E07">
        <w:rPr>
          <w:rFonts w:eastAsia="Arial"/>
          <w:sz w:val="22"/>
          <w:szCs w:val="22"/>
        </w:rPr>
        <w:t>Being able to judge the reliability, validity and usefulness of AI-generated material is a distinct capability, not an automatic by-product of using AI tools. This should be taught and assessed deliberately, with case studies of both good and poor use where possible.</w:t>
      </w:r>
    </w:p>
    <w:p w14:paraId="3B18BF53" w14:textId="77777777" w:rsidR="00DA3BAE" w:rsidRPr="00BB0E07" w:rsidRDefault="0060634D">
      <w:pPr>
        <w:spacing w:before="140" w:after="60" w:line="276" w:lineRule="auto"/>
        <w:jc w:val="both"/>
      </w:pPr>
      <w:r w:rsidRPr="00BB0E07">
        <w:rPr>
          <w:rFonts w:eastAsia="Arial"/>
          <w:b/>
          <w:bCs/>
          <w:color w:val="000000"/>
          <w:sz w:val="22"/>
          <w:szCs w:val="22"/>
        </w:rPr>
        <w:t xml:space="preserve">Progress AI capability across levels, rather than delivering it as a one-off. </w:t>
      </w:r>
      <w:r w:rsidRPr="00BB0E07">
        <w:rPr>
          <w:rFonts w:eastAsia="Arial"/>
          <w:sz w:val="22"/>
          <w:szCs w:val="22"/>
        </w:rPr>
        <w:t>A single induction session or standalone workshop is not sufficient. Provision should build from L4 through to L6, broadly moving from tool familiarity and ethics toward structural understanding and independent critical evaluation, in a way that is discipline-specific to sport and exercise science rather than generic digital skills training.</w:t>
      </w:r>
    </w:p>
    <w:p w14:paraId="3F70A294" w14:textId="757FDED9" w:rsidR="00DA3BAE" w:rsidRPr="00BB0E07" w:rsidRDefault="0060634D">
      <w:pPr>
        <w:spacing w:before="140" w:after="60" w:line="276" w:lineRule="auto"/>
        <w:jc w:val="both"/>
      </w:pPr>
      <w:r w:rsidRPr="00BB0E07">
        <w:rPr>
          <w:rFonts w:eastAsia="Arial"/>
          <w:b/>
          <w:bCs/>
          <w:color w:val="000000"/>
          <w:sz w:val="22"/>
          <w:szCs w:val="22"/>
        </w:rPr>
        <w:t xml:space="preserve">Connect AI capability to authentic professional practice. </w:t>
      </w:r>
      <w:r w:rsidRPr="00BB0E07">
        <w:rPr>
          <w:rFonts w:eastAsia="Arial"/>
          <w:sz w:val="22"/>
          <w:szCs w:val="22"/>
        </w:rPr>
        <w:t xml:space="preserve">Students benefit from seeing how AI is </w:t>
      </w:r>
      <w:proofErr w:type="gramStart"/>
      <w:r w:rsidRPr="00BB0E07">
        <w:rPr>
          <w:rFonts w:eastAsia="Arial"/>
          <w:sz w:val="22"/>
          <w:szCs w:val="22"/>
        </w:rPr>
        <w:t>actually used</w:t>
      </w:r>
      <w:proofErr w:type="gramEnd"/>
      <w:r w:rsidRPr="00BB0E07">
        <w:rPr>
          <w:rFonts w:eastAsia="Arial"/>
          <w:sz w:val="22"/>
          <w:szCs w:val="22"/>
        </w:rPr>
        <w:t xml:space="preserve"> in sport</w:t>
      </w:r>
      <w:r w:rsidR="003E5732" w:rsidRPr="00BB0E07">
        <w:rPr>
          <w:rFonts w:eastAsia="Arial"/>
          <w:sz w:val="22"/>
          <w:szCs w:val="22"/>
        </w:rPr>
        <w:t xml:space="preserve"> and</w:t>
      </w:r>
      <w:r w:rsidRPr="00BB0E07">
        <w:rPr>
          <w:rFonts w:eastAsia="Arial"/>
          <w:sz w:val="22"/>
          <w:szCs w:val="22"/>
        </w:rPr>
        <w:t xml:space="preserve"> exercise </w:t>
      </w:r>
      <w:r w:rsidR="003E5732" w:rsidRPr="00BB0E07">
        <w:rPr>
          <w:rFonts w:eastAsia="Arial"/>
          <w:sz w:val="22"/>
          <w:szCs w:val="22"/>
        </w:rPr>
        <w:t xml:space="preserve">disciplines in </w:t>
      </w:r>
      <w:r w:rsidRPr="00BB0E07">
        <w:rPr>
          <w:rFonts w:eastAsia="Arial"/>
          <w:sz w:val="22"/>
          <w:szCs w:val="22"/>
        </w:rPr>
        <w:t>professional contexts, not only how it can be used to complete assignments. Applied case studies and industry examples help AI literacy feel like an employability skill rather than an assessment workaround.</w:t>
      </w:r>
    </w:p>
    <w:p w14:paraId="5F19CFEC" w14:textId="77777777" w:rsidR="00DA3BAE" w:rsidRPr="00BB0E07" w:rsidRDefault="0060634D">
      <w:pPr>
        <w:spacing w:before="160" w:after="60"/>
      </w:pPr>
      <w:r w:rsidRPr="00BB0E07">
        <w:rPr>
          <w:rFonts w:eastAsia="Arial"/>
          <w:b/>
          <w:bCs/>
          <w:sz w:val="22"/>
          <w:szCs w:val="22"/>
        </w:rPr>
        <w:t>For assessment design</w:t>
      </w:r>
    </w:p>
    <w:p w14:paraId="7C4A677F" w14:textId="77777777" w:rsidR="00DA3BAE" w:rsidRPr="00BB0E07" w:rsidRDefault="0060634D">
      <w:pPr>
        <w:spacing w:before="140" w:after="60" w:line="276" w:lineRule="auto"/>
        <w:jc w:val="both"/>
      </w:pPr>
      <w:r w:rsidRPr="00BB0E07">
        <w:rPr>
          <w:rFonts w:eastAsia="Arial"/>
          <w:b/>
          <w:bCs/>
          <w:color w:val="000000"/>
          <w:sz w:val="22"/>
          <w:szCs w:val="22"/>
        </w:rPr>
        <w:t xml:space="preserve">Make student thinking visible, rather than trying to detect AI use. </w:t>
      </w:r>
      <w:r w:rsidRPr="00BB0E07">
        <w:rPr>
          <w:rFonts w:eastAsia="Arial"/>
          <w:sz w:val="22"/>
          <w:szCs w:val="22"/>
        </w:rPr>
        <w:t>Learning outcomes and assessment should be designed so students can demonstrate their own reasoning and understanding, not merely produce a finished output. This is a more sustainable response than trying to police tool use after the fact, and it is consistent with the school’s wider direction on assessment design.</w:t>
      </w:r>
    </w:p>
    <w:p w14:paraId="4D718060" w14:textId="2E26A19A" w:rsidR="00DA3BAE" w:rsidRPr="00BB0E07" w:rsidRDefault="0060634D">
      <w:pPr>
        <w:spacing w:before="140" w:after="60" w:line="276" w:lineRule="auto"/>
        <w:jc w:val="both"/>
      </w:pPr>
      <w:r w:rsidRPr="00BB0E07">
        <w:rPr>
          <w:rFonts w:eastAsia="Arial"/>
          <w:b/>
          <w:bCs/>
          <w:color w:val="000000"/>
          <w:sz w:val="22"/>
          <w:szCs w:val="22"/>
        </w:rPr>
        <w:t xml:space="preserve">Design AI-integrated assessment, not AI-avoidant assessment. </w:t>
      </w:r>
      <w:r w:rsidRPr="00BB0E07">
        <w:rPr>
          <w:rFonts w:eastAsia="Arial"/>
          <w:sz w:val="22"/>
          <w:szCs w:val="22"/>
        </w:rPr>
        <w:t xml:space="preserve">Authentic, competency-based and applied assessment formats, particularly at Level 4, tend to hold up better than formats designed simply to exclude AI. Where </w:t>
      </w:r>
      <w:r w:rsidR="003E5732" w:rsidRPr="00BB0E07">
        <w:rPr>
          <w:rFonts w:eastAsia="Arial"/>
          <w:sz w:val="22"/>
          <w:szCs w:val="22"/>
        </w:rPr>
        <w:t>large, shared</w:t>
      </w:r>
      <w:r w:rsidRPr="00BB0E07">
        <w:rPr>
          <w:rFonts w:eastAsia="Arial"/>
          <w:sz w:val="22"/>
          <w:szCs w:val="22"/>
        </w:rPr>
        <w:t xml:space="preserve"> modules currently limit this kind of innovation, that constraint should be named and addressed, rather than treated as a separate problem.</w:t>
      </w:r>
    </w:p>
    <w:p w14:paraId="1AD73008" w14:textId="286D02AC" w:rsidR="00DA3BAE" w:rsidRPr="00BB0E07" w:rsidRDefault="0060634D" w:rsidP="006D3CD2">
      <w:pPr>
        <w:spacing w:before="140" w:after="60" w:line="276" w:lineRule="auto"/>
        <w:jc w:val="both"/>
      </w:pPr>
      <w:r w:rsidRPr="00BB0E07">
        <w:rPr>
          <w:rFonts w:eastAsia="Arial"/>
          <w:b/>
          <w:bCs/>
          <w:color w:val="000000"/>
          <w:sz w:val="22"/>
          <w:szCs w:val="22"/>
        </w:rPr>
        <w:t xml:space="preserve">Not every assessment needs to be secure against AI, but some do, and those should be identified deliberately. </w:t>
      </w:r>
      <w:r w:rsidRPr="00BB0E07">
        <w:rPr>
          <w:rFonts w:eastAsia="Arial"/>
          <w:sz w:val="22"/>
          <w:szCs w:val="22"/>
        </w:rPr>
        <w:t xml:space="preserve">Rather than trying to AI-proof every task, programme teams should identify the handful of assessment moments, often a capstone, a milestone assessment, or a point tied to professional accreditation, that need to robustly assure a student’s own </w:t>
      </w:r>
      <w:r w:rsidR="003E5732" w:rsidRPr="00BB0E07">
        <w:rPr>
          <w:rFonts w:eastAsia="Arial"/>
          <w:sz w:val="22"/>
          <w:szCs w:val="22"/>
        </w:rPr>
        <w:t>capability and</w:t>
      </w:r>
      <w:r w:rsidRPr="00BB0E07">
        <w:rPr>
          <w:rFonts w:eastAsia="Arial"/>
          <w:sz w:val="22"/>
          <w:szCs w:val="22"/>
        </w:rPr>
        <w:t xml:space="preserve"> invest security there. Lighter-touch, more open tasks elsewhere in the programme are not a weakness in this approach; they are what the secured moments are there to complement (Lodge et al., 2023).</w:t>
      </w:r>
    </w:p>
    <w:p w14:paraId="4C5A6179" w14:textId="1DDC3DFA" w:rsidR="00DA3BAE" w:rsidRPr="00BB0E07" w:rsidRDefault="0060634D">
      <w:pPr>
        <w:spacing w:before="120" w:after="120" w:line="276" w:lineRule="auto"/>
        <w:jc w:val="both"/>
        <w:rPr>
          <w:rFonts w:eastAsia="Arial"/>
          <w:sz w:val="22"/>
          <w:szCs w:val="22"/>
        </w:rPr>
      </w:pPr>
      <w:r w:rsidRPr="00BB0E07">
        <w:rPr>
          <w:rFonts w:eastAsia="Arial"/>
          <w:sz w:val="22"/>
          <w:szCs w:val="22"/>
        </w:rPr>
        <w:t>Two areas come up repeatedly as programme teams start reviewing learning outcomes and assessment for PPR: how to write learning outcomes that account for AI honestly, and how to design assessment that still asks something only the student can answer. Some starting points below.</w:t>
      </w:r>
    </w:p>
    <w:p w14:paraId="425A2C22" w14:textId="77777777" w:rsidR="00DA3BAE" w:rsidRPr="00BB0E07" w:rsidRDefault="0060634D">
      <w:pPr>
        <w:spacing w:before="160" w:after="60"/>
      </w:pPr>
      <w:r w:rsidRPr="00BB0E07">
        <w:rPr>
          <w:rFonts w:eastAsia="Arial"/>
          <w:b/>
          <w:bCs/>
          <w:sz w:val="22"/>
          <w:szCs w:val="22"/>
        </w:rPr>
        <w:t>Writing AI-adapted learning outcomes: the Gonsalves framework</w:t>
      </w:r>
    </w:p>
    <w:p w14:paraId="185BF1A4" w14:textId="77777777" w:rsidR="00DA3BAE" w:rsidRPr="00BB0E07" w:rsidRDefault="0060634D">
      <w:pPr>
        <w:spacing w:before="120" w:after="120" w:line="276" w:lineRule="auto"/>
        <w:jc w:val="both"/>
      </w:pPr>
      <w:r w:rsidRPr="00BB0E07">
        <w:rPr>
          <w:rFonts w:eastAsia="Arial"/>
          <w:sz w:val="22"/>
          <w:szCs w:val="22"/>
        </w:rPr>
        <w:t xml:space="preserve">Gonsalves (2024) offers a revised version of Bloom’s Taxonomy built specifically for a world where students have routine access to generative AI, and it is a useful shared reference point when reviewing MLOs for PPR. It works across three domains rather than the single cognitive hierarchy most of us learned: cognitive, affective and metacognitive. Strong outcomes at L5 and L6 typically draw on skills from all three domains. If an outcome only activates the cognitive domain at discovering or understanding level, it is fully substitutable by AI. Use the table below when writing or reviewing MLOs to identify which domains and skills a draft outcome </w:t>
      </w:r>
      <w:proofErr w:type="gramStart"/>
      <w:r w:rsidRPr="00BB0E07">
        <w:rPr>
          <w:rFonts w:eastAsia="Arial"/>
          <w:sz w:val="22"/>
          <w:szCs w:val="22"/>
        </w:rPr>
        <w:t>actually activates</w:t>
      </w:r>
      <w:proofErr w:type="gramEnd"/>
      <w:r w:rsidRPr="00BB0E07">
        <w:rPr>
          <w:rFonts w:eastAsia="Arial"/>
          <w:sz w:val="22"/>
          <w:szCs w:val="22"/>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3000"/>
        <w:gridCol w:w="3200"/>
      </w:tblGrid>
      <w:tr w:rsidR="00DA3BAE" w:rsidRPr="00BB0E07" w14:paraId="46117A10" w14:textId="77777777">
        <w:trPr>
          <w:tblHeader/>
        </w:trPr>
        <w:tc>
          <w:tcPr>
            <w:tcW w:w="1400" w:type="dxa"/>
            <w:tcBorders>
              <w:top w:val="single" w:sz="2" w:space="0" w:color="CBD3E0"/>
              <w:left w:val="single" w:sz="2" w:space="0" w:color="CBD3E0"/>
              <w:bottom w:val="single" w:sz="2" w:space="0" w:color="CBD3E0"/>
              <w:right w:val="single" w:sz="2" w:space="0" w:color="CBD3E0"/>
            </w:tcBorders>
            <w:shd w:val="clear" w:color="auto" w:fill="1F3864"/>
            <w:tcMar>
              <w:top w:w="60" w:type="dxa"/>
              <w:left w:w="80" w:type="dxa"/>
              <w:bottom w:w="60" w:type="dxa"/>
              <w:right w:w="80" w:type="dxa"/>
            </w:tcMar>
          </w:tcPr>
          <w:p w14:paraId="1A51D987" w14:textId="77777777" w:rsidR="00DA3BAE" w:rsidRPr="00BB0E07" w:rsidRDefault="0060634D">
            <w:r w:rsidRPr="00BB0E07">
              <w:rPr>
                <w:rFonts w:eastAsia="Arial"/>
                <w:b/>
                <w:bCs/>
                <w:color w:val="FFFFFF"/>
                <w:sz w:val="18"/>
                <w:szCs w:val="18"/>
              </w:rPr>
              <w:lastRenderedPageBreak/>
              <w:t>Domain</w:t>
            </w:r>
          </w:p>
        </w:tc>
        <w:tc>
          <w:tcPr>
            <w:tcW w:w="1900" w:type="dxa"/>
            <w:tcBorders>
              <w:top w:val="single" w:sz="2" w:space="0" w:color="CBD3E0"/>
              <w:left w:val="single" w:sz="2" w:space="0" w:color="CBD3E0"/>
              <w:bottom w:val="single" w:sz="2" w:space="0" w:color="CBD3E0"/>
              <w:right w:val="single" w:sz="2" w:space="0" w:color="CBD3E0"/>
            </w:tcBorders>
            <w:shd w:val="clear" w:color="auto" w:fill="1F3864"/>
            <w:tcMar>
              <w:top w:w="60" w:type="dxa"/>
              <w:left w:w="80" w:type="dxa"/>
              <w:bottom w:w="60" w:type="dxa"/>
              <w:right w:w="80" w:type="dxa"/>
            </w:tcMar>
          </w:tcPr>
          <w:p w14:paraId="5112C551" w14:textId="77777777" w:rsidR="00DA3BAE" w:rsidRPr="00BB0E07" w:rsidRDefault="0060634D">
            <w:r w:rsidRPr="00BB0E07">
              <w:rPr>
                <w:rFonts w:eastAsia="Arial"/>
                <w:b/>
                <w:bCs/>
                <w:color w:val="FFFFFF"/>
                <w:sz w:val="18"/>
                <w:szCs w:val="18"/>
              </w:rPr>
              <w:t>Skill</w:t>
            </w:r>
          </w:p>
        </w:tc>
        <w:tc>
          <w:tcPr>
            <w:tcW w:w="3000" w:type="dxa"/>
            <w:tcBorders>
              <w:top w:val="single" w:sz="2" w:space="0" w:color="CBD3E0"/>
              <w:left w:val="single" w:sz="2" w:space="0" w:color="CBD3E0"/>
              <w:bottom w:val="single" w:sz="2" w:space="0" w:color="CBD3E0"/>
              <w:right w:val="single" w:sz="2" w:space="0" w:color="CBD3E0"/>
            </w:tcBorders>
            <w:shd w:val="clear" w:color="auto" w:fill="1F3864"/>
            <w:tcMar>
              <w:top w:w="60" w:type="dxa"/>
              <w:left w:w="80" w:type="dxa"/>
              <w:bottom w:w="60" w:type="dxa"/>
              <w:right w:w="80" w:type="dxa"/>
            </w:tcMar>
          </w:tcPr>
          <w:p w14:paraId="582893E2" w14:textId="77777777" w:rsidR="00DA3BAE" w:rsidRPr="00BB0E07" w:rsidRDefault="0060634D">
            <w:r w:rsidRPr="00BB0E07">
              <w:rPr>
                <w:rFonts w:eastAsia="Arial"/>
                <w:b/>
                <w:bCs/>
                <w:color w:val="FFFFFF"/>
                <w:sz w:val="18"/>
                <w:szCs w:val="18"/>
              </w:rPr>
              <w:t>What this means</w:t>
            </w:r>
          </w:p>
        </w:tc>
        <w:tc>
          <w:tcPr>
            <w:tcW w:w="3200" w:type="dxa"/>
            <w:tcBorders>
              <w:top w:val="single" w:sz="2" w:space="0" w:color="CBD3E0"/>
              <w:left w:val="single" w:sz="2" w:space="0" w:color="CBD3E0"/>
              <w:bottom w:val="single" w:sz="2" w:space="0" w:color="CBD3E0"/>
              <w:right w:val="single" w:sz="2" w:space="0" w:color="CBD3E0"/>
            </w:tcBorders>
            <w:shd w:val="clear" w:color="auto" w:fill="1F3864"/>
            <w:tcMar>
              <w:top w:w="60" w:type="dxa"/>
              <w:left w:w="80" w:type="dxa"/>
              <w:bottom w:w="60" w:type="dxa"/>
              <w:right w:w="80" w:type="dxa"/>
            </w:tcMar>
          </w:tcPr>
          <w:p w14:paraId="27BE2EAD" w14:textId="77777777" w:rsidR="00DA3BAE" w:rsidRPr="00BB0E07" w:rsidRDefault="0060634D">
            <w:r w:rsidRPr="00BB0E07">
              <w:rPr>
                <w:rFonts w:eastAsia="Arial"/>
                <w:b/>
                <w:bCs/>
                <w:color w:val="FFFFFF"/>
                <w:sz w:val="18"/>
                <w:szCs w:val="18"/>
              </w:rPr>
              <w:t>In SES practice</w:t>
            </w:r>
          </w:p>
        </w:tc>
      </w:tr>
      <w:tr w:rsidR="00DA3BAE" w:rsidRPr="00BB0E07" w14:paraId="1CC27E38" w14:textId="77777777">
        <w:tc>
          <w:tcPr>
            <w:tcW w:w="1400" w:type="dxa"/>
            <w:tcBorders>
              <w:top w:val="single" w:sz="2" w:space="0" w:color="CBD3E0"/>
              <w:left w:val="single" w:sz="2" w:space="0" w:color="CBD3E0"/>
              <w:bottom w:val="single" w:sz="2" w:space="0" w:color="CBD3E0"/>
              <w:right w:val="single" w:sz="2" w:space="0" w:color="CBD3E0"/>
            </w:tcBorders>
            <w:shd w:val="clear" w:color="auto" w:fill="E8ECF5"/>
            <w:tcMar>
              <w:top w:w="60" w:type="dxa"/>
              <w:left w:w="80" w:type="dxa"/>
              <w:bottom w:w="60" w:type="dxa"/>
              <w:right w:w="80" w:type="dxa"/>
            </w:tcMar>
          </w:tcPr>
          <w:p w14:paraId="2784A223" w14:textId="77777777" w:rsidR="00DA3BAE" w:rsidRPr="00BB0E07" w:rsidRDefault="0060634D">
            <w:r w:rsidRPr="00BB0E07">
              <w:rPr>
                <w:rFonts w:eastAsia="Arial"/>
                <w:b/>
                <w:bCs/>
                <w:sz w:val="18"/>
                <w:szCs w:val="18"/>
              </w:rPr>
              <w:t>Cognitive</w:t>
            </w:r>
          </w:p>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264CE8E4" w14:textId="77777777" w:rsidR="00DA3BAE" w:rsidRPr="00BB0E07" w:rsidRDefault="0060634D">
            <w:r w:rsidRPr="00BB0E07">
              <w:rPr>
                <w:rFonts w:eastAsia="Arial"/>
                <w:b/>
                <w:bCs/>
                <w:sz w:val="18"/>
                <w:szCs w:val="18"/>
              </w:rPr>
              <w:t>Discovering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F8F33F0" w14:textId="77777777" w:rsidR="00DA3BAE" w:rsidRPr="00BB0E07" w:rsidRDefault="0060634D">
            <w:r w:rsidRPr="00BB0E07">
              <w:rPr>
                <w:rFonts w:eastAsia="Arial"/>
                <w:sz w:val="18"/>
                <w:szCs w:val="18"/>
              </w:rPr>
              <w:t>Rapid information gathering and idea generation using AI</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3C87878" w14:textId="77777777" w:rsidR="00DA3BAE" w:rsidRPr="00BB0E07" w:rsidRDefault="0060634D">
            <w:r w:rsidRPr="00BB0E07">
              <w:rPr>
                <w:rFonts w:eastAsia="Arial"/>
                <w:sz w:val="18"/>
                <w:szCs w:val="18"/>
              </w:rPr>
              <w:t>Using AI to gather initial evidence on a topic, then cross-referencing outputs against primary literature before accepting them.</w:t>
            </w:r>
          </w:p>
        </w:tc>
      </w:tr>
      <w:tr w:rsidR="00DA3BAE" w:rsidRPr="00BB0E07" w14:paraId="1DEBBDB4" w14:textId="77777777">
        <w:tc>
          <w:tcPr>
            <w:tcW w:w="14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C70F006" w14:textId="77777777" w:rsidR="00DA3BAE" w:rsidRPr="00BB0E07" w:rsidRDefault="00DA3BAE"/>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43B51389" w14:textId="77777777" w:rsidR="00DA3BAE" w:rsidRPr="00BB0E07" w:rsidRDefault="0060634D">
            <w:r w:rsidRPr="00BB0E07">
              <w:rPr>
                <w:rFonts w:eastAsia="Arial"/>
                <w:b/>
                <w:bCs/>
                <w:sz w:val="18"/>
                <w:szCs w:val="18"/>
              </w:rPr>
              <w:t>Understanding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14BB4444" w14:textId="77777777" w:rsidR="00DA3BAE" w:rsidRPr="00BB0E07" w:rsidRDefault="0060634D">
            <w:r w:rsidRPr="00BB0E07">
              <w:rPr>
                <w:rFonts w:eastAsia="Arial"/>
                <w:sz w:val="18"/>
                <w:szCs w:val="18"/>
              </w:rPr>
              <w:t>Simplifying complex concepts and bridging knowledge gaps</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F36A1D8" w14:textId="77777777" w:rsidR="00DA3BAE" w:rsidRPr="00BB0E07" w:rsidRDefault="0060634D">
            <w:r w:rsidRPr="00BB0E07">
              <w:rPr>
                <w:rFonts w:eastAsia="Arial"/>
                <w:sz w:val="18"/>
                <w:szCs w:val="18"/>
              </w:rPr>
              <w:t>Using AI to explain a concept or clinical term as a starting point before engaging with the primary source the module requires.</w:t>
            </w:r>
          </w:p>
        </w:tc>
      </w:tr>
      <w:tr w:rsidR="00DA3BAE" w:rsidRPr="00BB0E07" w14:paraId="0455C3D1" w14:textId="77777777">
        <w:tc>
          <w:tcPr>
            <w:tcW w:w="14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7D95AF5" w14:textId="77777777" w:rsidR="00DA3BAE" w:rsidRPr="00BB0E07" w:rsidRDefault="00DA3BAE"/>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8836E86" w14:textId="77777777" w:rsidR="00DA3BAE" w:rsidRPr="00BB0E07" w:rsidRDefault="0060634D">
            <w:r w:rsidRPr="00BB0E07">
              <w:rPr>
                <w:rFonts w:eastAsia="Arial"/>
                <w:b/>
                <w:bCs/>
                <w:sz w:val="18"/>
                <w:szCs w:val="18"/>
              </w:rPr>
              <w:t>Applying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1533FEE5" w14:textId="77777777" w:rsidR="00DA3BAE" w:rsidRPr="00BB0E07" w:rsidRDefault="0060634D">
            <w:r w:rsidRPr="00BB0E07">
              <w:rPr>
                <w:rFonts w:eastAsia="Arial"/>
                <w:sz w:val="18"/>
                <w:szCs w:val="18"/>
              </w:rPr>
              <w:t>Integrating theoretical knowledge with practical scenarios</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06C66678" w14:textId="77777777" w:rsidR="00DA3BAE" w:rsidRPr="00BB0E07" w:rsidRDefault="0060634D">
            <w:r w:rsidRPr="00BB0E07">
              <w:rPr>
                <w:rFonts w:eastAsia="Arial"/>
                <w:sz w:val="18"/>
                <w:szCs w:val="18"/>
              </w:rPr>
              <w:t>Using AI-generated frameworks as a starting point, then adapting them to a specific individual, context or professional scenario.</w:t>
            </w:r>
          </w:p>
        </w:tc>
      </w:tr>
      <w:tr w:rsidR="00DA3BAE" w:rsidRPr="00BB0E07" w14:paraId="5FC4BC3F" w14:textId="77777777">
        <w:tc>
          <w:tcPr>
            <w:tcW w:w="14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945E192" w14:textId="77777777" w:rsidR="00DA3BAE" w:rsidRPr="00BB0E07" w:rsidRDefault="00DA3BAE"/>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38EB842B" w14:textId="77777777" w:rsidR="00DA3BAE" w:rsidRPr="00BB0E07" w:rsidRDefault="0060634D">
            <w:r w:rsidRPr="00BB0E07">
              <w:rPr>
                <w:rFonts w:eastAsia="Arial"/>
                <w:b/>
                <w:bCs/>
                <w:sz w:val="18"/>
                <w:szCs w:val="18"/>
              </w:rPr>
              <w:t>Analysing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3E3A2F33" w14:textId="77777777" w:rsidR="00DA3BAE" w:rsidRPr="00BB0E07" w:rsidRDefault="0060634D">
            <w:r w:rsidRPr="00BB0E07">
              <w:rPr>
                <w:rFonts w:eastAsia="Arial"/>
                <w:sz w:val="18"/>
                <w:szCs w:val="18"/>
              </w:rPr>
              <w:t>Critically evaluating accuracy and biases of AI-generated content</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59319F9A" w14:textId="77777777" w:rsidR="00DA3BAE" w:rsidRPr="00BB0E07" w:rsidRDefault="0060634D">
            <w:r w:rsidRPr="00BB0E07">
              <w:rPr>
                <w:rFonts w:eastAsia="Arial"/>
                <w:sz w:val="18"/>
                <w:szCs w:val="18"/>
              </w:rPr>
              <w:t>Cross-referencing AI-generated claims against evidence; auditing for conflicts of interest and methodological limitations.</w:t>
            </w:r>
          </w:p>
        </w:tc>
      </w:tr>
      <w:tr w:rsidR="00DA3BAE" w:rsidRPr="00BB0E07" w14:paraId="6F0617B7" w14:textId="77777777">
        <w:tc>
          <w:tcPr>
            <w:tcW w:w="14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1976ACE8" w14:textId="77777777" w:rsidR="00DA3BAE" w:rsidRPr="00BB0E07" w:rsidRDefault="00DA3BAE"/>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8D408F5" w14:textId="77777777" w:rsidR="00DA3BAE" w:rsidRPr="00BB0E07" w:rsidRDefault="0060634D">
            <w:r w:rsidRPr="00BB0E07">
              <w:rPr>
                <w:rFonts w:eastAsia="Arial"/>
                <w:b/>
                <w:bCs/>
                <w:sz w:val="18"/>
                <w:szCs w:val="18"/>
              </w:rPr>
              <w:t>Creating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968A68C" w14:textId="77777777" w:rsidR="00DA3BAE" w:rsidRPr="00BB0E07" w:rsidRDefault="0060634D">
            <w:r w:rsidRPr="00BB0E07">
              <w:rPr>
                <w:rFonts w:eastAsia="Arial"/>
                <w:sz w:val="18"/>
                <w:szCs w:val="18"/>
              </w:rPr>
              <w:t>Generating and refining innovative ideas beyond traditional methods</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3ECA3954" w14:textId="77777777" w:rsidR="00DA3BAE" w:rsidRPr="00BB0E07" w:rsidRDefault="0060634D">
            <w:r w:rsidRPr="00BB0E07">
              <w:rPr>
                <w:rFonts w:eastAsia="Arial"/>
                <w:sz w:val="18"/>
                <w:szCs w:val="18"/>
              </w:rPr>
              <w:t>Using AI to generate an initial framework, then critically developing and personalising it into an original, evidence-based recommendation.</w:t>
            </w:r>
          </w:p>
        </w:tc>
      </w:tr>
      <w:tr w:rsidR="00DA3BAE" w:rsidRPr="00BB0E07" w14:paraId="2FA1CD48" w14:textId="77777777">
        <w:tc>
          <w:tcPr>
            <w:tcW w:w="1400" w:type="dxa"/>
            <w:tcBorders>
              <w:top w:val="single" w:sz="2" w:space="0" w:color="CBD3E0"/>
              <w:left w:val="single" w:sz="2" w:space="0" w:color="CBD3E0"/>
              <w:bottom w:val="single" w:sz="2" w:space="0" w:color="CBD3E0"/>
              <w:right w:val="single" w:sz="2" w:space="0" w:color="CBD3E0"/>
            </w:tcBorders>
            <w:shd w:val="clear" w:color="auto" w:fill="E8ECF5"/>
            <w:tcMar>
              <w:top w:w="60" w:type="dxa"/>
              <w:left w:w="80" w:type="dxa"/>
              <w:bottom w:w="60" w:type="dxa"/>
              <w:right w:w="80" w:type="dxa"/>
            </w:tcMar>
          </w:tcPr>
          <w:p w14:paraId="57C8BD44" w14:textId="77777777" w:rsidR="00DA3BAE" w:rsidRPr="00BB0E07" w:rsidRDefault="0060634D">
            <w:r w:rsidRPr="00BB0E07">
              <w:rPr>
                <w:rFonts w:eastAsia="Arial"/>
                <w:b/>
                <w:bCs/>
                <w:sz w:val="18"/>
                <w:szCs w:val="18"/>
              </w:rPr>
              <w:t>Affective</w:t>
            </w:r>
          </w:p>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4B11C839" w14:textId="77777777" w:rsidR="00DA3BAE" w:rsidRPr="00BB0E07" w:rsidRDefault="0060634D">
            <w:r w:rsidRPr="00BB0E07">
              <w:rPr>
                <w:rFonts w:eastAsia="Arial"/>
                <w:b/>
                <w:bCs/>
                <w:sz w:val="18"/>
                <w:szCs w:val="18"/>
              </w:rPr>
              <w:t>Collaborating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043B097A" w14:textId="77777777" w:rsidR="00DA3BAE" w:rsidRPr="00BB0E07" w:rsidRDefault="0060634D">
            <w:r w:rsidRPr="00BB0E07">
              <w:rPr>
                <w:rFonts w:eastAsia="Arial"/>
                <w:sz w:val="18"/>
                <w:szCs w:val="18"/>
              </w:rPr>
              <w:t>AI as a cognitive partner in co-creating knowledge</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7E74DD5" w14:textId="77777777" w:rsidR="00DA3BAE" w:rsidRPr="00BB0E07" w:rsidRDefault="0060634D">
            <w:r w:rsidRPr="00BB0E07">
              <w:rPr>
                <w:rFonts w:eastAsia="Arial"/>
                <w:sz w:val="18"/>
                <w:szCs w:val="18"/>
              </w:rPr>
              <w:t>Treating AI as a sounding board when developing complex professional documents, not as an answer generator.</w:t>
            </w:r>
          </w:p>
        </w:tc>
      </w:tr>
      <w:tr w:rsidR="00DA3BAE" w:rsidRPr="00BB0E07" w14:paraId="74B18AD2" w14:textId="77777777">
        <w:tc>
          <w:tcPr>
            <w:tcW w:w="14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D4D0205" w14:textId="77777777" w:rsidR="00DA3BAE" w:rsidRPr="00BB0E07" w:rsidRDefault="00DA3BAE"/>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3E5362DE" w14:textId="77777777" w:rsidR="00DA3BAE" w:rsidRPr="00BB0E07" w:rsidRDefault="0060634D">
            <w:r w:rsidRPr="00BB0E07">
              <w:rPr>
                <w:rFonts w:eastAsia="Arial"/>
                <w:b/>
                <w:bCs/>
                <w:sz w:val="18"/>
                <w:szCs w:val="18"/>
              </w:rPr>
              <w:t>Ethical reasoning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2004AB9A" w14:textId="77777777" w:rsidR="00DA3BAE" w:rsidRPr="00BB0E07" w:rsidRDefault="0060634D">
            <w:r w:rsidRPr="00BB0E07">
              <w:rPr>
                <w:rFonts w:eastAsia="Arial"/>
                <w:sz w:val="18"/>
                <w:szCs w:val="18"/>
              </w:rPr>
              <w:t>Navigating ethical considerations and professional integrity with AI</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E37FB53" w14:textId="77777777" w:rsidR="00DA3BAE" w:rsidRPr="00BB0E07" w:rsidRDefault="0060634D">
            <w:r w:rsidRPr="00BB0E07">
              <w:rPr>
                <w:rFonts w:eastAsia="Arial"/>
                <w:sz w:val="18"/>
                <w:szCs w:val="18"/>
              </w:rPr>
              <w:t>Weighing AI-generated recommendations against professional codes of conduct, client autonomy and ethical frameworks.</w:t>
            </w:r>
          </w:p>
        </w:tc>
      </w:tr>
      <w:tr w:rsidR="00DA3BAE" w:rsidRPr="00BB0E07" w14:paraId="4E26DB75" w14:textId="77777777">
        <w:tc>
          <w:tcPr>
            <w:tcW w:w="1400" w:type="dxa"/>
            <w:tcBorders>
              <w:top w:val="single" w:sz="2" w:space="0" w:color="CBD3E0"/>
              <w:left w:val="single" w:sz="2" w:space="0" w:color="CBD3E0"/>
              <w:bottom w:val="single" w:sz="2" w:space="0" w:color="CBD3E0"/>
              <w:right w:val="single" w:sz="2" w:space="0" w:color="CBD3E0"/>
            </w:tcBorders>
            <w:shd w:val="clear" w:color="auto" w:fill="E8ECF5"/>
            <w:tcMar>
              <w:top w:w="60" w:type="dxa"/>
              <w:left w:w="80" w:type="dxa"/>
              <w:bottom w:w="60" w:type="dxa"/>
              <w:right w:w="80" w:type="dxa"/>
            </w:tcMar>
          </w:tcPr>
          <w:p w14:paraId="5A279B3D" w14:textId="77777777" w:rsidR="00DA3BAE" w:rsidRPr="00BB0E07" w:rsidRDefault="0060634D">
            <w:r w:rsidRPr="00BB0E07">
              <w:rPr>
                <w:rFonts w:eastAsia="Arial"/>
                <w:b/>
                <w:bCs/>
                <w:sz w:val="18"/>
                <w:szCs w:val="18"/>
              </w:rPr>
              <w:t>Metacognitive</w:t>
            </w:r>
          </w:p>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3C7B643A" w14:textId="77777777" w:rsidR="00DA3BAE" w:rsidRPr="00BB0E07" w:rsidRDefault="0060634D">
            <w:r w:rsidRPr="00BB0E07">
              <w:rPr>
                <w:rFonts w:eastAsia="Arial"/>
                <w:b/>
                <w:bCs/>
                <w:sz w:val="18"/>
                <w:szCs w:val="18"/>
              </w:rPr>
              <w:t>Interrogating and refining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4C0E294" w14:textId="77777777" w:rsidR="00DA3BAE" w:rsidRPr="00BB0E07" w:rsidRDefault="0060634D">
            <w:r w:rsidRPr="00BB0E07">
              <w:rPr>
                <w:rFonts w:eastAsia="Arial"/>
                <w:sz w:val="18"/>
                <w:szCs w:val="18"/>
              </w:rPr>
              <w:t>Iterative questioning to refine AI-generated insights</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56C13BFA" w14:textId="77777777" w:rsidR="00DA3BAE" w:rsidRPr="00BB0E07" w:rsidRDefault="0060634D">
            <w:r w:rsidRPr="00BB0E07">
              <w:rPr>
                <w:rFonts w:eastAsia="Arial"/>
                <w:sz w:val="18"/>
                <w:szCs w:val="18"/>
              </w:rPr>
              <w:t>Rephrasing queries to obtain responses that are more specific, evidence-grounded and appropriate to the professional context.</w:t>
            </w:r>
          </w:p>
        </w:tc>
      </w:tr>
      <w:tr w:rsidR="00DA3BAE" w:rsidRPr="00BB0E07" w14:paraId="460C76C0" w14:textId="77777777">
        <w:tc>
          <w:tcPr>
            <w:tcW w:w="14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43BDF816" w14:textId="77777777" w:rsidR="00DA3BAE" w:rsidRPr="00BB0E07" w:rsidRDefault="00DA3BAE"/>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9E34300" w14:textId="77777777" w:rsidR="00DA3BAE" w:rsidRPr="00BB0E07" w:rsidRDefault="0060634D">
            <w:r w:rsidRPr="00BB0E07">
              <w:rPr>
                <w:rFonts w:eastAsia="Arial"/>
                <w:b/>
                <w:bCs/>
                <w:sz w:val="18"/>
                <w:szCs w:val="18"/>
              </w:rPr>
              <w:t>Articulating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4E8E3D20" w14:textId="77777777" w:rsidR="00DA3BAE" w:rsidRPr="00BB0E07" w:rsidRDefault="0060634D">
            <w:r w:rsidRPr="00BB0E07">
              <w:rPr>
                <w:rFonts w:eastAsia="Arial"/>
                <w:sz w:val="18"/>
                <w:szCs w:val="18"/>
              </w:rPr>
              <w:t>Formulating precise prompts for more accurate AI outputs</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41CBE491" w14:textId="77777777" w:rsidR="00DA3BAE" w:rsidRPr="00BB0E07" w:rsidRDefault="0060634D">
            <w:r w:rsidRPr="00BB0E07">
              <w:rPr>
                <w:rFonts w:eastAsia="Arial"/>
                <w:sz w:val="18"/>
                <w:szCs w:val="18"/>
              </w:rPr>
              <w:t>Providing structured context to AI before requesting a framework or recommendation.</w:t>
            </w:r>
          </w:p>
        </w:tc>
      </w:tr>
      <w:tr w:rsidR="00DA3BAE" w:rsidRPr="00BB0E07" w14:paraId="1D374F6F" w14:textId="77777777">
        <w:tc>
          <w:tcPr>
            <w:tcW w:w="14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734890D" w14:textId="77777777" w:rsidR="00DA3BAE" w:rsidRPr="00BB0E07" w:rsidRDefault="00DA3BAE"/>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57AA7BD" w14:textId="77777777" w:rsidR="00DA3BAE" w:rsidRPr="00BB0E07" w:rsidRDefault="0060634D">
            <w:r w:rsidRPr="00BB0E07">
              <w:rPr>
                <w:rFonts w:eastAsia="Arial"/>
                <w:b/>
                <w:bCs/>
                <w:sz w:val="18"/>
                <w:szCs w:val="18"/>
              </w:rPr>
              <w:t>Iterative learning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2D81ECB5" w14:textId="77777777" w:rsidR="00DA3BAE" w:rsidRPr="00BB0E07" w:rsidRDefault="0060634D">
            <w:r w:rsidRPr="00BB0E07">
              <w:rPr>
                <w:rFonts w:eastAsia="Arial"/>
                <w:sz w:val="18"/>
                <w:szCs w:val="18"/>
              </w:rPr>
              <w:t>Engaging in a cycle of continuous refinement and evaluation</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C629692" w14:textId="77777777" w:rsidR="00DA3BAE" w:rsidRPr="00BB0E07" w:rsidRDefault="0060634D">
            <w:r w:rsidRPr="00BB0E07">
              <w:rPr>
                <w:rFonts w:eastAsia="Arial"/>
                <w:sz w:val="18"/>
                <w:szCs w:val="18"/>
              </w:rPr>
              <w:t>Continuously updating AI prompts throughout a scenario-based task as new information emerges.</w:t>
            </w:r>
          </w:p>
        </w:tc>
      </w:tr>
      <w:tr w:rsidR="00DA3BAE" w:rsidRPr="00BB0E07" w14:paraId="3DF857ED" w14:textId="77777777">
        <w:tc>
          <w:tcPr>
            <w:tcW w:w="14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DEF1A7B" w14:textId="77777777" w:rsidR="00DA3BAE" w:rsidRPr="00BB0E07" w:rsidRDefault="00DA3BAE"/>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08D7D3A1" w14:textId="77777777" w:rsidR="00DA3BAE" w:rsidRPr="00BB0E07" w:rsidRDefault="0060634D">
            <w:r w:rsidRPr="00BB0E07">
              <w:rPr>
                <w:rFonts w:eastAsia="Arial"/>
                <w:b/>
                <w:bCs/>
                <w:sz w:val="18"/>
                <w:szCs w:val="18"/>
              </w:rPr>
              <w:t>Meliorating (information)</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5ADE6D2D" w14:textId="77777777" w:rsidR="00DA3BAE" w:rsidRPr="00BB0E07" w:rsidRDefault="0060634D">
            <w:r w:rsidRPr="00BB0E07">
              <w:rPr>
                <w:rFonts w:eastAsia="Arial"/>
                <w:sz w:val="18"/>
                <w:szCs w:val="18"/>
              </w:rPr>
              <w:t>Integrating AI outputs with traditional sources for depth</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220F3F33" w14:textId="77777777" w:rsidR="00DA3BAE" w:rsidRPr="00BB0E07" w:rsidRDefault="0060634D">
            <w:r w:rsidRPr="00BB0E07">
              <w:rPr>
                <w:rFonts w:eastAsia="Arial"/>
                <w:sz w:val="18"/>
                <w:szCs w:val="18"/>
              </w:rPr>
              <w:t>Using AI for an initial summary, then validating and expanding through primary papers and professional guidelines.</w:t>
            </w:r>
          </w:p>
        </w:tc>
      </w:tr>
      <w:tr w:rsidR="00DA3BAE" w:rsidRPr="00BB0E07" w14:paraId="7BA49CB4" w14:textId="77777777">
        <w:tc>
          <w:tcPr>
            <w:tcW w:w="14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B51F51D" w14:textId="77777777" w:rsidR="00DA3BAE" w:rsidRPr="00BB0E07" w:rsidRDefault="00DA3BAE"/>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12354775" w14:textId="77777777" w:rsidR="00DA3BAE" w:rsidRPr="00BB0E07" w:rsidRDefault="0060634D">
            <w:r w:rsidRPr="00BB0E07">
              <w:rPr>
                <w:rFonts w:eastAsia="Arial"/>
                <w:b/>
                <w:bCs/>
                <w:sz w:val="18"/>
                <w:szCs w:val="18"/>
              </w:rPr>
              <w:t>Meliorating (tools)</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210318F7" w14:textId="77777777" w:rsidR="00DA3BAE" w:rsidRPr="00BB0E07" w:rsidRDefault="0060634D">
            <w:r w:rsidRPr="00BB0E07">
              <w:rPr>
                <w:rFonts w:eastAsia="Arial"/>
                <w:sz w:val="18"/>
                <w:szCs w:val="18"/>
              </w:rPr>
              <w:t>Combining AI and non-AI tools to enhance learning</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0EE17DD2" w14:textId="77777777" w:rsidR="00DA3BAE" w:rsidRPr="00BB0E07" w:rsidRDefault="0060634D">
            <w:r w:rsidRPr="00BB0E07">
              <w:rPr>
                <w:rFonts w:eastAsia="Arial"/>
                <w:sz w:val="18"/>
                <w:szCs w:val="18"/>
              </w:rPr>
              <w:t>Using AI to generate initial questions or criteria, then refining against validated instruments and current professional standards.</w:t>
            </w:r>
          </w:p>
        </w:tc>
      </w:tr>
      <w:tr w:rsidR="00DA3BAE" w:rsidRPr="00BB0E07" w14:paraId="7BCFBC94" w14:textId="77777777">
        <w:tc>
          <w:tcPr>
            <w:tcW w:w="14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51CA72A" w14:textId="77777777" w:rsidR="00DA3BAE" w:rsidRPr="00BB0E07" w:rsidRDefault="00DA3BAE"/>
        </w:tc>
        <w:tc>
          <w:tcPr>
            <w:tcW w:w="19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745E72C" w14:textId="77777777" w:rsidR="00DA3BAE" w:rsidRPr="00BB0E07" w:rsidRDefault="0060634D">
            <w:r w:rsidRPr="00BB0E07">
              <w:rPr>
                <w:rFonts w:eastAsia="Arial"/>
                <w:b/>
                <w:bCs/>
                <w:sz w:val="18"/>
                <w:szCs w:val="18"/>
              </w:rPr>
              <w:t>Reflective thinking</w:t>
            </w:r>
          </w:p>
        </w:tc>
        <w:tc>
          <w:tcPr>
            <w:tcW w:w="30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FC278FE" w14:textId="77777777" w:rsidR="00DA3BAE" w:rsidRPr="00BB0E07" w:rsidRDefault="0060634D">
            <w:r w:rsidRPr="00BB0E07">
              <w:rPr>
                <w:rFonts w:eastAsia="Arial"/>
                <w:sz w:val="18"/>
                <w:szCs w:val="18"/>
              </w:rPr>
              <w:t>Critically assessing AI limitations and adapting strategies</w:t>
            </w:r>
          </w:p>
        </w:tc>
        <w:tc>
          <w:tcPr>
            <w:tcW w:w="3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2A8ABB2" w14:textId="7D03B675" w:rsidR="00DA3BAE" w:rsidRPr="00BB0E07" w:rsidRDefault="0060634D">
            <w:r w:rsidRPr="00BB0E07">
              <w:rPr>
                <w:rFonts w:eastAsia="Arial"/>
                <w:sz w:val="18"/>
                <w:szCs w:val="18"/>
              </w:rPr>
              <w:t xml:space="preserve">Evaluating where AI-generated advice oversimplifies individual variation or contextual </w:t>
            </w:r>
            <w:r w:rsidR="003E5732" w:rsidRPr="00BB0E07">
              <w:rPr>
                <w:rFonts w:eastAsia="Arial"/>
                <w:sz w:val="18"/>
                <w:szCs w:val="18"/>
              </w:rPr>
              <w:t>complexity and</w:t>
            </w:r>
            <w:r w:rsidRPr="00BB0E07">
              <w:rPr>
                <w:rFonts w:eastAsia="Arial"/>
                <w:sz w:val="18"/>
                <w:szCs w:val="18"/>
              </w:rPr>
              <w:t xml:space="preserve"> adjusting accordingly.</w:t>
            </w:r>
          </w:p>
        </w:tc>
      </w:tr>
    </w:tbl>
    <w:p w14:paraId="060422A3" w14:textId="77777777" w:rsidR="00DA3BAE" w:rsidRDefault="0060634D">
      <w:pPr>
        <w:spacing w:before="120" w:after="120" w:line="276" w:lineRule="auto"/>
        <w:jc w:val="both"/>
        <w:rPr>
          <w:rFonts w:eastAsia="Arial"/>
          <w:sz w:val="22"/>
          <w:szCs w:val="22"/>
        </w:rPr>
      </w:pPr>
      <w:r w:rsidRPr="00BB0E07">
        <w:rPr>
          <w:rFonts w:eastAsia="Arial"/>
          <w:sz w:val="22"/>
          <w:szCs w:val="22"/>
        </w:rPr>
        <w:t>In practice this usually means checking a draft MLO against a simple question: if a student used AI heavily to complete this, would the verb still describe something we can see them doing themselves? Outcomes built around evaluate, critique, justify, and apply to a novel case tend to hold up better than ones built around describe, produce, or generate.</w:t>
      </w:r>
    </w:p>
    <w:p w14:paraId="4359CD1B" w14:textId="77777777" w:rsidR="00646453" w:rsidRDefault="00646453">
      <w:pPr>
        <w:spacing w:before="120" w:after="120" w:line="276" w:lineRule="auto"/>
        <w:jc w:val="both"/>
        <w:rPr>
          <w:rFonts w:eastAsia="Arial"/>
          <w:sz w:val="22"/>
          <w:szCs w:val="22"/>
        </w:rPr>
      </w:pPr>
    </w:p>
    <w:p w14:paraId="116A0BC4" w14:textId="77777777" w:rsidR="00646453" w:rsidRPr="00BB0E07" w:rsidRDefault="00646453">
      <w:pPr>
        <w:spacing w:before="120" w:after="120" w:line="276" w:lineRule="auto"/>
        <w:jc w:val="both"/>
      </w:pPr>
    </w:p>
    <w:p w14:paraId="67B17D63" w14:textId="77777777" w:rsidR="00DA3BAE" w:rsidRPr="00BB0E07" w:rsidRDefault="0060634D">
      <w:pPr>
        <w:spacing w:before="160" w:after="60"/>
      </w:pPr>
      <w:r w:rsidRPr="00BB0E07">
        <w:rPr>
          <w:rFonts w:eastAsia="Arial"/>
          <w:b/>
          <w:bCs/>
          <w:sz w:val="22"/>
          <w:szCs w:val="22"/>
        </w:rPr>
        <w:lastRenderedPageBreak/>
        <w:t>Examples of AI-resistant assessment formats</w:t>
      </w:r>
    </w:p>
    <w:p w14:paraId="1F242552" w14:textId="2D9A555C" w:rsidR="00DA3BAE" w:rsidRPr="00BB0E07" w:rsidRDefault="0060634D">
      <w:pPr>
        <w:spacing w:before="120" w:after="120" w:line="276" w:lineRule="auto"/>
        <w:jc w:val="both"/>
      </w:pPr>
      <w:r w:rsidRPr="00BB0E07">
        <w:rPr>
          <w:rFonts w:eastAsia="Arial"/>
          <w:sz w:val="22"/>
          <w:szCs w:val="22"/>
        </w:rPr>
        <w:t xml:space="preserve">These formats are not the only options, and none of them require abandoning familiar assessment types altogether. They illustrate the kind of intellectual demand that AI cannot substitute </w:t>
      </w:r>
      <w:r w:rsidR="003E5732" w:rsidRPr="00BB0E07">
        <w:rPr>
          <w:rFonts w:eastAsia="Arial"/>
          <w:sz w:val="22"/>
          <w:szCs w:val="22"/>
        </w:rPr>
        <w:t>for and</w:t>
      </w:r>
      <w:r w:rsidRPr="00BB0E07">
        <w:rPr>
          <w:rFonts w:eastAsia="Arial"/>
          <w:sz w:val="22"/>
          <w:szCs w:val="22"/>
        </w:rPr>
        <w:t xml:space="preserve"> can often be adapted into an existing assessment rather than replacing it outright.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700"/>
      </w:tblGrid>
      <w:tr w:rsidR="00DA3BAE" w:rsidRPr="00BB0E07" w14:paraId="3673EF80" w14:textId="77777777">
        <w:trPr>
          <w:tblHeader/>
        </w:trPr>
        <w:tc>
          <w:tcPr>
            <w:tcW w:w="2600" w:type="dxa"/>
            <w:tcBorders>
              <w:top w:val="single" w:sz="2" w:space="0" w:color="CBD3E0"/>
              <w:left w:val="single" w:sz="2" w:space="0" w:color="CBD3E0"/>
              <w:bottom w:val="single" w:sz="2" w:space="0" w:color="CBD3E0"/>
              <w:right w:val="single" w:sz="2" w:space="0" w:color="CBD3E0"/>
            </w:tcBorders>
            <w:shd w:val="clear" w:color="auto" w:fill="1F3864"/>
            <w:tcMar>
              <w:top w:w="60" w:type="dxa"/>
              <w:left w:w="80" w:type="dxa"/>
              <w:bottom w:w="60" w:type="dxa"/>
              <w:right w:w="80" w:type="dxa"/>
            </w:tcMar>
          </w:tcPr>
          <w:p w14:paraId="48B872E9" w14:textId="77777777" w:rsidR="00DA3BAE" w:rsidRPr="00BB0E07" w:rsidRDefault="0060634D">
            <w:r w:rsidRPr="00BB0E07">
              <w:rPr>
                <w:rFonts w:eastAsia="Arial"/>
                <w:b/>
                <w:bCs/>
                <w:color w:val="FFFFFF"/>
                <w:sz w:val="18"/>
                <w:szCs w:val="18"/>
              </w:rPr>
              <w:t>Format</w:t>
            </w:r>
          </w:p>
        </w:tc>
        <w:tc>
          <w:tcPr>
            <w:tcW w:w="4200" w:type="dxa"/>
            <w:tcBorders>
              <w:top w:val="single" w:sz="2" w:space="0" w:color="CBD3E0"/>
              <w:left w:val="single" w:sz="2" w:space="0" w:color="CBD3E0"/>
              <w:bottom w:val="single" w:sz="2" w:space="0" w:color="CBD3E0"/>
              <w:right w:val="single" w:sz="2" w:space="0" w:color="CBD3E0"/>
            </w:tcBorders>
            <w:shd w:val="clear" w:color="auto" w:fill="1F3864"/>
            <w:tcMar>
              <w:top w:w="60" w:type="dxa"/>
              <w:left w:w="80" w:type="dxa"/>
              <w:bottom w:w="60" w:type="dxa"/>
              <w:right w:w="80" w:type="dxa"/>
            </w:tcMar>
          </w:tcPr>
          <w:p w14:paraId="671D305B" w14:textId="77777777" w:rsidR="00DA3BAE" w:rsidRPr="00BB0E07" w:rsidRDefault="0060634D">
            <w:r w:rsidRPr="00BB0E07">
              <w:rPr>
                <w:rFonts w:eastAsia="Arial"/>
                <w:b/>
                <w:bCs/>
                <w:color w:val="FFFFFF"/>
                <w:sz w:val="18"/>
                <w:szCs w:val="18"/>
              </w:rPr>
              <w:t>In practice</w:t>
            </w:r>
          </w:p>
        </w:tc>
        <w:tc>
          <w:tcPr>
            <w:tcW w:w="2700" w:type="dxa"/>
            <w:tcBorders>
              <w:top w:val="single" w:sz="2" w:space="0" w:color="CBD3E0"/>
              <w:left w:val="single" w:sz="2" w:space="0" w:color="CBD3E0"/>
              <w:bottom w:val="single" w:sz="2" w:space="0" w:color="CBD3E0"/>
              <w:right w:val="single" w:sz="2" w:space="0" w:color="CBD3E0"/>
            </w:tcBorders>
            <w:shd w:val="clear" w:color="auto" w:fill="1F3864"/>
            <w:tcMar>
              <w:top w:w="60" w:type="dxa"/>
              <w:left w:w="80" w:type="dxa"/>
              <w:bottom w:w="60" w:type="dxa"/>
              <w:right w:w="80" w:type="dxa"/>
            </w:tcMar>
          </w:tcPr>
          <w:p w14:paraId="65D4F97C" w14:textId="77777777" w:rsidR="00DA3BAE" w:rsidRPr="00BB0E07" w:rsidRDefault="0060634D">
            <w:r w:rsidRPr="00BB0E07">
              <w:rPr>
                <w:rFonts w:eastAsia="Arial"/>
                <w:b/>
                <w:bCs/>
                <w:color w:val="FFFFFF"/>
                <w:sz w:val="18"/>
                <w:szCs w:val="18"/>
              </w:rPr>
              <w:t>Why it resists substitution</w:t>
            </w:r>
          </w:p>
        </w:tc>
      </w:tr>
      <w:tr w:rsidR="00DA3BAE" w:rsidRPr="00BB0E07" w14:paraId="6EE41637" w14:textId="77777777">
        <w:tc>
          <w:tcPr>
            <w:tcW w:w="26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18B7D918" w14:textId="77777777" w:rsidR="00DA3BAE" w:rsidRPr="00BB0E07" w:rsidRDefault="0060634D">
            <w:r w:rsidRPr="00BB0E07">
              <w:rPr>
                <w:rFonts w:eastAsia="Arial"/>
                <w:b/>
                <w:bCs/>
                <w:sz w:val="18"/>
                <w:szCs w:val="18"/>
              </w:rPr>
              <w:t>Consultation or role-play</w:t>
            </w:r>
          </w:p>
        </w:tc>
        <w:tc>
          <w:tcPr>
            <w:tcW w:w="4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0102E28" w14:textId="77777777" w:rsidR="00DA3BAE" w:rsidRPr="00BB0E07" w:rsidRDefault="0060634D">
            <w:r w:rsidRPr="00BB0E07">
              <w:rPr>
                <w:rFonts w:eastAsia="Arial"/>
                <w:sz w:val="18"/>
                <w:szCs w:val="18"/>
              </w:rPr>
              <w:t>Real-time response to a live scenario, embedded at each level with increasing complexity: L4 foundational, L5 psychosocial complexity, L6 professional accountability.</w:t>
            </w:r>
          </w:p>
        </w:tc>
        <w:tc>
          <w:tcPr>
            <w:tcW w:w="27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7C79676" w14:textId="77777777" w:rsidR="00DA3BAE" w:rsidRPr="00BB0E07" w:rsidRDefault="0060634D">
            <w:r w:rsidRPr="00BB0E07">
              <w:rPr>
                <w:rFonts w:eastAsia="Arial"/>
                <w:sz w:val="18"/>
                <w:szCs w:val="18"/>
              </w:rPr>
              <w:t>Students cannot prepare a fixed answer, and any written case report must reference decisions made in that session. AI cannot attend.</w:t>
            </w:r>
          </w:p>
        </w:tc>
      </w:tr>
      <w:tr w:rsidR="00DA3BAE" w:rsidRPr="00BB0E07" w14:paraId="5AA52ABD" w14:textId="77777777">
        <w:tc>
          <w:tcPr>
            <w:tcW w:w="26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3F3524A8" w14:textId="77777777" w:rsidR="00DA3BAE" w:rsidRPr="00BB0E07" w:rsidRDefault="0060634D">
            <w:r w:rsidRPr="00BB0E07">
              <w:rPr>
                <w:rFonts w:eastAsia="Arial"/>
                <w:b/>
                <w:bCs/>
                <w:sz w:val="18"/>
                <w:szCs w:val="18"/>
              </w:rPr>
              <w:t>PLG learning log</w:t>
            </w:r>
          </w:p>
        </w:tc>
        <w:tc>
          <w:tcPr>
            <w:tcW w:w="4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4CC116D" w14:textId="77777777" w:rsidR="00DA3BAE" w:rsidRPr="00BB0E07" w:rsidRDefault="0060634D">
            <w:r w:rsidRPr="00BB0E07">
              <w:rPr>
                <w:rFonts w:eastAsia="Arial"/>
                <w:sz w:val="18"/>
                <w:szCs w:val="18"/>
              </w:rPr>
              <w:t>Entries written in-session, typically in the final ten minutes, embedded across programmes at L4, L5 and L6.</w:t>
            </w:r>
          </w:p>
        </w:tc>
        <w:tc>
          <w:tcPr>
            <w:tcW w:w="27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53C57EFA" w14:textId="77777777" w:rsidR="00DA3BAE" w:rsidRPr="00BB0E07" w:rsidRDefault="0060634D">
            <w:r w:rsidRPr="00BB0E07">
              <w:rPr>
                <w:rFonts w:eastAsia="Arial"/>
                <w:sz w:val="18"/>
                <w:szCs w:val="18"/>
              </w:rPr>
              <w:t>Must reference named colleagues, named discussions and specific content from that session. AI has not attended.</w:t>
            </w:r>
          </w:p>
        </w:tc>
      </w:tr>
      <w:tr w:rsidR="00DA3BAE" w:rsidRPr="00BB0E07" w14:paraId="7F3B448F" w14:textId="77777777">
        <w:tc>
          <w:tcPr>
            <w:tcW w:w="26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0D658069" w14:textId="77777777" w:rsidR="00DA3BAE" w:rsidRPr="00BB0E07" w:rsidRDefault="0060634D">
            <w:r w:rsidRPr="00BB0E07">
              <w:rPr>
                <w:rFonts w:eastAsia="Arial"/>
                <w:b/>
                <w:bCs/>
                <w:sz w:val="18"/>
                <w:szCs w:val="18"/>
              </w:rPr>
              <w:t>Presentation with viva or Q&amp;A</w:t>
            </w:r>
          </w:p>
        </w:tc>
        <w:tc>
          <w:tcPr>
            <w:tcW w:w="4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09FBF744" w14:textId="77777777" w:rsidR="00DA3BAE" w:rsidRPr="00BB0E07" w:rsidRDefault="0060634D">
            <w:r w:rsidRPr="00BB0E07">
              <w:rPr>
                <w:rFonts w:eastAsia="Arial"/>
                <w:sz w:val="18"/>
                <w:szCs w:val="18"/>
              </w:rPr>
              <w:t>Students defend their work verbally; particularly effective at L6 capstone level, with questions structured around specific claims in the submission.</w:t>
            </w:r>
          </w:p>
        </w:tc>
        <w:tc>
          <w:tcPr>
            <w:tcW w:w="27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2249AB3F" w14:textId="77777777" w:rsidR="00DA3BAE" w:rsidRPr="00BB0E07" w:rsidRDefault="0060634D">
            <w:r w:rsidRPr="00BB0E07">
              <w:rPr>
                <w:rFonts w:eastAsia="Arial"/>
                <w:sz w:val="18"/>
                <w:szCs w:val="18"/>
              </w:rPr>
              <w:t>A student who has not understood the material cannot answer follow-up questions.</w:t>
            </w:r>
          </w:p>
        </w:tc>
      </w:tr>
      <w:tr w:rsidR="00DA3BAE" w:rsidRPr="00BB0E07" w14:paraId="708B0275" w14:textId="77777777">
        <w:tc>
          <w:tcPr>
            <w:tcW w:w="26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1FC21664" w14:textId="77777777" w:rsidR="00DA3BAE" w:rsidRPr="00BB0E07" w:rsidRDefault="0060634D">
            <w:r w:rsidRPr="00BB0E07">
              <w:rPr>
                <w:rFonts w:eastAsia="Arial"/>
                <w:b/>
                <w:bCs/>
                <w:sz w:val="18"/>
                <w:szCs w:val="18"/>
              </w:rPr>
              <w:t>Critical analysis with process evidence</w:t>
            </w:r>
          </w:p>
        </w:tc>
        <w:tc>
          <w:tcPr>
            <w:tcW w:w="4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3E1B84A" w14:textId="77777777" w:rsidR="00DA3BAE" w:rsidRPr="00BB0E07" w:rsidRDefault="0060634D">
            <w:r w:rsidRPr="00BB0E07">
              <w:rPr>
                <w:rFonts w:eastAsia="Arial"/>
                <w:sz w:val="18"/>
                <w:szCs w:val="18"/>
              </w:rPr>
              <w:t>Documents reasoning, not just conclusions; works well paired with a literature review or professional position statement, with the process log submitted alongside the final piece.</w:t>
            </w:r>
          </w:p>
        </w:tc>
        <w:tc>
          <w:tcPr>
            <w:tcW w:w="27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3567F767" w14:textId="77777777" w:rsidR="00DA3BAE" w:rsidRPr="00BB0E07" w:rsidRDefault="0060634D">
            <w:r w:rsidRPr="00BB0E07">
              <w:rPr>
                <w:rFonts w:eastAsia="Arial"/>
                <w:sz w:val="18"/>
                <w:szCs w:val="18"/>
              </w:rPr>
              <w:t>Making the reasoning process visible is something a polished final essay alone cannot do.</w:t>
            </w:r>
          </w:p>
        </w:tc>
      </w:tr>
      <w:tr w:rsidR="00DA3BAE" w:rsidRPr="00BB0E07" w14:paraId="0741F9A9" w14:textId="77777777">
        <w:tc>
          <w:tcPr>
            <w:tcW w:w="26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1FEA2CC1" w14:textId="77777777" w:rsidR="00DA3BAE" w:rsidRPr="00BB0E07" w:rsidRDefault="0060634D">
            <w:r w:rsidRPr="00BB0E07">
              <w:rPr>
                <w:rFonts w:eastAsia="Arial"/>
                <w:b/>
                <w:bCs/>
                <w:sz w:val="18"/>
                <w:szCs w:val="18"/>
              </w:rPr>
              <w:t>Scenario-based report with personal context</w:t>
            </w:r>
          </w:p>
        </w:tc>
        <w:tc>
          <w:tcPr>
            <w:tcW w:w="4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5C3B177" w14:textId="77777777" w:rsidR="00DA3BAE" w:rsidRPr="00BB0E07" w:rsidRDefault="0060634D">
            <w:r w:rsidRPr="00BB0E07">
              <w:rPr>
                <w:rFonts w:eastAsia="Arial"/>
                <w:sz w:val="18"/>
                <w:szCs w:val="18"/>
              </w:rPr>
              <w:t>Anchored to a specific individual, case or professional context; the more specific the scenario, the more resistant the task.</w:t>
            </w:r>
          </w:p>
        </w:tc>
        <w:tc>
          <w:tcPr>
            <w:tcW w:w="27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F7C1BC3" w14:textId="77777777" w:rsidR="00DA3BAE" w:rsidRPr="00BB0E07" w:rsidRDefault="0060634D">
            <w:r w:rsidRPr="00BB0E07">
              <w:rPr>
                <w:rFonts w:eastAsia="Arial"/>
                <w:sz w:val="18"/>
                <w:szCs w:val="18"/>
              </w:rPr>
              <w:t xml:space="preserve">AI gives general answers; the contextualisation </w:t>
            </w:r>
            <w:proofErr w:type="gramStart"/>
            <w:r w:rsidRPr="00BB0E07">
              <w:rPr>
                <w:rFonts w:eastAsia="Arial"/>
                <w:sz w:val="18"/>
                <w:szCs w:val="18"/>
              </w:rPr>
              <w:t>has to</w:t>
            </w:r>
            <w:proofErr w:type="gramEnd"/>
            <w:r w:rsidRPr="00BB0E07">
              <w:rPr>
                <w:rFonts w:eastAsia="Arial"/>
                <w:sz w:val="18"/>
                <w:szCs w:val="18"/>
              </w:rPr>
              <w:t xml:space="preserve"> come from the student.</w:t>
            </w:r>
          </w:p>
        </w:tc>
      </w:tr>
    </w:tbl>
    <w:p w14:paraId="4B057160" w14:textId="77777777" w:rsidR="00DA3BAE" w:rsidRPr="00BB0E07" w:rsidRDefault="0060634D">
      <w:pPr>
        <w:spacing w:before="160" w:after="60"/>
      </w:pPr>
      <w:r w:rsidRPr="00BB0E07">
        <w:rPr>
          <w:rFonts w:eastAsia="Arial"/>
          <w:b/>
          <w:bCs/>
          <w:sz w:val="22"/>
          <w:szCs w:val="22"/>
        </w:rPr>
        <w:t>Examples of AI-development assessment formats</w:t>
      </w:r>
    </w:p>
    <w:p w14:paraId="2ADB3EC7" w14:textId="77777777" w:rsidR="00DA3BAE" w:rsidRPr="00BB0E07" w:rsidRDefault="0060634D">
      <w:pPr>
        <w:spacing w:before="120" w:after="120" w:line="276" w:lineRule="auto"/>
        <w:jc w:val="both"/>
      </w:pPr>
      <w:r w:rsidRPr="00BB0E07">
        <w:rPr>
          <w:rFonts w:eastAsia="Arial"/>
          <w:sz w:val="22"/>
          <w:szCs w:val="22"/>
        </w:rPr>
        <w:t>Resisting substitution is only half the picture. Building AI literacy directly matters just as much as routing around AI, in line with the FUTURES framework’s call to prepare students to work as co-workers with AI rather than as competitors to it (Specht and Saunders, 2026). These formats ask students to work with AI deliberately and account for how they used it, developing the critical evaluation, prompt literacy and reflective skills that sit at the centre of the Gonsalves framework above.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700"/>
      </w:tblGrid>
      <w:tr w:rsidR="00DA3BAE" w:rsidRPr="00BB0E07" w14:paraId="4AA94A3A" w14:textId="77777777">
        <w:trPr>
          <w:tblHeader/>
        </w:trPr>
        <w:tc>
          <w:tcPr>
            <w:tcW w:w="2600" w:type="dxa"/>
            <w:tcBorders>
              <w:top w:val="single" w:sz="2" w:space="0" w:color="CBD3E0"/>
              <w:left w:val="single" w:sz="2" w:space="0" w:color="CBD3E0"/>
              <w:bottom w:val="single" w:sz="2" w:space="0" w:color="CBD3E0"/>
              <w:right w:val="single" w:sz="2" w:space="0" w:color="CBD3E0"/>
            </w:tcBorders>
            <w:shd w:val="clear" w:color="auto" w:fill="1F3864"/>
            <w:tcMar>
              <w:top w:w="60" w:type="dxa"/>
              <w:left w:w="80" w:type="dxa"/>
              <w:bottom w:w="60" w:type="dxa"/>
              <w:right w:w="80" w:type="dxa"/>
            </w:tcMar>
          </w:tcPr>
          <w:p w14:paraId="38041609" w14:textId="77777777" w:rsidR="00DA3BAE" w:rsidRPr="00BB0E07" w:rsidRDefault="0060634D">
            <w:r w:rsidRPr="00BB0E07">
              <w:rPr>
                <w:rFonts w:eastAsia="Arial"/>
                <w:b/>
                <w:bCs/>
                <w:color w:val="FFFFFF"/>
                <w:sz w:val="18"/>
                <w:szCs w:val="18"/>
              </w:rPr>
              <w:t>Format</w:t>
            </w:r>
          </w:p>
        </w:tc>
        <w:tc>
          <w:tcPr>
            <w:tcW w:w="4200" w:type="dxa"/>
            <w:tcBorders>
              <w:top w:val="single" w:sz="2" w:space="0" w:color="CBD3E0"/>
              <w:left w:val="single" w:sz="2" w:space="0" w:color="CBD3E0"/>
              <w:bottom w:val="single" w:sz="2" w:space="0" w:color="CBD3E0"/>
              <w:right w:val="single" w:sz="2" w:space="0" w:color="CBD3E0"/>
            </w:tcBorders>
            <w:shd w:val="clear" w:color="auto" w:fill="1F3864"/>
            <w:tcMar>
              <w:top w:w="60" w:type="dxa"/>
              <w:left w:w="80" w:type="dxa"/>
              <w:bottom w:w="60" w:type="dxa"/>
              <w:right w:w="80" w:type="dxa"/>
            </w:tcMar>
          </w:tcPr>
          <w:p w14:paraId="0FCE2486" w14:textId="77777777" w:rsidR="00DA3BAE" w:rsidRPr="00BB0E07" w:rsidRDefault="0060634D">
            <w:r w:rsidRPr="00BB0E07">
              <w:rPr>
                <w:rFonts w:eastAsia="Arial"/>
                <w:b/>
                <w:bCs/>
                <w:color w:val="FFFFFF"/>
                <w:sz w:val="18"/>
                <w:szCs w:val="18"/>
              </w:rPr>
              <w:t>In practice</w:t>
            </w:r>
          </w:p>
        </w:tc>
        <w:tc>
          <w:tcPr>
            <w:tcW w:w="2700" w:type="dxa"/>
            <w:tcBorders>
              <w:top w:val="single" w:sz="2" w:space="0" w:color="CBD3E0"/>
              <w:left w:val="single" w:sz="2" w:space="0" w:color="CBD3E0"/>
              <w:bottom w:val="single" w:sz="2" w:space="0" w:color="CBD3E0"/>
              <w:right w:val="single" w:sz="2" w:space="0" w:color="CBD3E0"/>
            </w:tcBorders>
            <w:shd w:val="clear" w:color="auto" w:fill="1F3864"/>
            <w:tcMar>
              <w:top w:w="60" w:type="dxa"/>
              <w:left w:w="80" w:type="dxa"/>
              <w:bottom w:w="60" w:type="dxa"/>
              <w:right w:w="80" w:type="dxa"/>
            </w:tcMar>
          </w:tcPr>
          <w:p w14:paraId="725BE691" w14:textId="77777777" w:rsidR="00DA3BAE" w:rsidRPr="00BB0E07" w:rsidRDefault="0060634D">
            <w:r w:rsidRPr="00BB0E07">
              <w:rPr>
                <w:rFonts w:eastAsia="Arial"/>
                <w:b/>
                <w:bCs/>
                <w:color w:val="FFFFFF"/>
                <w:sz w:val="18"/>
                <w:szCs w:val="18"/>
              </w:rPr>
              <w:t>What it develops</w:t>
            </w:r>
          </w:p>
        </w:tc>
      </w:tr>
      <w:tr w:rsidR="00DA3BAE" w:rsidRPr="00BB0E07" w14:paraId="5016CA4F" w14:textId="77777777">
        <w:tc>
          <w:tcPr>
            <w:tcW w:w="26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5B916F28" w14:textId="77777777" w:rsidR="00DA3BAE" w:rsidRPr="00BB0E07" w:rsidRDefault="0060634D">
            <w:r w:rsidRPr="00BB0E07">
              <w:rPr>
                <w:rFonts w:eastAsia="Arial"/>
                <w:b/>
                <w:bCs/>
                <w:sz w:val="18"/>
                <w:szCs w:val="18"/>
              </w:rPr>
              <w:t>AI output audit</w:t>
            </w:r>
          </w:p>
        </w:tc>
        <w:tc>
          <w:tcPr>
            <w:tcW w:w="4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562346F" w14:textId="77777777" w:rsidR="00DA3BAE" w:rsidRPr="00BB0E07" w:rsidRDefault="0060634D">
            <w:r w:rsidRPr="00BB0E07">
              <w:rPr>
                <w:rFonts w:eastAsia="Arial"/>
                <w:sz w:val="18"/>
                <w:szCs w:val="18"/>
              </w:rPr>
              <w:t>Students are given a piece of AI-generated content on a set topic and asked to identify errors, bias, unsupported claims or outdated evidence, verifying each point against primary literature or professional guidelines.</w:t>
            </w:r>
          </w:p>
        </w:tc>
        <w:tc>
          <w:tcPr>
            <w:tcW w:w="27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53827D89" w14:textId="77777777" w:rsidR="00DA3BAE" w:rsidRPr="00BB0E07" w:rsidRDefault="0060634D">
            <w:r w:rsidRPr="00BB0E07">
              <w:rPr>
                <w:rFonts w:eastAsia="Arial"/>
                <w:sz w:val="18"/>
                <w:szCs w:val="18"/>
              </w:rPr>
              <w:t>Analysing and ethical reasoning: the critical evaluation skill that AI literacy depends on, made explicit and assessed directly rather than assumed.</w:t>
            </w:r>
          </w:p>
        </w:tc>
      </w:tr>
      <w:tr w:rsidR="00DA3BAE" w:rsidRPr="00BB0E07" w14:paraId="55711E95" w14:textId="77777777">
        <w:tc>
          <w:tcPr>
            <w:tcW w:w="26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155C14DD" w14:textId="77777777" w:rsidR="00DA3BAE" w:rsidRPr="00BB0E07" w:rsidRDefault="0060634D">
            <w:r w:rsidRPr="00BB0E07">
              <w:rPr>
                <w:rFonts w:eastAsia="Arial"/>
                <w:b/>
                <w:bCs/>
                <w:sz w:val="18"/>
                <w:szCs w:val="18"/>
              </w:rPr>
              <w:t>Prompt-and-refine portfolio</w:t>
            </w:r>
          </w:p>
        </w:tc>
        <w:tc>
          <w:tcPr>
            <w:tcW w:w="4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089925CD" w14:textId="77777777" w:rsidR="00DA3BAE" w:rsidRPr="00BB0E07" w:rsidRDefault="0060634D">
            <w:r w:rsidRPr="00BB0E07">
              <w:rPr>
                <w:rFonts w:eastAsia="Arial"/>
                <w:sz w:val="18"/>
                <w:szCs w:val="18"/>
              </w:rPr>
              <w:t>Students submit a short sequence of prompts used for a task alongside a brief commentary on why each prompt was refined and what changed in the response.</w:t>
            </w:r>
          </w:p>
        </w:tc>
        <w:tc>
          <w:tcPr>
            <w:tcW w:w="27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64BCFD5" w14:textId="77777777" w:rsidR="00DA3BAE" w:rsidRPr="00BB0E07" w:rsidRDefault="0060634D">
            <w:r w:rsidRPr="00BB0E07">
              <w:rPr>
                <w:rFonts w:eastAsia="Arial"/>
                <w:sz w:val="18"/>
                <w:szCs w:val="18"/>
              </w:rPr>
              <w:t>Articulating and interrogating and refining: prompt literacy and verification literacy, taught and assessed as distinct skills rather than assumed to develop on their own.</w:t>
            </w:r>
          </w:p>
        </w:tc>
      </w:tr>
      <w:tr w:rsidR="00DA3BAE" w:rsidRPr="00BB0E07" w14:paraId="7D6E4948" w14:textId="77777777">
        <w:tc>
          <w:tcPr>
            <w:tcW w:w="26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6FAF0BE0" w14:textId="77777777" w:rsidR="00DA3BAE" w:rsidRPr="00BB0E07" w:rsidRDefault="0060634D">
            <w:r w:rsidRPr="00BB0E07">
              <w:rPr>
                <w:rFonts w:eastAsia="Arial"/>
                <w:b/>
                <w:bCs/>
                <w:sz w:val="18"/>
                <w:szCs w:val="18"/>
              </w:rPr>
              <w:t>Annotated AI-assisted draft</w:t>
            </w:r>
          </w:p>
        </w:tc>
        <w:tc>
          <w:tcPr>
            <w:tcW w:w="4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296770BC" w14:textId="77777777" w:rsidR="00DA3BAE" w:rsidRPr="00BB0E07" w:rsidRDefault="0060634D">
            <w:r w:rsidRPr="00BB0E07">
              <w:rPr>
                <w:rFonts w:eastAsia="Arial"/>
                <w:sz w:val="18"/>
                <w:szCs w:val="18"/>
              </w:rPr>
              <w:t>Students use AI to generate a first-draft outline or summary, then submit their developed version alongside it with annotations showing what was changed, added or rejected, and why.</w:t>
            </w:r>
          </w:p>
        </w:tc>
        <w:tc>
          <w:tcPr>
            <w:tcW w:w="27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005CA68E" w14:textId="77777777" w:rsidR="00DA3BAE" w:rsidRPr="00BB0E07" w:rsidRDefault="0060634D">
            <w:r w:rsidRPr="00BB0E07">
              <w:rPr>
                <w:rFonts w:eastAsia="Arial"/>
                <w:sz w:val="18"/>
                <w:szCs w:val="18"/>
              </w:rPr>
              <w:t xml:space="preserve">Applying and </w:t>
            </w:r>
            <w:proofErr w:type="gramStart"/>
            <w:r w:rsidRPr="00BB0E07">
              <w:rPr>
                <w:rFonts w:eastAsia="Arial"/>
                <w:sz w:val="18"/>
                <w:szCs w:val="18"/>
              </w:rPr>
              <w:t>creating:</w:t>
            </w:r>
            <w:proofErr w:type="gramEnd"/>
            <w:r w:rsidRPr="00BB0E07">
              <w:rPr>
                <w:rFonts w:eastAsia="Arial"/>
                <w:sz w:val="18"/>
                <w:szCs w:val="18"/>
              </w:rPr>
              <w:t xml:space="preserve"> shows the gap between an AI starting point and a student's own developed, evidence-based work, making the value they added visible.</w:t>
            </w:r>
          </w:p>
        </w:tc>
      </w:tr>
      <w:tr w:rsidR="00DA3BAE" w:rsidRPr="00BB0E07" w14:paraId="47BBBFC4" w14:textId="77777777">
        <w:tc>
          <w:tcPr>
            <w:tcW w:w="26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0AFE5C1A" w14:textId="77777777" w:rsidR="00DA3BAE" w:rsidRPr="00BB0E07" w:rsidRDefault="0060634D">
            <w:r w:rsidRPr="00BB0E07">
              <w:rPr>
                <w:rFonts w:eastAsia="Arial"/>
                <w:b/>
                <w:bCs/>
                <w:sz w:val="18"/>
                <w:szCs w:val="18"/>
              </w:rPr>
              <w:t>Comparative evaluation task</w:t>
            </w:r>
          </w:p>
        </w:tc>
        <w:tc>
          <w:tcPr>
            <w:tcW w:w="4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5B200691" w14:textId="77777777" w:rsidR="00DA3BAE" w:rsidRPr="00BB0E07" w:rsidRDefault="0060634D">
            <w:r w:rsidRPr="00BB0E07">
              <w:rPr>
                <w:rFonts w:eastAsia="Arial"/>
                <w:sz w:val="18"/>
                <w:szCs w:val="18"/>
              </w:rPr>
              <w:t>Students compare AI-generated outputs against validated instruments, professional guidelines or a second AI tool's output, and justify which elements to keep, adapt or discard.</w:t>
            </w:r>
          </w:p>
        </w:tc>
        <w:tc>
          <w:tcPr>
            <w:tcW w:w="27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76A8E08F" w14:textId="77777777" w:rsidR="00DA3BAE" w:rsidRPr="00BB0E07" w:rsidRDefault="0060634D">
            <w:r w:rsidRPr="00BB0E07">
              <w:rPr>
                <w:rFonts w:eastAsia="Arial"/>
                <w:sz w:val="18"/>
                <w:szCs w:val="18"/>
              </w:rPr>
              <w:t>Meliorating information and tools: integrating AI outputs with other sources, a skill that is otherwise easy to leave implicit.</w:t>
            </w:r>
          </w:p>
        </w:tc>
      </w:tr>
      <w:tr w:rsidR="00DA3BAE" w:rsidRPr="00BB0E07" w14:paraId="4BA416E5" w14:textId="77777777">
        <w:tc>
          <w:tcPr>
            <w:tcW w:w="26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08B898C0" w14:textId="77777777" w:rsidR="00DA3BAE" w:rsidRPr="00BB0E07" w:rsidRDefault="0060634D">
            <w:r w:rsidRPr="00BB0E07">
              <w:rPr>
                <w:rFonts w:eastAsia="Arial"/>
                <w:b/>
                <w:bCs/>
                <w:sz w:val="18"/>
                <w:szCs w:val="18"/>
              </w:rPr>
              <w:t>AI-use reflection</w:t>
            </w:r>
          </w:p>
        </w:tc>
        <w:tc>
          <w:tcPr>
            <w:tcW w:w="42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2CC8A95C" w14:textId="77777777" w:rsidR="00DA3BAE" w:rsidRPr="00BB0E07" w:rsidRDefault="0060634D">
            <w:r w:rsidRPr="00BB0E07">
              <w:rPr>
                <w:rFonts w:eastAsia="Arial"/>
                <w:sz w:val="18"/>
                <w:szCs w:val="18"/>
              </w:rPr>
              <w:t xml:space="preserve">A </w:t>
            </w:r>
            <w:proofErr w:type="gramStart"/>
            <w:r w:rsidRPr="00BB0E07">
              <w:rPr>
                <w:rFonts w:eastAsia="Arial"/>
                <w:sz w:val="18"/>
                <w:szCs w:val="18"/>
              </w:rPr>
              <w:t>short structured</w:t>
            </w:r>
            <w:proofErr w:type="gramEnd"/>
            <w:r w:rsidRPr="00BB0E07">
              <w:rPr>
                <w:rFonts w:eastAsia="Arial"/>
                <w:sz w:val="18"/>
                <w:szCs w:val="18"/>
              </w:rPr>
              <w:t xml:space="preserve"> reflection on where AI was useful, where it was rejected, and what required the student's </w:t>
            </w:r>
            <w:r w:rsidRPr="00BB0E07">
              <w:rPr>
                <w:rFonts w:eastAsia="Arial"/>
                <w:sz w:val="18"/>
                <w:szCs w:val="18"/>
              </w:rPr>
              <w:lastRenderedPageBreak/>
              <w:t>own professional judgement, submitted alongside the main piece of work.</w:t>
            </w:r>
          </w:p>
        </w:tc>
        <w:tc>
          <w:tcPr>
            <w:tcW w:w="2700" w:type="dxa"/>
            <w:tcBorders>
              <w:top w:val="single" w:sz="2" w:space="0" w:color="CBD3E0"/>
              <w:left w:val="single" w:sz="2" w:space="0" w:color="CBD3E0"/>
              <w:bottom w:val="single" w:sz="2" w:space="0" w:color="CBD3E0"/>
              <w:right w:val="single" w:sz="2" w:space="0" w:color="CBD3E0"/>
            </w:tcBorders>
            <w:tcMar>
              <w:top w:w="60" w:type="dxa"/>
              <w:left w:w="80" w:type="dxa"/>
              <w:bottom w:w="60" w:type="dxa"/>
              <w:right w:w="80" w:type="dxa"/>
            </w:tcMar>
          </w:tcPr>
          <w:p w14:paraId="2915FD53" w14:textId="77777777" w:rsidR="00DA3BAE" w:rsidRPr="00BB0E07" w:rsidRDefault="0060634D">
            <w:r w:rsidRPr="00BB0E07">
              <w:rPr>
                <w:rFonts w:eastAsia="Arial"/>
                <w:sz w:val="18"/>
                <w:szCs w:val="18"/>
              </w:rPr>
              <w:lastRenderedPageBreak/>
              <w:t xml:space="preserve">Reflective thinking, and the core principle of demonstration over </w:t>
            </w:r>
            <w:r w:rsidRPr="00BB0E07">
              <w:rPr>
                <w:rFonts w:eastAsia="Arial"/>
                <w:sz w:val="18"/>
                <w:szCs w:val="18"/>
              </w:rPr>
              <w:lastRenderedPageBreak/>
              <w:t>detection: students account for their own AI use rather than staff trying to infer it after the fact.</w:t>
            </w:r>
          </w:p>
        </w:tc>
      </w:tr>
    </w:tbl>
    <w:p w14:paraId="32C92EAD" w14:textId="111D78F0" w:rsidR="00DA3BAE" w:rsidRPr="00BB0E07" w:rsidRDefault="0060634D" w:rsidP="006D3CD2">
      <w:pPr>
        <w:spacing w:before="120" w:after="120" w:line="276" w:lineRule="auto"/>
        <w:jc w:val="both"/>
      </w:pPr>
      <w:r w:rsidRPr="00BB0E07">
        <w:rPr>
          <w:rFonts w:eastAsia="Arial"/>
          <w:sz w:val="22"/>
          <w:szCs w:val="22"/>
        </w:rPr>
        <w:lastRenderedPageBreak/>
        <w:t>The two tables work well together,</w:t>
      </w:r>
      <w:r w:rsidR="003E5732" w:rsidRPr="00BB0E07">
        <w:rPr>
          <w:rFonts w:eastAsia="Arial"/>
          <w:sz w:val="22"/>
          <w:szCs w:val="22"/>
        </w:rPr>
        <w:t xml:space="preserve"> </w:t>
      </w:r>
      <w:r w:rsidRPr="00BB0E07">
        <w:rPr>
          <w:rFonts w:eastAsia="Arial"/>
          <w:sz w:val="22"/>
          <w:szCs w:val="22"/>
        </w:rPr>
        <w:t>and this is not just a convenience. No single assessment type can account for all the ways students might use AI well or poorly; it is the combination of varied assessment types across a programme, triangulated, that produces a trustworthy picture of what a student can do (Lodge et al., 2023). A single assessment can combine a resistant element, such as a live viva or session-anchored task, with a development element, such as a short AI-use reflection or prompt log submitted alongside it.</w:t>
      </w:r>
    </w:p>
    <w:p w14:paraId="6B106681" w14:textId="77777777" w:rsidR="00DA3BAE" w:rsidRPr="00BB0E07" w:rsidRDefault="0060634D">
      <w:pPr>
        <w:spacing w:before="160" w:after="60"/>
      </w:pPr>
      <w:r w:rsidRPr="00BB0E07">
        <w:rPr>
          <w:rFonts w:eastAsia="Arial"/>
          <w:b/>
          <w:bCs/>
          <w:sz w:val="22"/>
          <w:szCs w:val="22"/>
        </w:rPr>
        <w:t>Checking assessment validity</w:t>
      </w:r>
    </w:p>
    <w:p w14:paraId="6F3963E3" w14:textId="77777777" w:rsidR="00DA3BAE" w:rsidRPr="00BB0E07" w:rsidRDefault="0060634D">
      <w:pPr>
        <w:spacing w:before="120" w:after="120" w:line="276" w:lineRule="auto"/>
        <w:jc w:val="both"/>
      </w:pPr>
      <w:r w:rsidRPr="00BB0E07">
        <w:rPr>
          <w:rFonts w:eastAsia="Arial"/>
          <w:sz w:val="22"/>
          <w:szCs w:val="22"/>
        </w:rPr>
        <w:t>This connects directly to the school’s Assessment Design principles, which set validity, that a submission genuinely represents a student’s own capability against the learning outcomes, as the starting point for assessment design. In the context of AI literacy specifically, that usually means favouring authentic, practice-based tasks over ones easily completed end to end by a generative tool, building in a formative step or in-person element that lets staff see a student’s own reasoning develop, and avoiding unsupervised, off-campus formats where validity is hardest to assure. None of this requires a new assessment strategy; it is the existing validity principle applied with AI specifically in mind.</w:t>
      </w:r>
    </w:p>
    <w:p w14:paraId="07B9F394" w14:textId="77777777" w:rsidR="00DA3BAE" w:rsidRPr="00BB0E07" w:rsidRDefault="0060634D">
      <w:pPr>
        <w:spacing w:before="160" w:after="60"/>
      </w:pPr>
      <w:r w:rsidRPr="00BB0E07">
        <w:rPr>
          <w:rFonts w:eastAsia="Arial"/>
          <w:b/>
          <w:bCs/>
          <w:sz w:val="22"/>
          <w:szCs w:val="22"/>
        </w:rPr>
        <w:t>For staff and students together</w:t>
      </w:r>
    </w:p>
    <w:p w14:paraId="03C22ED7" w14:textId="77777777" w:rsidR="00DA3BAE" w:rsidRPr="00BB0E07" w:rsidRDefault="0060634D">
      <w:pPr>
        <w:spacing w:before="140" w:after="60" w:line="276" w:lineRule="auto"/>
        <w:jc w:val="both"/>
      </w:pPr>
      <w:r w:rsidRPr="00BB0E07">
        <w:rPr>
          <w:rFonts w:eastAsia="Arial"/>
          <w:b/>
          <w:bCs/>
          <w:color w:val="000000"/>
          <w:sz w:val="22"/>
          <w:szCs w:val="22"/>
        </w:rPr>
        <w:t xml:space="preserve">Be clear about which parts of a task AI can appropriately support. </w:t>
      </w:r>
      <w:r w:rsidRPr="00BB0E07">
        <w:rPr>
          <w:rFonts w:eastAsia="Arial"/>
          <w:sz w:val="22"/>
          <w:szCs w:val="22"/>
        </w:rPr>
        <w:t>Students and staff benefit from a shared, simple way of talking about this, for example distinguishing where AI can genuinely assist, where it can support the student, and where the work needs to remain distinctly the student’s own. Programme teams can develop their own version of this distinction, provided it is made explicit to students rather than left implicit.</w:t>
      </w:r>
    </w:p>
    <w:p w14:paraId="4B8B98D0" w14:textId="77777777" w:rsidR="00DA3BAE" w:rsidRPr="00BB0E07" w:rsidRDefault="0060634D">
      <w:pPr>
        <w:spacing w:before="140" w:after="60" w:line="276" w:lineRule="auto"/>
        <w:jc w:val="both"/>
      </w:pPr>
      <w:r w:rsidRPr="00BB0E07">
        <w:rPr>
          <w:rFonts w:eastAsia="Arial"/>
          <w:b/>
          <w:bCs/>
          <w:color w:val="000000"/>
          <w:sz w:val="22"/>
          <w:szCs w:val="22"/>
        </w:rPr>
        <w:t xml:space="preserve">Name the ethical and responsible-use expectations explicitly. </w:t>
      </w:r>
      <w:r w:rsidRPr="00BB0E07">
        <w:rPr>
          <w:rFonts w:eastAsia="Arial"/>
          <w:sz w:val="22"/>
          <w:szCs w:val="22"/>
        </w:rPr>
        <w:t>Consent, data security, environmental impact and appropriate use should be addressed directly with students rather than assumed to be self-evident. A values-based, “not closed, not wide open” framing, permissive enough to reflect real practice, clear enough to set expectations, is more useful to students than a blanket ban or an unrestricted green light.</w:t>
      </w:r>
    </w:p>
    <w:p w14:paraId="457251EF" w14:textId="77777777" w:rsidR="00DA3BAE" w:rsidRPr="00BB0E07" w:rsidRDefault="0060634D">
      <w:pPr>
        <w:spacing w:before="140" w:after="60" w:line="276" w:lineRule="auto"/>
        <w:jc w:val="both"/>
      </w:pPr>
      <w:r w:rsidRPr="00BB0E07">
        <w:rPr>
          <w:rFonts w:eastAsia="Arial"/>
          <w:b/>
          <w:bCs/>
          <w:color w:val="000000"/>
          <w:sz w:val="22"/>
          <w:szCs w:val="22"/>
        </w:rPr>
        <w:t xml:space="preserve">Treat equity of access as part of the design question. </w:t>
      </w:r>
      <w:r w:rsidRPr="00BB0E07">
        <w:rPr>
          <w:rFonts w:eastAsia="Arial"/>
          <w:sz w:val="22"/>
          <w:szCs w:val="22"/>
        </w:rPr>
        <w:t>The cost and availability of AI tools can disadvantage some students relative to others. Where a task or module expects AI use, programme teams should consider access and provision explicitly, consistent with the equity commitments already made elsewhere in the school framework.</w:t>
      </w:r>
    </w:p>
    <w:p w14:paraId="4DBE06A7" w14:textId="77777777" w:rsidR="00DA3BAE" w:rsidRPr="00BB0E07" w:rsidRDefault="0060634D">
      <w:pPr>
        <w:spacing w:before="160" w:after="60"/>
      </w:pPr>
      <w:r w:rsidRPr="00BB0E07">
        <w:rPr>
          <w:rFonts w:eastAsia="Arial"/>
          <w:b/>
          <w:bCs/>
          <w:sz w:val="22"/>
          <w:szCs w:val="22"/>
        </w:rPr>
        <w:t>Keeping pace</w:t>
      </w:r>
    </w:p>
    <w:p w14:paraId="0E1223CA" w14:textId="5D3457DF" w:rsidR="00DA3BAE" w:rsidRPr="00BB0E07" w:rsidRDefault="0060634D">
      <w:pPr>
        <w:spacing w:before="120" w:after="120" w:line="276" w:lineRule="auto"/>
        <w:jc w:val="both"/>
      </w:pPr>
      <w:r w:rsidRPr="00BB0E07">
        <w:rPr>
          <w:rFonts w:eastAsia="Arial"/>
          <w:sz w:val="22"/>
          <w:szCs w:val="22"/>
        </w:rPr>
        <w:t>AI tools and sector expectations are changing quickly enough that fixing guidance once and leaving it will not serve staff or students well. Student</w:t>
      </w:r>
      <w:r w:rsidR="003E5732" w:rsidRPr="00BB0E07">
        <w:rPr>
          <w:rFonts w:eastAsia="Arial"/>
          <w:sz w:val="22"/>
          <w:szCs w:val="22"/>
        </w:rPr>
        <w:t xml:space="preserve"> </w:t>
      </w:r>
      <w:r w:rsidRPr="00BB0E07">
        <w:rPr>
          <w:rFonts w:eastAsia="Arial"/>
          <w:sz w:val="22"/>
          <w:szCs w:val="22"/>
        </w:rPr>
        <w:t>and staff</w:t>
      </w:r>
      <w:r w:rsidR="003E5732" w:rsidRPr="00BB0E07">
        <w:rPr>
          <w:rFonts w:eastAsia="Arial"/>
          <w:sz w:val="22"/>
          <w:szCs w:val="22"/>
        </w:rPr>
        <w:t xml:space="preserve"> </w:t>
      </w:r>
      <w:r w:rsidRPr="00BB0E07">
        <w:rPr>
          <w:rFonts w:eastAsia="Arial"/>
          <w:sz w:val="22"/>
          <w:szCs w:val="22"/>
        </w:rPr>
        <w:t>facing guidance is better maintained as a living resource, for example on Canvas, than issued as a one-off policy statement, reviewed and updated as practice and the evidence base develop. Staff development should be signposted clearly alongside it, and that is worth doing now rather than waiting for the fuller resources to be finished.</w:t>
      </w:r>
    </w:p>
    <w:p w14:paraId="5E90C57B" w14:textId="74B84D9C" w:rsidR="003E5732" w:rsidRPr="00BB0E07" w:rsidRDefault="00EF6168" w:rsidP="00EF6168">
      <w:pPr>
        <w:spacing w:before="120" w:after="120" w:line="276" w:lineRule="auto"/>
        <w:jc w:val="both"/>
      </w:pPr>
      <w:r w:rsidRPr="00BB0E07">
        <w:rPr>
          <w:rFonts w:eastAsia="Arial"/>
          <w:sz w:val="22"/>
          <w:szCs w:val="22"/>
        </w:rPr>
        <w:t xml:space="preserve">A fuller staff and student CPD pathways are in development and expected to follow in due course. </w:t>
      </w:r>
      <w:r w:rsidR="0060634D" w:rsidRPr="00BB0E07">
        <w:rPr>
          <w:rFonts w:eastAsia="Arial"/>
          <w:sz w:val="22"/>
          <w:szCs w:val="22"/>
        </w:rPr>
        <w:t>In the meantime, these are genuine, current, free options worth flagging to programme teams now, a mix of generic AI literacy training and training built specifically for higher education. As with any external resource, it is worth checking current content and availability before recommending it, since offerings in this space change quickly.</w:t>
      </w:r>
    </w:p>
    <w:p w14:paraId="72F4D600" w14:textId="77777777" w:rsidR="003E5732" w:rsidRPr="00BB0E07" w:rsidRDefault="003E5732" w:rsidP="003E5732">
      <w:pPr>
        <w:pStyle w:val="ListParagraph"/>
        <w:numPr>
          <w:ilvl w:val="0"/>
          <w:numId w:val="2"/>
        </w:numPr>
        <w:spacing w:before="40" w:after="40"/>
      </w:pPr>
      <w:hyperlink r:id="rId5" w:history="1">
        <w:r w:rsidRPr="00BB0E07">
          <w:rPr>
            <w:rStyle w:val="Hyperlink"/>
            <w:rFonts w:eastAsia="Arial"/>
            <w:sz w:val="22"/>
            <w:szCs w:val="22"/>
          </w:rPr>
          <w:t>AI Skills Hub - AI Skills Hub</w:t>
        </w:r>
      </w:hyperlink>
    </w:p>
    <w:p w14:paraId="35C2A16E" w14:textId="77777777" w:rsidR="003E5732" w:rsidRPr="00BB0E07" w:rsidRDefault="003E5732" w:rsidP="003E5732">
      <w:pPr>
        <w:pStyle w:val="ListParagraph"/>
        <w:numPr>
          <w:ilvl w:val="0"/>
          <w:numId w:val="2"/>
        </w:numPr>
        <w:spacing w:before="40" w:after="40"/>
      </w:pPr>
      <w:hyperlink r:id="rId6" w:history="1">
        <w:r w:rsidRPr="00BB0E07">
          <w:rPr>
            <w:rStyle w:val="Hyperlink"/>
            <w:rFonts w:eastAsia="Arial"/>
            <w:sz w:val="22"/>
            <w:szCs w:val="22"/>
          </w:rPr>
          <w:t>Free Course: Elements of AI from University of Helsinki | Class Central</w:t>
        </w:r>
      </w:hyperlink>
    </w:p>
    <w:p w14:paraId="06B7D44D" w14:textId="77777777" w:rsidR="003E5732" w:rsidRPr="00BB0E07" w:rsidRDefault="003E5732" w:rsidP="003E5732">
      <w:pPr>
        <w:pStyle w:val="ListParagraph"/>
        <w:numPr>
          <w:ilvl w:val="0"/>
          <w:numId w:val="2"/>
        </w:numPr>
        <w:spacing w:before="40" w:after="40"/>
      </w:pPr>
      <w:hyperlink r:id="rId7" w:history="1">
        <w:r w:rsidRPr="00BB0E07">
          <w:rPr>
            <w:rStyle w:val="Hyperlink"/>
            <w:sz w:val="24"/>
            <w:szCs w:val="24"/>
          </w:rPr>
          <w:t>Self-Paced Learning - Hartree Centre</w:t>
        </w:r>
      </w:hyperlink>
    </w:p>
    <w:p w14:paraId="5558518F" w14:textId="77777777" w:rsidR="003E5732" w:rsidRPr="00BB0E07" w:rsidRDefault="003E5732" w:rsidP="003E5732">
      <w:pPr>
        <w:pStyle w:val="ListParagraph"/>
        <w:numPr>
          <w:ilvl w:val="0"/>
          <w:numId w:val="2"/>
        </w:numPr>
        <w:spacing w:before="40" w:after="40"/>
        <w:rPr>
          <w:sz w:val="24"/>
          <w:szCs w:val="24"/>
        </w:rPr>
      </w:pPr>
      <w:hyperlink r:id="rId8" w:history="1">
        <w:r w:rsidRPr="00BB0E07">
          <w:rPr>
            <w:rStyle w:val="Hyperlink"/>
            <w:sz w:val="24"/>
            <w:szCs w:val="24"/>
          </w:rPr>
          <w:t>Teaching AI Fluency</w:t>
        </w:r>
      </w:hyperlink>
    </w:p>
    <w:p w14:paraId="383DAEA5" w14:textId="77777777" w:rsidR="003E5732" w:rsidRPr="00BB0E07" w:rsidRDefault="003E5732" w:rsidP="003E5732">
      <w:pPr>
        <w:pStyle w:val="ListParagraph"/>
        <w:numPr>
          <w:ilvl w:val="0"/>
          <w:numId w:val="2"/>
        </w:numPr>
        <w:spacing w:before="40" w:after="40"/>
        <w:rPr>
          <w:sz w:val="24"/>
          <w:szCs w:val="24"/>
        </w:rPr>
      </w:pPr>
      <w:hyperlink r:id="rId9" w:history="1">
        <w:r w:rsidRPr="00BB0E07">
          <w:rPr>
            <w:rStyle w:val="Hyperlink"/>
            <w:sz w:val="24"/>
            <w:szCs w:val="24"/>
          </w:rPr>
          <w:t>AI Fluency for students</w:t>
        </w:r>
      </w:hyperlink>
    </w:p>
    <w:p w14:paraId="3161C5A9" w14:textId="77777777" w:rsidR="003E5732" w:rsidRPr="00BB0E07" w:rsidRDefault="003E5732" w:rsidP="003E5732">
      <w:pPr>
        <w:pStyle w:val="ListParagraph"/>
        <w:numPr>
          <w:ilvl w:val="0"/>
          <w:numId w:val="2"/>
        </w:numPr>
        <w:spacing w:before="40" w:after="40"/>
        <w:rPr>
          <w:sz w:val="24"/>
          <w:szCs w:val="24"/>
        </w:rPr>
      </w:pPr>
      <w:hyperlink r:id="rId10" w:history="1">
        <w:r w:rsidRPr="00BB0E07">
          <w:rPr>
            <w:rStyle w:val="Hyperlink"/>
            <w:sz w:val="24"/>
            <w:szCs w:val="24"/>
          </w:rPr>
          <w:t>AI Fluency for educators</w:t>
        </w:r>
      </w:hyperlink>
    </w:p>
    <w:p w14:paraId="7E4AA0AF" w14:textId="77777777" w:rsidR="003E5732" w:rsidRPr="00BB0E07" w:rsidRDefault="003E5732" w:rsidP="003E5732">
      <w:pPr>
        <w:spacing w:before="40" w:after="40"/>
        <w:ind w:left="1080"/>
        <w:rPr>
          <w:sz w:val="24"/>
          <w:szCs w:val="24"/>
        </w:rPr>
      </w:pPr>
    </w:p>
    <w:p w14:paraId="5A929BFE" w14:textId="77777777" w:rsidR="00DA3BAE" w:rsidRPr="00BB0E07" w:rsidRDefault="0060634D">
      <w:pPr>
        <w:spacing w:before="120" w:after="120" w:line="276" w:lineRule="auto"/>
        <w:jc w:val="both"/>
        <w:rPr>
          <w:rFonts w:eastAsia="Arial"/>
          <w:i/>
          <w:iCs/>
          <w:sz w:val="22"/>
          <w:szCs w:val="22"/>
        </w:rPr>
      </w:pPr>
      <w:r w:rsidRPr="00BB0E07">
        <w:rPr>
          <w:rFonts w:eastAsia="Arial"/>
          <w:i/>
          <w:iCs/>
          <w:sz w:val="22"/>
          <w:szCs w:val="22"/>
        </w:rPr>
        <w:t>This is a starting position, not a finished one. It draws on staff conversations across the school, on the student research our curriculum interns carried out directly with LJMU students, and on the current literature cited below, offered now because programme teams need something to work with during PPR, not because the conversation is closed. We expect to revisit and revise it as the evidence, the technology and our own experience continue to develop.</w:t>
      </w:r>
    </w:p>
    <w:p w14:paraId="3CF38D35" w14:textId="4372A1A1" w:rsidR="003E5732" w:rsidRPr="00BB0E07" w:rsidRDefault="003E5732">
      <w:pPr>
        <w:spacing w:before="120" w:after="120" w:line="276" w:lineRule="auto"/>
        <w:jc w:val="both"/>
        <w:rPr>
          <w:b/>
          <w:bCs/>
        </w:rPr>
      </w:pPr>
      <w:r w:rsidRPr="00BB0E07">
        <w:rPr>
          <w:rFonts w:eastAsia="Arial"/>
          <w:b/>
          <w:bCs/>
          <w:sz w:val="22"/>
          <w:szCs w:val="22"/>
        </w:rPr>
        <w:t>Reference list</w:t>
      </w:r>
    </w:p>
    <w:p w14:paraId="63D59D98" w14:textId="5EABEB45" w:rsidR="003E5732" w:rsidRPr="00BB0E07" w:rsidRDefault="003E5732" w:rsidP="003E5732">
      <w:r w:rsidRPr="00BB0E07">
        <w:t xml:space="preserve">Gonsalves, C. (2024). Generative AI's impact on critical thinking: Revisiting Bloom's Taxonomy. </w:t>
      </w:r>
      <w:r w:rsidRPr="00BB0E07">
        <w:rPr>
          <w:i/>
          <w:iCs/>
        </w:rPr>
        <w:t>Journal of Marketing Education</w:t>
      </w:r>
      <w:r w:rsidRPr="00BB0E07">
        <w:t xml:space="preserve">, 48(1), 4–19. </w:t>
      </w:r>
      <w:hyperlink r:id="rId11" w:history="1">
        <w:r w:rsidR="00A64116" w:rsidRPr="00BB0E07">
          <w:rPr>
            <w:rStyle w:val="Hyperlink"/>
          </w:rPr>
          <w:t>gonsalves-2024-generative-ai-s-impact-on-critical-thinking-revisiting-bloom-s-taxonomy.pdf</w:t>
        </w:r>
      </w:hyperlink>
    </w:p>
    <w:p w14:paraId="76E545AF" w14:textId="77777777" w:rsidR="003E5732" w:rsidRPr="00BB0E07" w:rsidRDefault="003E5732" w:rsidP="003E5732"/>
    <w:p w14:paraId="150BB66D" w14:textId="52790535" w:rsidR="003E5732" w:rsidRPr="00BB0E07" w:rsidRDefault="003E5732" w:rsidP="003E5732">
      <w:r w:rsidRPr="00BB0E07">
        <w:t xml:space="preserve">Illingworth, S. (2026). </w:t>
      </w:r>
      <w:r w:rsidRPr="00BB0E07">
        <w:rPr>
          <w:i/>
          <w:iCs/>
        </w:rPr>
        <w:t>What UK University AI Policies Actually Do: A Study of 96 Institutions</w:t>
      </w:r>
      <w:r w:rsidRPr="00BB0E07">
        <w:t xml:space="preserve"> (HEPI Policy Note 71). Higher Education Policy Institute. </w:t>
      </w:r>
      <w:hyperlink r:id="rId12" w:history="1">
        <w:r w:rsidR="00772E13" w:rsidRPr="00BB0E07">
          <w:rPr>
            <w:rStyle w:val="Hyperlink"/>
          </w:rPr>
          <w:t>What-UK-university-AI-policies-actually-do-A-study-of-96-institutions.pdf</w:t>
        </w:r>
      </w:hyperlink>
    </w:p>
    <w:p w14:paraId="6410E33F" w14:textId="77777777" w:rsidR="003E5732" w:rsidRPr="00BB0E07" w:rsidRDefault="003E5732" w:rsidP="003E5732"/>
    <w:p w14:paraId="2B4CBDBF" w14:textId="2069AF5F" w:rsidR="003E5732" w:rsidRPr="00BB0E07" w:rsidRDefault="003E5732" w:rsidP="003E5732">
      <w:r w:rsidRPr="00BB0E07">
        <w:t xml:space="preserve">Lodge, J. M., Howard, S., Bearman, M., Dawson, P., &amp; Associates (2023). </w:t>
      </w:r>
      <w:r w:rsidRPr="00BB0E07">
        <w:rPr>
          <w:i/>
          <w:iCs/>
        </w:rPr>
        <w:t>Assessment Reform for the Age of Artificial Intelligence</w:t>
      </w:r>
      <w:r w:rsidRPr="00BB0E07">
        <w:t>. Tertiary Education Quality and Standards Agency (TEQSA).</w:t>
      </w:r>
      <w:r w:rsidR="00D67230" w:rsidRPr="00BB0E07">
        <w:t xml:space="preserve"> </w:t>
      </w:r>
      <w:hyperlink r:id="rId13" w:history="1">
        <w:r w:rsidR="004C5390" w:rsidRPr="00BB0E07">
          <w:rPr>
            <w:rStyle w:val="Hyperlink"/>
          </w:rPr>
          <w:t>Assessment reform for the age of artificial intelligence</w:t>
        </w:r>
      </w:hyperlink>
    </w:p>
    <w:p w14:paraId="7D621DC7" w14:textId="76EADDD2" w:rsidR="003E5732" w:rsidRPr="00BB0E07" w:rsidRDefault="003E5732" w:rsidP="003E5732">
      <w:r w:rsidRPr="00BB0E07">
        <w:t xml:space="preserve"> </w:t>
      </w:r>
    </w:p>
    <w:p w14:paraId="381D659D" w14:textId="24A04EC4" w:rsidR="003E5732" w:rsidRPr="00BB0E07" w:rsidRDefault="003E5732" w:rsidP="003E5732">
      <w:r w:rsidRPr="00BB0E07">
        <w:t xml:space="preserve">Specht, D. and Saunders, G. (2026). </w:t>
      </w:r>
      <w:r w:rsidRPr="00BB0E07">
        <w:rPr>
          <w:i/>
          <w:iCs/>
        </w:rPr>
        <w:t>Being Indispensable: Capabilities for a Human-AI World, the 'FUTURES' Framework</w:t>
      </w:r>
      <w:r w:rsidRPr="00BB0E07">
        <w:t xml:space="preserve"> (HEPI Report 198). Higher Education Policy Institute. </w:t>
      </w:r>
      <w:hyperlink r:id="rId14" w:history="1">
        <w:r w:rsidR="00F110BE" w:rsidRPr="00BB0E07">
          <w:rPr>
            <w:rStyle w:val="Hyperlink"/>
          </w:rPr>
          <w:t>Capabilities-for-a-human-AI-world.pdf</w:t>
        </w:r>
      </w:hyperlink>
    </w:p>
    <w:p w14:paraId="4936B024" w14:textId="77777777" w:rsidR="003E5732" w:rsidRPr="00BB0E07" w:rsidRDefault="003E5732" w:rsidP="003E5732"/>
    <w:p w14:paraId="1CFE7C2E" w14:textId="53E66194" w:rsidR="00DA3BAE" w:rsidRPr="00BB0E07" w:rsidRDefault="003E5732" w:rsidP="003E5732">
      <w:r w:rsidRPr="00BB0E07">
        <w:t xml:space="preserve">Stephenson, R. and Armstrong, C. (2026). </w:t>
      </w:r>
      <w:r w:rsidRPr="00BB0E07">
        <w:rPr>
          <w:i/>
          <w:iCs/>
        </w:rPr>
        <w:t>Student Generative AI Survey 2026</w:t>
      </w:r>
      <w:r w:rsidRPr="00BB0E07">
        <w:t xml:space="preserve"> (HEPI Report 199). Higher Education Policy Institute. </w:t>
      </w:r>
      <w:hyperlink r:id="rId15" w:history="1">
        <w:r w:rsidR="00BB0E07" w:rsidRPr="00BB0E07">
          <w:rPr>
            <w:rStyle w:val="Hyperlink"/>
          </w:rPr>
          <w:t>HEPI-Report-199-Gen-AI-Survey-2026.pdf</w:t>
        </w:r>
      </w:hyperlink>
    </w:p>
    <w:sectPr w:rsidR="00DA3BAE" w:rsidRPr="00BB0E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15189"/>
    <w:multiLevelType w:val="hybridMultilevel"/>
    <w:tmpl w:val="7EF64386"/>
    <w:lvl w:ilvl="0" w:tplc="DA06BE60">
      <w:start w:val="1"/>
      <w:numFmt w:val="bullet"/>
      <w:lvlText w:val="●"/>
      <w:lvlJc w:val="left"/>
      <w:pPr>
        <w:ind w:left="720" w:hanging="360"/>
      </w:pPr>
    </w:lvl>
    <w:lvl w:ilvl="1" w:tplc="DA80DEF6">
      <w:start w:val="1"/>
      <w:numFmt w:val="bullet"/>
      <w:lvlText w:val="○"/>
      <w:lvlJc w:val="left"/>
      <w:pPr>
        <w:ind w:left="1440" w:hanging="360"/>
      </w:pPr>
    </w:lvl>
    <w:lvl w:ilvl="2" w:tplc="23165B1A">
      <w:start w:val="1"/>
      <w:numFmt w:val="bullet"/>
      <w:lvlText w:val="■"/>
      <w:lvlJc w:val="left"/>
      <w:pPr>
        <w:ind w:left="2160" w:hanging="360"/>
      </w:pPr>
    </w:lvl>
    <w:lvl w:ilvl="3" w:tplc="59E8B254">
      <w:start w:val="1"/>
      <w:numFmt w:val="bullet"/>
      <w:lvlText w:val="●"/>
      <w:lvlJc w:val="left"/>
      <w:pPr>
        <w:ind w:left="2880" w:hanging="360"/>
      </w:pPr>
    </w:lvl>
    <w:lvl w:ilvl="4" w:tplc="C582841A">
      <w:start w:val="1"/>
      <w:numFmt w:val="bullet"/>
      <w:lvlText w:val="○"/>
      <w:lvlJc w:val="left"/>
      <w:pPr>
        <w:ind w:left="3600" w:hanging="360"/>
      </w:pPr>
    </w:lvl>
    <w:lvl w:ilvl="5" w:tplc="7B862262">
      <w:start w:val="1"/>
      <w:numFmt w:val="bullet"/>
      <w:lvlText w:val="■"/>
      <w:lvlJc w:val="left"/>
      <w:pPr>
        <w:ind w:left="4320" w:hanging="360"/>
      </w:pPr>
    </w:lvl>
    <w:lvl w:ilvl="6" w:tplc="8062D1E0">
      <w:start w:val="1"/>
      <w:numFmt w:val="bullet"/>
      <w:lvlText w:val="●"/>
      <w:lvlJc w:val="left"/>
      <w:pPr>
        <w:ind w:left="5040" w:hanging="360"/>
      </w:pPr>
    </w:lvl>
    <w:lvl w:ilvl="7" w:tplc="2A8EFF02">
      <w:start w:val="1"/>
      <w:numFmt w:val="bullet"/>
      <w:lvlText w:val="●"/>
      <w:lvlJc w:val="left"/>
      <w:pPr>
        <w:ind w:left="5760" w:hanging="360"/>
      </w:pPr>
    </w:lvl>
    <w:lvl w:ilvl="8" w:tplc="7BC25688">
      <w:start w:val="1"/>
      <w:numFmt w:val="bullet"/>
      <w:lvlText w:val="●"/>
      <w:lvlJc w:val="left"/>
      <w:pPr>
        <w:ind w:left="6480" w:hanging="360"/>
      </w:pPr>
    </w:lvl>
  </w:abstractNum>
  <w:abstractNum w:abstractNumId="1" w15:restartNumberingAfterBreak="0">
    <w:nsid w:val="56110099"/>
    <w:multiLevelType w:val="hybridMultilevel"/>
    <w:tmpl w:val="1A72F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EB5B42"/>
    <w:multiLevelType w:val="hybridMultilevel"/>
    <w:tmpl w:val="924864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280379374">
    <w:abstractNumId w:val="0"/>
    <w:lvlOverride w:ilvl="0">
      <w:startOverride w:val="1"/>
    </w:lvlOverride>
  </w:num>
  <w:num w:numId="2" w16cid:durableId="1691833959">
    <w:abstractNumId w:val="2"/>
  </w:num>
  <w:num w:numId="3" w16cid:durableId="297539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BAE"/>
    <w:rsid w:val="00100050"/>
    <w:rsid w:val="00357B63"/>
    <w:rsid w:val="003E5732"/>
    <w:rsid w:val="004C5390"/>
    <w:rsid w:val="0060634D"/>
    <w:rsid w:val="00646453"/>
    <w:rsid w:val="006D2C26"/>
    <w:rsid w:val="006D3CD2"/>
    <w:rsid w:val="00772E13"/>
    <w:rsid w:val="00A64116"/>
    <w:rsid w:val="00BB0E07"/>
    <w:rsid w:val="00D67230"/>
    <w:rsid w:val="00DA3BAE"/>
    <w:rsid w:val="00EF6168"/>
    <w:rsid w:val="00F110BE"/>
    <w:rsid w:val="00F133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DB3CD"/>
  <w15:docId w15:val="{84AD301B-73E0-4BC3-9F46-9381A616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3E5732"/>
    <w:rPr>
      <w:color w:val="96607D" w:themeColor="followedHyperlink"/>
      <w:u w:val="single"/>
    </w:rPr>
  </w:style>
  <w:style w:type="character" w:styleId="UnresolvedMention">
    <w:name w:val="Unresolved Mention"/>
    <w:basedOn w:val="DefaultParagraphFont"/>
    <w:uiPriority w:val="99"/>
    <w:semiHidden/>
    <w:unhideWhenUsed/>
    <w:rsid w:val="00A64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nthropic.skilljar.com/teaching-ai-fluency" TargetMode="External"/><Relationship Id="rId13" Type="http://schemas.openxmlformats.org/officeDocument/2006/relationships/hyperlink" Target="https://www.teqsa.gov.au/sites/default/files/2023-09/assessment-reform-age-artificial-intelligence-discussion-paper.pdf"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hartree.stfc.ac.uk/training-skills/training-opportunities/self-paced-learning/" TargetMode="External"/><Relationship Id="rId12" Type="http://schemas.openxmlformats.org/officeDocument/2006/relationships/hyperlink" Target="https://www.hepi.ac.uk/wp-content/uploads/2026/05/What-UK-university-AI-policies-actually-do-A-study-of-96-institutions.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classcentral.com/course/independent-elements-of-ai-12469" TargetMode="External"/><Relationship Id="rId11" Type="http://schemas.openxmlformats.org/officeDocument/2006/relationships/hyperlink" Target="https://kclpure.kcl.ac.uk/ws/portalfiles/portal/317698194/gonsalves-2024-generative-ai-s-impact-on-critical-thinking-revisiting-bloom-s-taxonomy.pdf" TargetMode="External"/><Relationship Id="rId5" Type="http://schemas.openxmlformats.org/officeDocument/2006/relationships/hyperlink" Target="https://aiskillshub.org.uk/" TargetMode="External"/><Relationship Id="rId15" Type="http://schemas.openxmlformats.org/officeDocument/2006/relationships/hyperlink" Target="https://www.hepi.ac.uk/wp-content/uploads/2026/03/HEPI-Report-199-Gen-AI-Survey-2026.pdf" TargetMode="External"/><Relationship Id="rId10" Type="http://schemas.openxmlformats.org/officeDocument/2006/relationships/hyperlink" Target="https://anthropic.skilljar.com/ai-fluency-for-educators"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anthropic.skilljar.com/ai-fluency-for-students" TargetMode="External"/><Relationship Id="rId14" Type="http://schemas.openxmlformats.org/officeDocument/2006/relationships/hyperlink" Target="https://www.hepi.ac.uk/wp-content/uploads/2026/03/Capabilities-for-a-human-AI-worl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90A9F556-A1CD-40C7-8BA9-EC4246B3E8DB}"/>
</file>

<file path=customXml/itemProps2.xml><?xml version="1.0" encoding="utf-8"?>
<ds:datastoreItem xmlns:ds="http://schemas.openxmlformats.org/officeDocument/2006/customXml" ds:itemID="{7EC47703-CC66-455E-AC17-3994A427F410}"/>
</file>

<file path=customXml/itemProps3.xml><?xml version="1.0" encoding="utf-8"?>
<ds:datastoreItem xmlns:ds="http://schemas.openxmlformats.org/officeDocument/2006/customXml" ds:itemID="{5B000E38-CB20-4E89-986F-1B659A54C8C2}"/>
</file>

<file path=docProps/app.xml><?xml version="1.0" encoding="utf-8"?>
<Properties xmlns="http://schemas.openxmlformats.org/officeDocument/2006/extended-properties" xmlns:vt="http://schemas.openxmlformats.org/officeDocument/2006/docPropsVTypes">
  <Template>Normal</Template>
  <TotalTime>10</TotalTime>
  <Pages>6</Pages>
  <Words>3108</Words>
  <Characters>17436</Characters>
  <Application>Microsoft Office Word</Application>
  <DocSecurity>0</DocSecurity>
  <Lines>425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Richardson, Lucy</cp:lastModifiedBy>
  <cp:revision>9</cp:revision>
  <dcterms:created xsi:type="dcterms:W3CDTF">2026-07-15T08:48:00Z</dcterms:created>
  <dcterms:modified xsi:type="dcterms:W3CDTF">2026-07-16T12:14:00Z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ies>
</file>