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233D" w:rsidP="001E57B1" w:rsidRDefault="00000000" w14:paraId="6C55EBCE" w14:textId="77777777">
      <w:pPr>
        <w:spacing w:before="120" w:after="40"/>
        <w:jc w:val="both"/>
      </w:pPr>
      <w:r>
        <w:rPr>
          <w:b/>
          <w:bCs/>
          <w:color w:val="00695C"/>
          <w:sz w:val="40"/>
          <w:szCs w:val="40"/>
        </w:rPr>
        <w:t>Transition, Belonging and Socialisation</w:t>
      </w:r>
    </w:p>
    <w:p w:rsidR="001E57B1" w:rsidP="001E57B1" w:rsidRDefault="00000000" w14:paraId="70FBEA18" w14:textId="77777777">
      <w:pPr>
        <w:spacing w:after="60"/>
        <w:jc w:val="both"/>
      </w:pPr>
      <w:r>
        <w:rPr>
          <w:b/>
          <w:bCs/>
          <w:color w:val="00205B"/>
          <w:sz w:val="26"/>
          <w:szCs w:val="26"/>
        </w:rPr>
        <w:t>Principles for PPR 2026</w:t>
      </w:r>
    </w:p>
    <w:p w:rsidRPr="001E57B1" w:rsidR="001E57B1" w:rsidP="001E57B1" w:rsidRDefault="00000000" w14:paraId="257B70A8" w14:textId="22173FEB">
      <w:pPr>
        <w:spacing w:after="60"/>
        <w:jc w:val="both"/>
      </w:pPr>
      <w:r>
        <w:rPr>
          <w:b/>
          <w:bCs/>
          <w:color w:val="00695C"/>
          <w:sz w:val="30"/>
          <w:szCs w:val="30"/>
        </w:rPr>
        <w:t>Why this theme matters no</w:t>
      </w:r>
      <w:r w:rsidR="001E57B1">
        <w:rPr>
          <w:b/>
          <w:bCs/>
          <w:color w:val="00695C"/>
          <w:sz w:val="30"/>
          <w:szCs w:val="30"/>
        </w:rPr>
        <w:t>w</w:t>
      </w:r>
    </w:p>
    <w:p w:rsidR="002305FC" w:rsidP="002305FC" w:rsidRDefault="00000000" w14:paraId="511468C1" w14:textId="77777777">
      <w:pPr>
        <w:pBdr>
          <w:bottom w:val="single" w:color="C9971E" w:sz="12" w:space="4"/>
        </w:pBdr>
        <w:spacing w:before="320" w:after="160" w:line="360" w:lineRule="auto"/>
        <w:jc w:val="both"/>
      </w:pPr>
      <w:r>
        <w:rPr>
          <w:color w:val="1A1A1A"/>
          <w:sz w:val="22"/>
          <w:szCs w:val="22"/>
        </w:rPr>
        <w:t>Sense of belonging is one of the most consistently evidenced predictors of student retention, engagement, wellbeing and academic success in higher education. A 2025 systematic review and meta-analysis found a small-to-medium positive association between university belonging and academic outcomes, and a medium-to-large positive association with wellbeing outcomes, concluding that a population-level intervention to improve sense of belonging could have a meaningful impact on both academic and wellbeing outcomes. Belonging is not a single, fixed feeling but a multi-level, multi-relational construct that develops over time through relationships with staff, peers and the institution itself, rather than being established once at induction and left to hold. It needs building continuously, not delivered as a one-off event in Welcome Week.</w:t>
      </w:r>
    </w:p>
    <w:p w:rsidR="00722ACA" w:rsidP="00722ACA" w:rsidRDefault="00000000" w14:paraId="14EF279A" w14:textId="60987AFF">
      <w:pPr>
        <w:pBdr>
          <w:bottom w:val="single" w:color="C9971E" w:sz="12" w:space="4"/>
        </w:pBdr>
        <w:spacing w:before="320" w:after="160" w:line="360" w:lineRule="auto"/>
        <w:jc w:val="both"/>
      </w:pPr>
      <w:r>
        <w:rPr>
          <w:color w:val="1A1A1A"/>
          <w:sz w:val="22"/>
          <w:szCs w:val="22"/>
        </w:rPr>
        <w:t>Three shifts in our student population make this particularly urgent for the 2026</w:t>
      </w:r>
      <w:r w:rsidR="00722ACA">
        <w:rPr>
          <w:color w:val="1A1A1A"/>
          <w:sz w:val="22"/>
          <w:szCs w:val="22"/>
        </w:rPr>
        <w:t>/7</w:t>
      </w:r>
      <w:r>
        <w:rPr>
          <w:color w:val="1A1A1A"/>
          <w:sz w:val="22"/>
          <w:szCs w:val="22"/>
        </w:rPr>
        <w:t xml:space="preserve"> intake, and our own student voice data confirms the mechanism by which transition support currently breaks down.</w:t>
      </w:r>
    </w:p>
    <w:p w:rsidR="00C02BC4" w:rsidP="00C02BC4" w:rsidRDefault="00000000" w14:paraId="18179178" w14:textId="77777777">
      <w:pPr>
        <w:pBdr>
          <w:bottom w:val="single" w:color="C9971E" w:sz="12" w:space="4"/>
        </w:pBdr>
        <w:spacing w:before="320" w:after="160" w:line="360" w:lineRule="auto"/>
        <w:jc w:val="both"/>
      </w:pPr>
      <w:r>
        <w:rPr>
          <w:b/>
          <w:bCs/>
          <w:color w:val="1A1A1A"/>
          <w:sz w:val="22"/>
          <w:szCs w:val="22"/>
        </w:rPr>
        <w:t xml:space="preserve">The student body is increasingly local, in the </w:t>
      </w:r>
      <w:proofErr w:type="spellStart"/>
      <w:r>
        <w:rPr>
          <w:b/>
          <w:bCs/>
          <w:color w:val="1A1A1A"/>
          <w:sz w:val="22"/>
          <w:szCs w:val="22"/>
        </w:rPr>
        <w:t>OfS's</w:t>
      </w:r>
      <w:proofErr w:type="spellEnd"/>
      <w:r>
        <w:rPr>
          <w:b/>
          <w:bCs/>
          <w:color w:val="1A1A1A"/>
          <w:sz w:val="22"/>
          <w:szCs w:val="22"/>
        </w:rPr>
        <w:t xml:space="preserve"> own defined sense. </w:t>
      </w:r>
      <w:r>
        <w:rPr>
          <w:color w:val="1A1A1A"/>
          <w:sz w:val="22"/>
          <w:szCs w:val="22"/>
        </w:rPr>
        <w:t>The Office for Students has formally added commuter students to its Equality of Opportunity Risk Register, meaning this is now a recognised, sector</w:t>
      </w:r>
      <w:r w:rsidR="004955C2">
        <w:rPr>
          <w:color w:val="1A1A1A"/>
          <w:sz w:val="22"/>
          <w:szCs w:val="22"/>
        </w:rPr>
        <w:t xml:space="preserve"> </w:t>
      </w:r>
      <w:r>
        <w:rPr>
          <w:color w:val="1A1A1A"/>
          <w:sz w:val="22"/>
          <w:szCs w:val="22"/>
        </w:rPr>
        <w:t xml:space="preserve">wide risk to equality of opportunity. The </w:t>
      </w:r>
      <w:proofErr w:type="spellStart"/>
      <w:r>
        <w:rPr>
          <w:color w:val="1A1A1A"/>
          <w:sz w:val="22"/>
          <w:szCs w:val="22"/>
        </w:rPr>
        <w:t>OfS's</w:t>
      </w:r>
      <w:proofErr w:type="spellEnd"/>
      <w:r>
        <w:rPr>
          <w:color w:val="1A1A1A"/>
          <w:sz w:val="22"/>
          <w:szCs w:val="22"/>
        </w:rPr>
        <w:t xml:space="preserve"> own Power BI-based dashboards define this group as local students, those living and studying within the same Travel to Work Area, rather than by a fixed distance threshold. Students from the lowest socioeconomic classification are around three times more likely to study locally than their better-off peers, and students from some ethnic minority groups are over six times more likely to live at home and study locally. A 2025 study of local, commuting students at a Scottish university, focused on first-generation, lower socioeconomic-status students, found that this group can feel marginalised specifically because the informal, unplanned social contact other students rely on to build belonging is simply less available to them.</w:t>
      </w:r>
    </w:p>
    <w:p w:rsidR="00964BC7" w:rsidP="00964BC7" w:rsidRDefault="00000000" w14:paraId="59432FBB" w14:textId="77777777">
      <w:pPr>
        <w:pBdr>
          <w:bottom w:val="single" w:color="C9971E" w:sz="12" w:space="4"/>
        </w:pBdr>
        <w:spacing w:before="320" w:after="160" w:line="360" w:lineRule="auto"/>
        <w:jc w:val="both"/>
      </w:pPr>
      <w:r>
        <w:rPr>
          <w:b/>
          <w:bCs/>
          <w:color w:val="1A1A1A"/>
          <w:sz w:val="22"/>
          <w:szCs w:val="22"/>
        </w:rPr>
        <w:t xml:space="preserve">This is a defined widening participation concern, not a vague reference to income. </w:t>
      </w:r>
      <w:r>
        <w:rPr>
          <w:color w:val="1A1A1A"/>
          <w:sz w:val="22"/>
          <w:szCs w:val="22"/>
        </w:rPr>
        <w:t xml:space="preserve">The correct and current sector term is students from disadvantaged backgrounds, sitting within the broader widening participation agenda, which the </w:t>
      </w:r>
      <w:proofErr w:type="spellStart"/>
      <w:r>
        <w:rPr>
          <w:color w:val="1A1A1A"/>
          <w:sz w:val="22"/>
          <w:szCs w:val="22"/>
        </w:rPr>
        <w:t>OfS</w:t>
      </w:r>
      <w:proofErr w:type="spellEnd"/>
      <w:r>
        <w:rPr>
          <w:color w:val="1A1A1A"/>
          <w:sz w:val="22"/>
          <w:szCs w:val="22"/>
        </w:rPr>
        <w:t xml:space="preserve"> defines around ensuring students from all backgrounds are supported to access, succeed in, and progress from higher education, not just admitted to it. Research consistently shows this group is less likely to be socially and academically engaged and can find it harder to feel part of the institution's social and cultural life, even where academic performance is unaffected.</w:t>
      </w:r>
    </w:p>
    <w:p w:rsidR="00177E5C" w:rsidP="00177E5C" w:rsidRDefault="00000000" w14:paraId="6FB9B54A" w14:textId="77777777">
      <w:pPr>
        <w:pBdr>
          <w:bottom w:val="single" w:color="C9971E" w:sz="12" w:space="4"/>
        </w:pBdr>
        <w:spacing w:before="320" w:after="160" w:line="360" w:lineRule="auto"/>
        <w:jc w:val="both"/>
      </w:pPr>
      <w:r>
        <w:rPr>
          <w:b/>
          <w:bCs/>
          <w:color w:val="1A1A1A"/>
          <w:sz w:val="22"/>
          <w:szCs w:val="22"/>
        </w:rPr>
        <w:t xml:space="preserve">This specific cohort experienced a documented disruption to their own transition into secondary school. </w:t>
      </w:r>
      <w:r>
        <w:rPr>
          <w:color w:val="1A1A1A"/>
          <w:sz w:val="22"/>
          <w:szCs w:val="22"/>
        </w:rPr>
        <w:t>A student beginning L4 in September 202</w:t>
      </w:r>
      <w:r w:rsidR="00786D1F">
        <w:rPr>
          <w:color w:val="1A1A1A"/>
          <w:sz w:val="22"/>
          <w:szCs w:val="22"/>
        </w:rPr>
        <w:t>6/7</w:t>
      </w:r>
      <w:r>
        <w:rPr>
          <w:color w:val="1A1A1A"/>
          <w:sz w:val="22"/>
          <w:szCs w:val="22"/>
        </w:rPr>
        <w:t xml:space="preserve"> will typically have been </w:t>
      </w:r>
      <w:r w:rsidR="00786D1F">
        <w:rPr>
          <w:color w:val="1A1A1A"/>
          <w:sz w:val="22"/>
          <w:szCs w:val="22"/>
        </w:rPr>
        <w:t>11</w:t>
      </w:r>
      <w:r>
        <w:rPr>
          <w:color w:val="1A1A1A"/>
          <w:sz w:val="22"/>
          <w:szCs w:val="22"/>
        </w:rPr>
        <w:t xml:space="preserve"> to 1</w:t>
      </w:r>
      <w:r w:rsidR="00786D1F">
        <w:rPr>
          <w:color w:val="1A1A1A"/>
          <w:sz w:val="22"/>
          <w:szCs w:val="22"/>
        </w:rPr>
        <w:t>2</w:t>
      </w:r>
      <w:r>
        <w:rPr>
          <w:color w:val="1A1A1A"/>
          <w:sz w:val="22"/>
          <w:szCs w:val="22"/>
        </w:rPr>
        <w:t xml:space="preserve"> years old in March 2020, the age group whose move from primary to secondary school was directly disrupted by the first lockdown. Research following this exact cohort found they arrived at secondary school with fragmented educational experience and, </w:t>
      </w:r>
      <w:r>
        <w:rPr>
          <w:color w:val="1A1A1A"/>
          <w:sz w:val="22"/>
          <w:szCs w:val="22"/>
        </w:rPr>
        <w:t>in some cases, significant social and emotional difficulty. A 2025/26 meta-analysis of 56 studies and over 30,000 higher education students found that a consistent, moderate-to-strong relationship between loneliness and belongingness held across the pandemic period, and that although loneliness levels have since normalised, there remains a lingering effect on perceived belonging traceable to that earlier breakdown in social connection. Transition periods are also known to widen existing inequalities, so disadvantaged and local students in this cohort are likely carrying a compounded, not simply an additive, transition burden.</w:t>
      </w:r>
    </w:p>
    <w:p w:rsidR="005F233D" w:rsidP="6D378140" w:rsidRDefault="00000000" w14:paraId="7DF67F7F" w14:textId="6CEF8CB4">
      <w:pPr>
        <w:pBdr>
          <w:bottom w:val="single" w:color="C9971E" w:sz="12" w:space="4"/>
        </w:pBdr>
        <w:spacing w:before="320" w:after="160" w:line="360" w:lineRule="auto"/>
        <w:jc w:val="both"/>
      </w:pPr>
      <w:r w:rsidRPr="6D378140" w:rsidR="1DDCF49E">
        <w:rPr>
          <w:b w:val="1"/>
          <w:bCs w:val="1"/>
          <w:color w:val="1A1A1A"/>
          <w:sz w:val="22"/>
          <w:szCs w:val="22"/>
        </w:rPr>
        <w:t>Large, shared</w:t>
      </w:r>
      <w:r w:rsidRPr="6D378140" w:rsidR="00000000">
        <w:rPr>
          <w:b w:val="1"/>
          <w:bCs w:val="1"/>
          <w:color w:val="1A1A1A"/>
          <w:sz w:val="22"/>
          <w:szCs w:val="22"/>
        </w:rPr>
        <w:t xml:space="preserve"> modules present a specific, </w:t>
      </w:r>
      <w:r w:rsidRPr="6D378140" w:rsidR="00000000">
        <w:rPr>
          <w:b w:val="1"/>
          <w:bCs w:val="1"/>
          <w:color w:val="1A1A1A"/>
          <w:sz w:val="22"/>
          <w:szCs w:val="22"/>
        </w:rPr>
        <w:t>evidenced</w:t>
      </w:r>
      <w:r w:rsidRPr="6D378140" w:rsidR="00000000">
        <w:rPr>
          <w:b w:val="1"/>
          <w:bCs w:val="1"/>
          <w:color w:val="1A1A1A"/>
          <w:sz w:val="22"/>
          <w:szCs w:val="22"/>
        </w:rPr>
        <w:t xml:space="preserve"> risk to programme identity and belonging. </w:t>
      </w:r>
      <w:r w:rsidRPr="6D378140" w:rsidR="00000000">
        <w:rPr>
          <w:color w:val="1A1A1A"/>
          <w:sz w:val="22"/>
          <w:szCs w:val="22"/>
        </w:rPr>
        <w:t>Where L4 modules in semesters one and two are shared across programmes, new students meet their discipline through teaching that may not visibly connect to their chosen programme. Research on large cohorts consistently reports an anonymity effect, students describing themselves as “one of many” and struggling to develop coherent “</w:t>
      </w:r>
      <w:r w:rsidRPr="6D378140" w:rsidR="00000000">
        <w:rPr>
          <w:color w:val="1A1A1A"/>
          <w:sz w:val="22"/>
          <w:szCs w:val="22"/>
        </w:rPr>
        <w:t>cohortness</w:t>
      </w:r>
      <w:r w:rsidRPr="6D378140" w:rsidR="00000000">
        <w:rPr>
          <w:color w:val="1A1A1A"/>
          <w:sz w:val="22"/>
          <w:szCs w:val="22"/>
        </w:rPr>
        <w:t xml:space="preserve">,” a felt sense of belonging to a specific group with a shared identity. Our own Semester 2 student voice data </w:t>
      </w:r>
      <w:r w:rsidRPr="6D378140" w:rsidR="00000000">
        <w:rPr>
          <w:color w:val="1A1A1A"/>
          <w:sz w:val="22"/>
          <w:szCs w:val="22"/>
        </w:rPr>
        <w:t>confirms</w:t>
      </w:r>
      <w:r w:rsidRPr="6D378140" w:rsidR="00000000">
        <w:rPr>
          <w:color w:val="1A1A1A"/>
          <w:sz w:val="22"/>
          <w:szCs w:val="22"/>
        </w:rPr>
        <w:t xml:space="preserve"> this mechanism is already active: multi-staff modules were reported </w:t>
      </w:r>
      <w:r w:rsidRPr="6D378140" w:rsidR="3689CDC6">
        <w:rPr>
          <w:color w:val="1A1A1A"/>
          <w:sz w:val="22"/>
          <w:szCs w:val="22"/>
        </w:rPr>
        <w:t>school wide</w:t>
      </w:r>
      <w:r w:rsidRPr="6D378140" w:rsidR="00000000">
        <w:rPr>
          <w:color w:val="1A1A1A"/>
          <w:sz w:val="22"/>
          <w:szCs w:val="22"/>
        </w:rPr>
        <w:t xml:space="preserve"> as producing a loss of cohesion, confusion, disengagement, and uncertainty about who to approach for support. This is not a hypothetical risk requiring anticipation, it is a documented current experience requiring a response.</w:t>
      </w:r>
    </w:p>
    <w:p w:rsidR="002B74CD" w:rsidP="002B74CD" w:rsidRDefault="00000000" w14:paraId="15601C9A" w14:textId="77777777">
      <w:pPr>
        <w:pBdr>
          <w:bottom w:val="single" w:color="C9971E" w:sz="12" w:space="4"/>
        </w:pBdr>
        <w:spacing w:before="320" w:after="160" w:line="360" w:lineRule="auto"/>
        <w:jc w:val="both"/>
      </w:pPr>
      <w:r>
        <w:rPr>
          <w:b/>
          <w:bCs/>
          <w:color w:val="00695C"/>
          <w:sz w:val="30"/>
          <w:szCs w:val="30"/>
        </w:rPr>
        <w:t>Core principles (all levels)</w:t>
      </w:r>
    </w:p>
    <w:p w:rsidR="00B30780" w:rsidP="00B30780" w:rsidRDefault="00000000" w14:paraId="0E4AB19D" w14:textId="77777777">
      <w:pPr>
        <w:pBdr>
          <w:bottom w:val="single" w:color="C9971E" w:sz="12" w:space="4"/>
        </w:pBdr>
        <w:spacing w:before="320" w:after="160" w:line="360" w:lineRule="auto"/>
        <w:jc w:val="both"/>
      </w:pPr>
      <w:r>
        <w:rPr>
          <w:b/>
          <w:bCs/>
          <w:color w:val="00695C"/>
          <w:sz w:val="22"/>
          <w:szCs w:val="22"/>
        </w:rPr>
        <w:t xml:space="preserve">1. </w:t>
      </w:r>
      <w:r>
        <w:rPr>
          <w:b/>
          <w:bCs/>
          <w:color w:val="1A1A1A"/>
          <w:sz w:val="22"/>
          <w:szCs w:val="22"/>
        </w:rPr>
        <w:t>Transition should be treated as a continuous, developmental process, not a single event.</w:t>
      </w:r>
      <w:r w:rsidR="00B30780">
        <w:t xml:space="preserve"> </w:t>
      </w:r>
      <w:r>
        <w:rPr>
          <w:color w:val="1A1A1A"/>
          <w:sz w:val="22"/>
          <w:szCs w:val="22"/>
        </w:rPr>
        <w:t>Belonging changes and develops over time rather than being fixed at induction. Transition, socialisation and belonging activity should run as a thread through all three levels, with deliberate preparation for each subsequent level before students finish the one before it, rather than being concentrated into the first weeks of L4 alone.</w:t>
      </w:r>
    </w:p>
    <w:p w:rsidR="00D86BF1" w:rsidP="00D86BF1" w:rsidRDefault="00000000" w14:paraId="58394C3E" w14:textId="77777777">
      <w:pPr>
        <w:pBdr>
          <w:bottom w:val="single" w:color="C9971E" w:sz="12" w:space="4"/>
        </w:pBdr>
        <w:spacing w:before="320" w:after="160" w:line="360" w:lineRule="auto"/>
        <w:jc w:val="both"/>
      </w:pPr>
      <w:r>
        <w:rPr>
          <w:b/>
          <w:bCs/>
          <w:color w:val="00695C"/>
          <w:sz w:val="22"/>
          <w:szCs w:val="22"/>
        </w:rPr>
        <w:t xml:space="preserve">2. </w:t>
      </w:r>
      <w:r>
        <w:rPr>
          <w:b/>
          <w:bCs/>
          <w:color w:val="1A1A1A"/>
          <w:sz w:val="22"/>
          <w:szCs w:val="22"/>
        </w:rPr>
        <w:t>L4's non-classifying status should be used as protected space for this work.</w:t>
      </w:r>
      <w:r w:rsidR="0018014E">
        <w:t xml:space="preserve"> </w:t>
      </w:r>
      <w:r>
        <w:rPr>
          <w:color w:val="1A1A1A"/>
          <w:sz w:val="22"/>
          <w:szCs w:val="22"/>
        </w:rPr>
        <w:t>Because Level 4 marks do not count towards the final degree classification, this year carries a distinctive low-stakes opportunity. Activities that build confidence, peer relationships and academic identity, including ones that carry some risk of early stumbling, should be concentrated here deliberately.</w:t>
      </w:r>
    </w:p>
    <w:p w:rsidR="0097077B" w:rsidP="0097077B" w:rsidRDefault="00000000" w14:paraId="6D769AB8" w14:textId="77777777">
      <w:pPr>
        <w:pBdr>
          <w:bottom w:val="single" w:color="C9971E" w:sz="12" w:space="4"/>
        </w:pBdr>
        <w:spacing w:before="320" w:after="160" w:line="360" w:lineRule="auto"/>
        <w:jc w:val="both"/>
      </w:pPr>
      <w:r>
        <w:rPr>
          <w:b/>
          <w:bCs/>
          <w:color w:val="00695C"/>
          <w:sz w:val="22"/>
          <w:szCs w:val="22"/>
        </w:rPr>
        <w:t xml:space="preserve">3. </w:t>
      </w:r>
      <w:r>
        <w:rPr>
          <w:b/>
          <w:bCs/>
          <w:color w:val="1A1A1A"/>
          <w:sz w:val="22"/>
          <w:szCs w:val="22"/>
        </w:rPr>
        <w:t>Design belonging activity around local students, not around an assumed residential norm.</w:t>
      </w:r>
      <w:r w:rsidR="00D86BF1">
        <w:t xml:space="preserve"> </w:t>
      </w:r>
      <w:r>
        <w:rPr>
          <w:color w:val="1A1A1A"/>
          <w:sz w:val="22"/>
          <w:szCs w:val="22"/>
        </w:rPr>
        <w:t>A substantial proportion of the cohort will be local rather than relocated, meaning informal, unplanned social contact outside timetabled hours cannot be relied upon to generate belonging. Activity needs to work for a student who arrives for scheduled sessions and leaves promptly afterwards.</w:t>
      </w:r>
    </w:p>
    <w:p w:rsidR="002674C6" w:rsidP="002674C6" w:rsidRDefault="00000000" w14:paraId="3FEC8915" w14:textId="77777777">
      <w:pPr>
        <w:pBdr>
          <w:bottom w:val="single" w:color="C9971E" w:sz="12" w:space="4"/>
        </w:pBdr>
        <w:spacing w:before="320" w:after="160" w:line="360" w:lineRule="auto"/>
        <w:jc w:val="both"/>
      </w:pPr>
      <w:r>
        <w:rPr>
          <w:b/>
          <w:bCs/>
          <w:color w:val="00695C"/>
          <w:sz w:val="22"/>
          <w:szCs w:val="22"/>
        </w:rPr>
        <w:t xml:space="preserve">4. </w:t>
      </w:r>
      <w:r>
        <w:rPr>
          <w:b/>
          <w:bCs/>
          <w:color w:val="1A1A1A"/>
          <w:sz w:val="22"/>
          <w:szCs w:val="22"/>
        </w:rPr>
        <w:t>Recognise that many students are also employees, and design participation accordingly.</w:t>
      </w:r>
      <w:r w:rsidR="0097077B">
        <w:t xml:space="preserve"> </w:t>
      </w:r>
      <w:r>
        <w:rPr>
          <w:color w:val="1A1A1A"/>
          <w:sz w:val="22"/>
          <w:szCs w:val="22"/>
        </w:rPr>
        <w:t>Term-time paid work is common rather than exceptional. Transition and belonging activities should be short, structured and clearly scheduled wherever possible.</w:t>
      </w:r>
    </w:p>
    <w:p w:rsidR="004140F3" w:rsidP="004140F3" w:rsidRDefault="00000000" w14:paraId="65D61D66" w14:textId="77777777">
      <w:pPr>
        <w:pBdr>
          <w:bottom w:val="single" w:color="C9971E" w:sz="12" w:space="4"/>
        </w:pBdr>
        <w:spacing w:before="320" w:after="160" w:line="360" w:lineRule="auto"/>
        <w:jc w:val="both"/>
      </w:pPr>
      <w:r>
        <w:rPr>
          <w:b/>
          <w:bCs/>
          <w:color w:val="00695C"/>
          <w:sz w:val="22"/>
          <w:szCs w:val="22"/>
        </w:rPr>
        <w:t xml:space="preserve">5. </w:t>
      </w:r>
      <w:r>
        <w:rPr>
          <w:b/>
          <w:bCs/>
          <w:color w:val="1A1A1A"/>
          <w:sz w:val="22"/>
          <w:szCs w:val="22"/>
        </w:rPr>
        <w:t>Widening participation students, specifically those in IMD Quintile 1 or 2, need proactive, early support rather than reactive intervention.</w:t>
      </w:r>
      <w:r w:rsidR="002F6E91">
        <w:t xml:space="preserve"> </w:t>
      </w:r>
      <w:r>
        <w:rPr>
          <w:color w:val="1A1A1A"/>
          <w:sz w:val="22"/>
          <w:szCs w:val="22"/>
        </w:rPr>
        <w:t>Students from disadvantaged backgrounds, defined here by area-</w:t>
      </w:r>
      <w:r>
        <w:rPr>
          <w:color w:val="1A1A1A"/>
          <w:sz w:val="22"/>
          <w:szCs w:val="22"/>
        </w:rPr>
        <w:t>level deprivation (IMD quintile) rather than by HE participation rate (POLAR4 or TUNDRA quintile, which measure a different thing), are more likely to be local, working, and carrying the compounded effects of a disrupted secondary transition. Evidence consistently shows this group finds it harder to feel part of the social and cultural life of an institution even where academic performance is unaffected. Support structures should be built into programme design from the outset, rather than triggered only once disengagement becomes visible.</w:t>
      </w:r>
    </w:p>
    <w:p w:rsidR="004140F3" w:rsidP="004140F3" w:rsidRDefault="00000000" w14:paraId="5CCE8D78" w14:textId="77777777">
      <w:pPr>
        <w:pBdr>
          <w:bottom w:val="single" w:color="C9971E" w:sz="12" w:space="4"/>
        </w:pBdr>
        <w:spacing w:before="320" w:after="160" w:line="360" w:lineRule="auto"/>
        <w:jc w:val="both"/>
      </w:pPr>
      <w:r>
        <w:rPr>
          <w:b/>
          <w:bCs/>
          <w:color w:val="00695C"/>
          <w:sz w:val="22"/>
          <w:szCs w:val="22"/>
        </w:rPr>
        <w:t xml:space="preserve">6. </w:t>
      </w:r>
      <w:r>
        <w:rPr>
          <w:b/>
          <w:bCs/>
          <w:color w:val="1A1A1A"/>
          <w:sz w:val="22"/>
          <w:szCs w:val="22"/>
        </w:rPr>
        <w:t>Prioritise relationship-building over immediate academic performance in early transition activity.</w:t>
      </w:r>
      <w:r w:rsidR="004140F3">
        <w:t xml:space="preserve">  </w:t>
      </w:r>
      <w:r>
        <w:rPr>
          <w:color w:val="1A1A1A"/>
          <w:sz w:val="22"/>
          <w:szCs w:val="22"/>
        </w:rPr>
        <w:t>Relationship strength, not rapid academic catch-up, was the strongest driver of successful transition identified in research on this cohort, and meta-analytic evidence confirms a lasting trace on perceived belonging from pandemic-era disruption to social connection.</w:t>
      </w:r>
    </w:p>
    <w:p w:rsidR="006B4FBB" w:rsidP="006B4FBB" w:rsidRDefault="00000000" w14:paraId="1B150C23" w14:textId="77777777">
      <w:pPr>
        <w:pBdr>
          <w:bottom w:val="single" w:color="C9971E" w:sz="12" w:space="4"/>
        </w:pBdr>
        <w:spacing w:before="320" w:after="160" w:line="360" w:lineRule="auto"/>
        <w:jc w:val="both"/>
      </w:pPr>
      <w:r>
        <w:rPr>
          <w:b/>
          <w:bCs/>
          <w:color w:val="00695C"/>
          <w:sz w:val="22"/>
          <w:szCs w:val="22"/>
        </w:rPr>
        <w:t xml:space="preserve">7. </w:t>
      </w:r>
      <w:r>
        <w:rPr>
          <w:b/>
          <w:bCs/>
          <w:color w:val="1A1A1A"/>
          <w:sz w:val="22"/>
          <w:szCs w:val="22"/>
        </w:rPr>
        <w:t>Build small-group, structured contact into every level to counter the anonymity of scale.</w:t>
      </w:r>
      <w:r w:rsidR="006B4FBB">
        <w:t xml:space="preserve"> </w:t>
      </w:r>
      <w:r>
        <w:rPr>
          <w:color w:val="1A1A1A"/>
          <w:sz w:val="22"/>
          <w:szCs w:val="22"/>
        </w:rPr>
        <w:t>Programme teams should design consistent, small, stable groupings that persist across a level, so students have a known point of contact and identity within a large cohort.</w:t>
      </w:r>
    </w:p>
    <w:p w:rsidR="00027F99" w:rsidP="00027F99" w:rsidRDefault="00000000" w14:paraId="5928CD0A" w14:textId="77777777">
      <w:pPr>
        <w:pBdr>
          <w:bottom w:val="single" w:color="C9971E" w:sz="12" w:space="4"/>
        </w:pBdr>
        <w:spacing w:before="320" w:after="160" w:line="360" w:lineRule="auto"/>
        <w:jc w:val="both"/>
      </w:pPr>
      <w:r>
        <w:rPr>
          <w:b/>
          <w:bCs/>
          <w:color w:val="00695C"/>
          <w:sz w:val="22"/>
          <w:szCs w:val="22"/>
        </w:rPr>
        <w:t xml:space="preserve">8. </w:t>
      </w:r>
      <w:r>
        <w:rPr>
          <w:b/>
          <w:bCs/>
          <w:color w:val="1A1A1A"/>
          <w:sz w:val="22"/>
          <w:szCs w:val="22"/>
        </w:rPr>
        <w:t>Treat shared large modules as requiring deliberate programme-identity design and staff coordination, not as belonging-neutral delivery.</w:t>
      </w:r>
      <w:r w:rsidR="006B4FBB">
        <w:t xml:space="preserve"> </w:t>
      </w:r>
      <w:r>
        <w:rPr>
          <w:color w:val="1A1A1A"/>
          <w:sz w:val="22"/>
          <w:szCs w:val="22"/>
        </w:rPr>
        <w:t>Our own student voice data shows multi-staff, shared delivery already producing confusion and disengagement. Teams should build in explicit programme-specific contextualisation and, critically, a single named, visible point of contact for support within any shared module, so students always know who to approach.</w:t>
      </w:r>
    </w:p>
    <w:p w:rsidR="00705060" w:rsidP="00705060" w:rsidRDefault="00000000" w14:paraId="597E6074" w14:textId="08CCDF62">
      <w:pPr>
        <w:pBdr>
          <w:bottom w:val="single" w:color="C9971E" w:sz="12" w:space="4"/>
        </w:pBdr>
        <w:spacing w:before="320" w:after="160" w:line="360" w:lineRule="auto"/>
        <w:jc w:val="both"/>
      </w:pPr>
      <w:r>
        <w:rPr>
          <w:b/>
          <w:bCs/>
          <w:color w:val="00695C"/>
          <w:sz w:val="22"/>
          <w:szCs w:val="22"/>
        </w:rPr>
        <w:t xml:space="preserve">9. </w:t>
      </w:r>
      <w:r>
        <w:rPr>
          <w:b/>
          <w:bCs/>
          <w:color w:val="1A1A1A"/>
          <w:sz w:val="22"/>
          <w:szCs w:val="22"/>
        </w:rPr>
        <w:t>Account for students whose transition includes crossing a national or regional border.</w:t>
      </w:r>
      <w:r w:rsidR="00705060">
        <w:t xml:space="preserve"> </w:t>
      </w:r>
      <w:r>
        <w:rPr>
          <w:color w:val="1A1A1A"/>
          <w:sz w:val="22"/>
          <w:szCs w:val="22"/>
        </w:rPr>
        <w:t xml:space="preserve">Where a meaningful number of students are travelling from </w:t>
      </w:r>
      <w:r w:rsidR="000F2E19">
        <w:rPr>
          <w:color w:val="1A1A1A"/>
          <w:sz w:val="22"/>
          <w:szCs w:val="22"/>
        </w:rPr>
        <w:t>another part of</w:t>
      </w:r>
      <w:r w:rsidR="00705060">
        <w:rPr>
          <w:color w:val="1A1A1A"/>
          <w:sz w:val="22"/>
          <w:szCs w:val="22"/>
        </w:rPr>
        <w:t xml:space="preserve"> </w:t>
      </w:r>
      <w:r w:rsidR="000F2E19">
        <w:rPr>
          <w:color w:val="1A1A1A"/>
          <w:sz w:val="22"/>
          <w:szCs w:val="22"/>
        </w:rPr>
        <w:t xml:space="preserve">the </w:t>
      </w:r>
      <w:r w:rsidR="00705060">
        <w:rPr>
          <w:color w:val="1A1A1A"/>
          <w:sz w:val="22"/>
          <w:szCs w:val="22"/>
        </w:rPr>
        <w:t>world</w:t>
      </w:r>
      <w:r>
        <w:rPr>
          <w:color w:val="1A1A1A"/>
          <w:sz w:val="22"/>
          <w:szCs w:val="22"/>
        </w:rPr>
        <w:t>, transition planning should explicitly account for the practical and social effects of this, rather than folding this group unexamined into general local-student planning.</w:t>
      </w:r>
    </w:p>
    <w:p w:rsidR="00650275" w:rsidP="00650275" w:rsidRDefault="00000000" w14:paraId="03C9AAA1" w14:textId="77777777">
      <w:pPr>
        <w:pBdr>
          <w:bottom w:val="single" w:color="C9971E" w:sz="12" w:space="4"/>
        </w:pBdr>
        <w:spacing w:before="320" w:after="160" w:line="360" w:lineRule="auto"/>
        <w:jc w:val="both"/>
      </w:pPr>
      <w:r>
        <w:rPr>
          <w:b/>
          <w:bCs/>
          <w:color w:val="00695C"/>
          <w:sz w:val="22"/>
          <w:szCs w:val="22"/>
        </w:rPr>
        <w:t xml:space="preserve">10. </w:t>
      </w:r>
      <w:r>
        <w:rPr>
          <w:b/>
          <w:bCs/>
          <w:color w:val="1A1A1A"/>
          <w:sz w:val="22"/>
          <w:szCs w:val="22"/>
        </w:rPr>
        <w:t>Ensure activity has visible value, not just scheduled presence.</w:t>
      </w:r>
      <w:r w:rsidR="000F2E19">
        <w:t xml:space="preserve"> </w:t>
      </w:r>
      <w:r>
        <w:rPr>
          <w:color w:val="1A1A1A"/>
          <w:sz w:val="22"/>
          <w:szCs w:val="22"/>
        </w:rPr>
        <w:t>Students should be able to see clearly why a transition or belonging activity matters, since engagement driven by perceived value has consistently better outcomes than engagement driven by compulsory attendance alone.</w:t>
      </w:r>
    </w:p>
    <w:p w:rsidR="005F233D" w:rsidP="00650275" w:rsidRDefault="00000000" w14:paraId="3B72CC41" w14:textId="14B8A90B">
      <w:pPr>
        <w:pBdr>
          <w:bottom w:val="single" w:color="C9971E" w:sz="12" w:space="4"/>
        </w:pBdr>
        <w:spacing w:before="320" w:after="160" w:line="360" w:lineRule="auto"/>
        <w:jc w:val="both"/>
        <w:rPr>
          <w:color w:val="1A1A1A"/>
          <w:sz w:val="22"/>
          <w:szCs w:val="22"/>
        </w:rPr>
      </w:pPr>
      <w:r>
        <w:rPr>
          <w:b/>
          <w:bCs/>
          <w:color w:val="00695C"/>
          <w:sz w:val="22"/>
          <w:szCs w:val="22"/>
        </w:rPr>
        <w:t xml:space="preserve">11. </w:t>
      </w:r>
      <w:r>
        <w:rPr>
          <w:b/>
          <w:bCs/>
          <w:color w:val="1A1A1A"/>
          <w:sz w:val="22"/>
          <w:szCs w:val="22"/>
        </w:rPr>
        <w:t>Design within realistic staffing and resource constraints.</w:t>
      </w:r>
      <w:r w:rsidR="00650275">
        <w:t xml:space="preserve"> </w:t>
      </w:r>
      <w:r>
        <w:rPr>
          <w:color w:val="1A1A1A"/>
          <w:sz w:val="22"/>
          <w:szCs w:val="22"/>
        </w:rPr>
        <w:t>Transition and belonging activity should be deliverable using existing structures and contact time. Proposals dependent on significant new resource are less likely to be sustained beyond their first year.</w:t>
      </w:r>
    </w:p>
    <w:p w:rsidR="006D54A0" w:rsidP="161B21CA" w:rsidRDefault="00000000" w14:paraId="60397661" w14:textId="730110D6">
      <w:pPr>
        <w:pStyle w:val="Normal"/>
        <w:pBdr>
          <w:bottom w:val="single" w:color="C9971E" w:sz="12" w:space="4"/>
        </w:pBdr>
        <w:spacing w:before="320" w:after="160" w:line="360" w:lineRule="auto"/>
        <w:jc w:val="both"/>
        <w:rPr>
          <w:b w:val="1"/>
          <w:bCs w:val="1"/>
          <w:color w:val="00695C"/>
          <w:sz w:val="30"/>
          <w:szCs w:val="30"/>
        </w:rPr>
      </w:pPr>
      <w:r w:rsidRPr="161B21CA">
        <w:rPr>
          <w:b w:val="1"/>
          <w:bCs w:val="1"/>
          <w:color w:val="00695C"/>
          <w:sz w:val="30"/>
          <w:szCs w:val="30"/>
        </w:rPr>
        <w:t>Level-specific principle</w:t>
      </w:r>
      <w:r w:rsidRPr="161B21CA" w:rsidR="006D54A0">
        <w:rPr>
          <w:b w:val="1"/>
          <w:bCs w:val="1"/>
          <w:color w:val="00695C"/>
          <w:sz w:val="30"/>
          <w:szCs w:val="30"/>
        </w:rPr>
        <w:t>s</w:t>
      </w:r>
    </w:p>
    <w:p w:rsidR="006D54A0" w:rsidP="006D54A0" w:rsidRDefault="00000000" w14:paraId="00E82B95" w14:textId="77777777">
      <w:pPr>
        <w:pBdr>
          <w:bottom w:val="single" w:color="C9971E" w:sz="12" w:space="4"/>
        </w:pBdr>
        <w:spacing w:before="320" w:after="160"/>
        <w:jc w:val="both"/>
      </w:pPr>
      <w:r>
        <w:rPr>
          <w:b/>
          <w:bCs/>
          <w:color w:val="00205B"/>
          <w:sz w:val="24"/>
          <w:szCs w:val="24"/>
        </w:rPr>
        <w:t>L4 to L5 transition</w:t>
      </w:r>
    </w:p>
    <w:p w:rsidR="0035122B" w:rsidP="0035122B" w:rsidRDefault="00000000" w14:paraId="219C8C4E" w14:textId="77777777">
      <w:pPr>
        <w:pBdr>
          <w:bottom w:val="single" w:color="C9971E" w:sz="12" w:space="4"/>
        </w:pBdr>
        <w:spacing w:before="320" w:after="160" w:line="360" w:lineRule="auto"/>
        <w:jc w:val="both"/>
      </w:pPr>
      <w:r>
        <w:rPr>
          <w:b/>
          <w:bCs/>
          <w:color w:val="00695C"/>
          <w:sz w:val="22"/>
          <w:szCs w:val="22"/>
        </w:rPr>
        <w:t xml:space="preserve">12. </w:t>
      </w:r>
      <w:r>
        <w:rPr>
          <w:b/>
          <w:bCs/>
          <w:color w:val="1A1A1A"/>
          <w:sz w:val="22"/>
          <w:szCs w:val="22"/>
        </w:rPr>
        <w:t>Re-induction should happen before L4 ends, not at the start of L5.</w:t>
      </w:r>
      <w:r w:rsidR="006D54A0">
        <w:t xml:space="preserve"> </w:t>
      </w:r>
      <w:r>
        <w:rPr>
          <w:color w:val="1A1A1A"/>
          <w:sz w:val="22"/>
          <w:szCs w:val="22"/>
        </w:rPr>
        <w:t>Students should be prepared for the shift from non-classifying to classifying assessment, and for the step up in independent study expected at L5, while they still have access to the L4 support structures and relationships that got them there. Waiting until Welcome Week at L5 repeats the same structural gap our student voice evidence shows causes harm: a new level starting with no established point of contact.</w:t>
      </w:r>
    </w:p>
    <w:p w:rsidR="004D50C9" w:rsidP="004D50C9" w:rsidRDefault="00000000" w14:paraId="30DE4335" w14:textId="77777777">
      <w:pPr>
        <w:pBdr>
          <w:bottom w:val="single" w:color="C9971E" w:sz="12" w:space="4"/>
        </w:pBdr>
        <w:spacing w:before="320" w:after="160" w:line="360" w:lineRule="auto"/>
        <w:jc w:val="both"/>
      </w:pPr>
      <w:r>
        <w:rPr>
          <w:b/>
          <w:bCs/>
          <w:color w:val="00695C"/>
          <w:sz w:val="22"/>
          <w:szCs w:val="22"/>
        </w:rPr>
        <w:t xml:space="preserve">13. </w:t>
      </w:r>
      <w:r>
        <w:rPr>
          <w:b/>
          <w:bCs/>
          <w:color w:val="1A1A1A"/>
          <w:sz w:val="22"/>
          <w:szCs w:val="22"/>
        </w:rPr>
        <w:t>Preserve the peer groupings and staff relationships built at L4 wherever possible, rather than dispersing them.</w:t>
      </w:r>
      <w:r w:rsidR="0035122B">
        <w:t xml:space="preserve"> </w:t>
      </w:r>
      <w:r>
        <w:rPr>
          <w:color w:val="1A1A1A"/>
          <w:sz w:val="22"/>
          <w:szCs w:val="22"/>
        </w:rPr>
        <w:t>Where module or option choices mean cohorts reshuffle at L5, deliberately carry forward known staff-student and peer relationships rather than treating L5 as a clean slate. Belonging that has taken a year to build is fragile, not portable by default.</w:t>
      </w:r>
    </w:p>
    <w:p w:rsidR="0034710D" w:rsidP="6D378140" w:rsidRDefault="00000000" w14:paraId="078F5B75" w14:textId="620E289F">
      <w:pPr>
        <w:pBdr>
          <w:bottom w:val="single" w:color="C9971E" w:sz="12" w:space="4"/>
        </w:pBdr>
        <w:spacing w:before="320" w:after="160" w:line="360" w:lineRule="auto"/>
        <w:jc w:val="both"/>
      </w:pPr>
      <w:r w:rsidRPr="6D378140" w:rsidR="00000000">
        <w:rPr>
          <w:b w:val="1"/>
          <w:bCs w:val="1"/>
          <w:color w:val="00695C"/>
          <w:sz w:val="22"/>
          <w:szCs w:val="22"/>
        </w:rPr>
        <w:t xml:space="preserve">14. </w:t>
      </w:r>
      <w:r w:rsidRPr="6D378140" w:rsidR="00000000">
        <w:rPr>
          <w:b w:val="1"/>
          <w:bCs w:val="1"/>
          <w:color w:val="1A1A1A"/>
          <w:sz w:val="22"/>
          <w:szCs w:val="22"/>
        </w:rPr>
        <w:t xml:space="preserve">Name the assessment stakes shift </w:t>
      </w:r>
      <w:r w:rsidRPr="6D378140" w:rsidR="670957F3">
        <w:rPr>
          <w:b w:val="1"/>
          <w:bCs w:val="1"/>
          <w:color w:val="1A1A1A"/>
          <w:sz w:val="22"/>
          <w:szCs w:val="22"/>
        </w:rPr>
        <w:t>explicitly and</w:t>
      </w:r>
      <w:r w:rsidRPr="6D378140" w:rsidR="00000000">
        <w:rPr>
          <w:b w:val="1"/>
          <w:bCs w:val="1"/>
          <w:color w:val="1A1A1A"/>
          <w:sz w:val="22"/>
          <w:szCs w:val="22"/>
        </w:rPr>
        <w:t xml:space="preserve"> support it directly.</w:t>
      </w:r>
      <w:r w:rsidR="00303F8E">
        <w:rPr/>
        <w:t xml:space="preserve"> </w:t>
      </w:r>
      <w:r w:rsidRPr="6D378140" w:rsidR="00000000">
        <w:rPr>
          <w:color w:val="1A1A1A"/>
          <w:sz w:val="22"/>
          <w:szCs w:val="22"/>
        </w:rPr>
        <w:t>The move from non-classifying to classifying assessment is a significant psychological shift for students, particularly for those from disadvantaged or local backgrounds who may have less family familiarity with how degree classification works. This should be addressed as a named piece of transition content, not left implicit.</w:t>
      </w:r>
    </w:p>
    <w:p w:rsidR="00F034A9" w:rsidP="6D378140" w:rsidRDefault="00000000" w14:paraId="5206FBB4" w14:textId="2DDB4ECE">
      <w:pPr>
        <w:pBdr>
          <w:bottom w:val="single" w:color="C9971E" w:sz="12" w:space="4"/>
        </w:pBdr>
        <w:spacing w:before="320" w:after="160" w:line="360" w:lineRule="auto"/>
        <w:jc w:val="both"/>
      </w:pPr>
      <w:r w:rsidRPr="6D378140" w:rsidR="00000000">
        <w:rPr>
          <w:b w:val="1"/>
          <w:bCs w:val="1"/>
          <w:color w:val="00695C"/>
          <w:sz w:val="22"/>
          <w:szCs w:val="22"/>
        </w:rPr>
        <w:t xml:space="preserve">15. </w:t>
      </w:r>
      <w:r w:rsidRPr="6D378140" w:rsidR="00000000">
        <w:rPr>
          <w:b w:val="1"/>
          <w:bCs w:val="1"/>
          <w:color w:val="1A1A1A"/>
          <w:sz w:val="22"/>
          <w:szCs w:val="22"/>
        </w:rPr>
        <w:t xml:space="preserve">Apply the shared-module coordination standard proactively at L5, using the L4 evidence as the </w:t>
      </w:r>
      <w:r w:rsidRPr="6D378140" w:rsidR="00000000">
        <w:rPr>
          <w:b w:val="1"/>
          <w:bCs w:val="1"/>
          <w:color w:val="1A1A1A"/>
          <w:sz w:val="22"/>
          <w:szCs w:val="22"/>
        </w:rPr>
        <w:t>reason why</w:t>
      </w:r>
      <w:r w:rsidRPr="6D378140" w:rsidR="00000000">
        <w:rPr>
          <w:b w:val="1"/>
          <w:bCs w:val="1"/>
          <w:color w:val="1A1A1A"/>
          <w:sz w:val="22"/>
          <w:szCs w:val="22"/>
        </w:rPr>
        <w:t>.</w:t>
      </w:r>
      <w:r w:rsidR="0034710D">
        <w:rPr/>
        <w:t xml:space="preserve"> </w:t>
      </w:r>
      <w:r w:rsidRPr="6D378140" w:rsidR="00000000">
        <w:rPr>
          <w:color w:val="1A1A1A"/>
          <w:sz w:val="22"/>
          <w:szCs w:val="22"/>
        </w:rPr>
        <w:t xml:space="preserve">Since </w:t>
      </w:r>
      <w:r w:rsidRPr="6D378140" w:rsidR="1322605E">
        <w:rPr>
          <w:color w:val="1A1A1A"/>
          <w:sz w:val="22"/>
          <w:szCs w:val="22"/>
        </w:rPr>
        <w:t>large, shared</w:t>
      </w:r>
      <w:r w:rsidRPr="6D378140" w:rsidR="00000000">
        <w:rPr>
          <w:color w:val="1A1A1A"/>
          <w:sz w:val="22"/>
          <w:szCs w:val="22"/>
        </w:rPr>
        <w:t xml:space="preserve"> modules are also a feature of L5 delivery, the single-named-contact and coordination standard from Principle 8 should be treated as a baseline expectation carried forward, not something to be discovered as a problem again.</w:t>
      </w:r>
    </w:p>
    <w:p w:rsidR="00F034A9" w:rsidP="00F034A9" w:rsidRDefault="00000000" w14:paraId="1883BA37" w14:textId="77777777">
      <w:pPr>
        <w:pBdr>
          <w:bottom w:val="single" w:color="C9971E" w:sz="12" w:space="4"/>
        </w:pBdr>
        <w:spacing w:before="320" w:after="160" w:line="360" w:lineRule="auto"/>
        <w:jc w:val="both"/>
      </w:pPr>
      <w:r>
        <w:rPr>
          <w:b/>
          <w:bCs/>
          <w:color w:val="00205B"/>
          <w:sz w:val="24"/>
          <w:szCs w:val="24"/>
        </w:rPr>
        <w:t>L5 to L6 transition</w:t>
      </w:r>
    </w:p>
    <w:p w:rsidR="00063380" w:rsidP="00063380" w:rsidRDefault="00000000" w14:paraId="19A041D0" w14:textId="3B7BD849">
      <w:pPr>
        <w:pBdr>
          <w:bottom w:val="single" w:color="C9971E" w:sz="12" w:space="4"/>
        </w:pBdr>
        <w:spacing w:before="320" w:after="160" w:line="360" w:lineRule="auto"/>
        <w:jc w:val="both"/>
      </w:pPr>
      <w:r>
        <w:rPr>
          <w:b/>
          <w:bCs/>
          <w:color w:val="00695C"/>
          <w:sz w:val="22"/>
          <w:szCs w:val="22"/>
        </w:rPr>
        <w:t xml:space="preserve">16. </w:t>
      </w:r>
      <w:r>
        <w:rPr>
          <w:b/>
          <w:bCs/>
          <w:color w:val="1A1A1A"/>
          <w:sz w:val="22"/>
          <w:szCs w:val="22"/>
        </w:rPr>
        <w:t>Re-induction into L6 should happen before students finish L5, with a clear focus on route choice.</w:t>
      </w:r>
      <w:r w:rsidR="00F034A9">
        <w:t xml:space="preserve"> </w:t>
      </w:r>
      <w:r>
        <w:rPr>
          <w:color w:val="1A1A1A"/>
          <w:sz w:val="22"/>
          <w:szCs w:val="22"/>
        </w:rPr>
        <w:t>Where students are choosing between placement and supervised project tracks, or preparing for the Major Project, this decision and its preparatory work should begin while L5 support structures are still active, giving students time to make an informed choice with staff support rather than arriving at L6 already needing to have decided</w:t>
      </w:r>
      <w:r w:rsidR="00063380">
        <w:rPr>
          <w:color w:val="1A1A1A"/>
          <w:sz w:val="22"/>
          <w:szCs w:val="22"/>
        </w:rPr>
        <w:t xml:space="preserve"> or to decide at a point where </w:t>
      </w:r>
      <w:r w:rsidR="002F24D8">
        <w:rPr>
          <w:color w:val="1A1A1A"/>
          <w:sz w:val="22"/>
          <w:szCs w:val="22"/>
        </w:rPr>
        <w:t>things can be daunting</w:t>
      </w:r>
      <w:r>
        <w:rPr>
          <w:color w:val="1A1A1A"/>
          <w:sz w:val="22"/>
          <w:szCs w:val="22"/>
        </w:rPr>
        <w:t>.</w:t>
      </w:r>
      <w:r w:rsidR="002F24D8">
        <w:rPr>
          <w:color w:val="1A1A1A"/>
          <w:sz w:val="22"/>
          <w:szCs w:val="22"/>
        </w:rPr>
        <w:t xml:space="preserve"> </w:t>
      </w:r>
    </w:p>
    <w:p w:rsidR="00737B82" w:rsidP="00737B82" w:rsidRDefault="00000000" w14:paraId="73F03F67" w14:textId="5DB0A138">
      <w:pPr>
        <w:pBdr>
          <w:bottom w:val="single" w:color="C9971E" w:sz="12" w:space="4"/>
        </w:pBdr>
        <w:spacing w:before="320" w:after="160" w:line="360" w:lineRule="auto"/>
        <w:jc w:val="both"/>
        <w:rPr>
          <w:color w:val="1A1A1A"/>
          <w:sz w:val="22"/>
          <w:szCs w:val="22"/>
        </w:rPr>
      </w:pPr>
      <w:r>
        <w:rPr>
          <w:b/>
          <w:bCs/>
          <w:color w:val="00695C"/>
          <w:sz w:val="22"/>
          <w:szCs w:val="22"/>
        </w:rPr>
        <w:t xml:space="preserve">17. </w:t>
      </w:r>
      <w:r>
        <w:rPr>
          <w:b/>
          <w:bCs/>
          <w:color w:val="1A1A1A"/>
          <w:sz w:val="22"/>
          <w:szCs w:val="22"/>
        </w:rPr>
        <w:t xml:space="preserve">Treat the move into final-level independent study as a </w:t>
      </w:r>
      <w:proofErr w:type="gramStart"/>
      <w:r>
        <w:rPr>
          <w:b/>
          <w:bCs/>
          <w:color w:val="1A1A1A"/>
          <w:sz w:val="22"/>
          <w:szCs w:val="22"/>
        </w:rPr>
        <w:t>transition in its own right, requiring</w:t>
      </w:r>
      <w:proofErr w:type="gramEnd"/>
      <w:r>
        <w:rPr>
          <w:b/>
          <w:bCs/>
          <w:color w:val="1A1A1A"/>
          <w:sz w:val="22"/>
          <w:szCs w:val="22"/>
        </w:rPr>
        <w:t xml:space="preserve"> relationship continuity, not just academic scaffolding.</w:t>
      </w:r>
      <w:r w:rsidR="00063380">
        <w:t xml:space="preserve"> </w:t>
      </w:r>
      <w:r>
        <w:rPr>
          <w:color w:val="1A1A1A"/>
          <w:sz w:val="22"/>
          <w:szCs w:val="22"/>
        </w:rPr>
        <w:t xml:space="preserve">The shift towards independent or supervised project work can reduce the </w:t>
      </w:r>
      <w:proofErr w:type="gramStart"/>
      <w:r>
        <w:rPr>
          <w:color w:val="1A1A1A"/>
          <w:sz w:val="22"/>
          <w:szCs w:val="22"/>
        </w:rPr>
        <w:t>amount</w:t>
      </w:r>
      <w:proofErr w:type="gramEnd"/>
      <w:r>
        <w:rPr>
          <w:color w:val="1A1A1A"/>
          <w:sz w:val="22"/>
          <w:szCs w:val="22"/>
        </w:rPr>
        <w:t xml:space="preserve"> of structured staff contact a student experiences, at exactly the point their assessment stakes are highest. Deliberate maintenance of a known point of contact, whether a supervisor, tutor or programme lead, should be built in rather than assumed to continue automatically from L5.</w:t>
      </w:r>
    </w:p>
    <w:p w:rsidR="00737B82" w:rsidP="00162AAE" w:rsidRDefault="00737B82" w14:paraId="1003FE62" w14:textId="77777777">
      <w:pPr>
        <w:spacing w:before="160" w:after="60" w:line="360" w:lineRule="auto"/>
        <w:jc w:val="both"/>
        <w:rPr>
          <w:color w:val="1A1A1A"/>
          <w:sz w:val="22"/>
          <w:szCs w:val="22"/>
        </w:rPr>
      </w:pPr>
    </w:p>
    <w:p w:rsidR="005F233D" w:rsidP="00162AAE" w:rsidRDefault="00000000" w14:paraId="0E8CFA7A" w14:textId="62BD376B">
      <w:pPr>
        <w:spacing w:before="160" w:after="60" w:line="360" w:lineRule="auto"/>
        <w:jc w:val="both"/>
      </w:pPr>
      <w:r>
        <w:rPr>
          <w:b/>
          <w:bCs/>
          <w:color w:val="00695C"/>
          <w:sz w:val="22"/>
          <w:szCs w:val="22"/>
        </w:rPr>
        <w:t xml:space="preserve">18. </w:t>
      </w:r>
      <w:r>
        <w:rPr>
          <w:b/>
          <w:bCs/>
          <w:color w:val="1A1A1A"/>
          <w:sz w:val="22"/>
          <w:szCs w:val="22"/>
        </w:rPr>
        <w:t>Use L6 transition activity to consolidate professional and academic identity, not just to manage workload.</w:t>
      </w:r>
      <w:r w:rsidR="00162AAE">
        <w:t xml:space="preserve"> </w:t>
      </w:r>
      <w:r>
        <w:rPr>
          <w:color w:val="1A1A1A"/>
          <w:sz w:val="22"/>
          <w:szCs w:val="22"/>
        </w:rPr>
        <w:t>As students approach graduation, transition support should help them articulate who they are becoming professionally, connecting back to applied and practical learning, which our own student voice data identifies as the school's most consistently valued experience. This is also the point at which disengagement is costliest, so belonging work here should be treated as protective, not optional.</w:t>
      </w:r>
    </w:p>
    <w:p w:rsidR="005F233D" w:rsidP="001E57B1" w:rsidRDefault="00000000" w14:paraId="5171C22E" w14:textId="77777777">
      <w:pPr>
        <w:spacing w:before="160" w:after="60" w:line="360" w:lineRule="auto"/>
        <w:jc w:val="both"/>
      </w:pPr>
      <w:r>
        <w:rPr>
          <w:b/>
          <w:bCs/>
          <w:color w:val="00695C"/>
          <w:sz w:val="22"/>
          <w:szCs w:val="22"/>
        </w:rPr>
        <w:t xml:space="preserve">19. </w:t>
      </w:r>
      <w:r>
        <w:rPr>
          <w:b/>
          <w:bCs/>
          <w:color w:val="1A1A1A"/>
          <w:sz w:val="22"/>
          <w:szCs w:val="22"/>
        </w:rPr>
        <w:t>Do not assume belonging built at L4 and L5 persists automatically into L6.</w:t>
      </w:r>
    </w:p>
    <w:p w:rsidR="005F233D" w:rsidP="001E57B1" w:rsidRDefault="00000000" w14:paraId="143350D4" w14:textId="017B96E2">
      <w:pPr>
        <w:spacing w:after="160" w:line="360" w:lineRule="auto"/>
        <w:jc w:val="both"/>
      </w:pPr>
      <w:r>
        <w:rPr>
          <w:color w:val="1A1A1A"/>
          <w:sz w:val="22"/>
          <w:szCs w:val="22"/>
        </w:rPr>
        <w:t>Final-year students can experience a renewed sense of anonymity as</w:t>
      </w:r>
      <w:r w:rsidR="00F0214C">
        <w:rPr>
          <w:color w:val="1A1A1A"/>
          <w:sz w:val="22"/>
          <w:szCs w:val="22"/>
        </w:rPr>
        <w:t xml:space="preserve"> some</w:t>
      </w:r>
      <w:r>
        <w:rPr>
          <w:color w:val="1A1A1A"/>
          <w:sz w:val="22"/>
          <w:szCs w:val="22"/>
        </w:rPr>
        <w:t xml:space="preserve"> L5 groupings dissolve into new final-year cohorts</w:t>
      </w:r>
      <w:r w:rsidR="00F0214C">
        <w:rPr>
          <w:color w:val="1A1A1A"/>
          <w:sz w:val="22"/>
          <w:szCs w:val="22"/>
        </w:rPr>
        <w:t xml:space="preserve"> for optional modules </w:t>
      </w:r>
      <w:proofErr w:type="gramStart"/>
      <w:r w:rsidR="00F0214C">
        <w:rPr>
          <w:color w:val="1A1A1A"/>
          <w:sz w:val="22"/>
          <w:szCs w:val="22"/>
        </w:rPr>
        <w:t>etc..</w:t>
      </w:r>
      <w:proofErr w:type="gramEnd"/>
      <w:r>
        <w:rPr>
          <w:color w:val="1A1A1A"/>
          <w:sz w:val="22"/>
          <w:szCs w:val="22"/>
        </w:rPr>
        <w:t xml:space="preserve"> Structured small-group contact, per Principle 7, should be explicitly re-established at L6, not assumed to still be in place.</w:t>
      </w:r>
    </w:p>
    <w:p w:rsidR="005F233D" w:rsidP="001E57B1" w:rsidRDefault="00000000" w14:paraId="0FB0A0FF" w14:textId="77777777">
      <w:pPr>
        <w:pBdr>
          <w:bottom w:val="single" w:color="C9971E" w:sz="12" w:space="4"/>
        </w:pBdr>
        <w:spacing w:before="320" w:after="160" w:line="360" w:lineRule="auto"/>
        <w:jc w:val="both"/>
      </w:pPr>
      <w:r>
        <w:rPr>
          <w:b/>
          <w:bCs/>
          <w:color w:val="00695C"/>
          <w:sz w:val="30"/>
          <w:szCs w:val="30"/>
        </w:rPr>
        <w:t>Glossary of terms</w:t>
      </w:r>
    </w:p>
    <w:p w:rsidR="005F233D" w:rsidP="001E57B1" w:rsidRDefault="00000000" w14:paraId="061D1129" w14:textId="77777777">
      <w:pPr>
        <w:spacing w:after="160" w:line="360" w:lineRule="auto"/>
        <w:jc w:val="both"/>
      </w:pPr>
      <w:r>
        <w:rPr>
          <w:color w:val="1A1A1A"/>
          <w:sz w:val="22"/>
          <w:szCs w:val="22"/>
        </w:rPr>
        <w:t>For readers across the school who may not use these terms day to day: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33"/>
        <w:gridCol w:w="7563"/>
      </w:tblGrid>
      <w:tr w:rsidR="005F233D" w14:paraId="0C91893B" w14:textId="77777777">
        <w:tblPrEx>
          <w:tblCellMar>
            <w:top w:w="0" w:type="dxa"/>
            <w:bottom w:w="0" w:type="dxa"/>
          </w:tblCellMar>
        </w:tblPrEx>
        <w:tc>
          <w:tcPr>
            <w:tcW w:w="1100" w:type="pct"/>
            <w:shd w:val="clear" w:color="auto" w:fill="E0F2EF"/>
            <w:tcMar>
              <w:top w:w="100" w:type="dxa"/>
              <w:left w:w="120" w:type="dxa"/>
              <w:bottom w:w="100" w:type="dxa"/>
              <w:right w:w="120" w:type="dxa"/>
            </w:tcMar>
            <w:vAlign w:val="center"/>
          </w:tcPr>
          <w:p w:rsidR="005F233D" w:rsidP="001E57B1" w:rsidRDefault="00000000" w14:paraId="2428000D" w14:textId="77777777">
            <w:pPr>
              <w:spacing w:line="360" w:lineRule="auto"/>
              <w:jc w:val="both"/>
            </w:pPr>
            <w:r>
              <w:rPr>
                <w:b/>
                <w:bCs/>
                <w:color w:val="00695C"/>
              </w:rPr>
              <w:t>Local students</w:t>
            </w:r>
          </w:p>
        </w:tc>
        <w:tc>
          <w:tcPr>
            <w:tcW w:w="3900" w:type="pct"/>
            <w:shd w:val="clear" w:color="auto" w:fill="FFFFFF"/>
            <w:tcMar>
              <w:top w:w="100" w:type="dxa"/>
              <w:left w:w="120" w:type="dxa"/>
              <w:bottom w:w="100" w:type="dxa"/>
              <w:right w:w="120" w:type="dxa"/>
            </w:tcMar>
            <w:vAlign w:val="center"/>
          </w:tcPr>
          <w:p w:rsidR="005F233D" w:rsidP="001E57B1" w:rsidRDefault="00000000" w14:paraId="2D96C85E" w14:textId="77777777">
            <w:pPr>
              <w:spacing w:line="360" w:lineRule="auto"/>
              <w:jc w:val="both"/>
            </w:pPr>
            <w:r>
              <w:rPr>
                <w:color w:val="1A1A1A"/>
              </w:rPr>
              <w:t xml:space="preserve">The </w:t>
            </w:r>
            <w:proofErr w:type="spellStart"/>
            <w:r>
              <w:rPr>
                <w:color w:val="1A1A1A"/>
              </w:rPr>
              <w:t>OfS's</w:t>
            </w:r>
            <w:proofErr w:type="spellEnd"/>
            <w:r>
              <w:rPr>
                <w:color w:val="1A1A1A"/>
              </w:rPr>
              <w:t xml:space="preserve"> term (used in its Power BI dashboards) for students living and studying within the same Travel to Work Area, rather than relocating for university. Replaces looser terms such as “commuter students.”</w:t>
            </w:r>
          </w:p>
        </w:tc>
      </w:tr>
      <w:tr w:rsidR="005F233D" w14:paraId="6B902398" w14:textId="77777777">
        <w:tblPrEx>
          <w:tblCellMar>
            <w:top w:w="0" w:type="dxa"/>
            <w:bottom w:w="0" w:type="dxa"/>
          </w:tblCellMar>
        </w:tblPrEx>
        <w:tc>
          <w:tcPr>
            <w:tcW w:w="1100" w:type="pct"/>
            <w:shd w:val="clear" w:color="auto" w:fill="FFFFFF"/>
            <w:tcMar>
              <w:top w:w="100" w:type="dxa"/>
              <w:left w:w="120" w:type="dxa"/>
              <w:bottom w:w="100" w:type="dxa"/>
              <w:right w:w="120" w:type="dxa"/>
            </w:tcMar>
            <w:vAlign w:val="center"/>
          </w:tcPr>
          <w:p w:rsidR="005F233D" w:rsidP="00F116B7" w:rsidRDefault="00000000" w14:paraId="464A500F" w14:textId="77777777">
            <w:pPr>
              <w:spacing w:line="360" w:lineRule="auto"/>
            </w:pPr>
            <w:r>
              <w:rPr>
                <w:b/>
                <w:bCs/>
                <w:color w:val="00695C"/>
              </w:rPr>
              <w:t>Disadvantaged backgrounds / widening participation</w:t>
            </w:r>
          </w:p>
        </w:tc>
        <w:tc>
          <w:tcPr>
            <w:tcW w:w="3900" w:type="pct"/>
            <w:shd w:val="clear" w:color="auto" w:fill="FFFFFF"/>
            <w:tcMar>
              <w:top w:w="100" w:type="dxa"/>
              <w:left w:w="120" w:type="dxa"/>
              <w:bottom w:w="100" w:type="dxa"/>
              <w:right w:w="120" w:type="dxa"/>
            </w:tcMar>
            <w:vAlign w:val="center"/>
          </w:tcPr>
          <w:p w:rsidR="005F233D" w:rsidP="001E57B1" w:rsidRDefault="00000000" w14:paraId="2BEE2F0F" w14:textId="77777777">
            <w:pPr>
              <w:spacing w:line="360" w:lineRule="auto"/>
              <w:jc w:val="both"/>
            </w:pPr>
            <w:r>
              <w:rPr>
                <w:color w:val="1A1A1A"/>
              </w:rPr>
              <w:t xml:space="preserve">The correct sector terminology for students from lower socio-economic groups, sitting within the </w:t>
            </w:r>
            <w:proofErr w:type="spellStart"/>
            <w:r>
              <w:rPr>
                <w:color w:val="1A1A1A"/>
              </w:rPr>
              <w:t>OfS's</w:t>
            </w:r>
            <w:proofErr w:type="spellEnd"/>
            <w:r>
              <w:rPr>
                <w:color w:val="1A1A1A"/>
              </w:rPr>
              <w:t xml:space="preserve"> widening participation agenda. Preferred over informal terms referencing income directly.</w:t>
            </w:r>
          </w:p>
        </w:tc>
      </w:tr>
      <w:tr w:rsidR="005F233D" w14:paraId="0D075145" w14:textId="77777777">
        <w:tblPrEx>
          <w:tblCellMar>
            <w:top w:w="0" w:type="dxa"/>
            <w:bottom w:w="0" w:type="dxa"/>
          </w:tblCellMar>
        </w:tblPrEx>
        <w:tc>
          <w:tcPr>
            <w:tcW w:w="1100" w:type="pct"/>
            <w:shd w:val="clear" w:color="auto" w:fill="E0F2EF"/>
            <w:tcMar>
              <w:top w:w="100" w:type="dxa"/>
              <w:left w:w="120" w:type="dxa"/>
              <w:bottom w:w="100" w:type="dxa"/>
              <w:right w:w="120" w:type="dxa"/>
            </w:tcMar>
            <w:vAlign w:val="center"/>
          </w:tcPr>
          <w:p w:rsidR="005F233D" w:rsidP="001E57B1" w:rsidRDefault="00000000" w14:paraId="13B2738F" w14:textId="77777777">
            <w:pPr>
              <w:spacing w:line="360" w:lineRule="auto"/>
              <w:jc w:val="both"/>
            </w:pPr>
            <w:r>
              <w:rPr>
                <w:b/>
                <w:bCs/>
                <w:color w:val="00695C"/>
              </w:rPr>
              <w:t>IMD quintile</w:t>
            </w:r>
          </w:p>
        </w:tc>
        <w:tc>
          <w:tcPr>
            <w:tcW w:w="3900" w:type="pct"/>
            <w:shd w:val="clear" w:color="auto" w:fill="FFFFFF"/>
            <w:tcMar>
              <w:top w:w="100" w:type="dxa"/>
              <w:left w:w="120" w:type="dxa"/>
              <w:bottom w:w="100" w:type="dxa"/>
              <w:right w:w="120" w:type="dxa"/>
            </w:tcMar>
            <w:vAlign w:val="center"/>
          </w:tcPr>
          <w:p w:rsidR="005F233D" w:rsidP="001E57B1" w:rsidRDefault="00000000" w14:paraId="4007F9CF" w14:textId="77777777">
            <w:pPr>
              <w:spacing w:line="360" w:lineRule="auto"/>
              <w:jc w:val="both"/>
            </w:pPr>
            <w:r>
              <w:rPr>
                <w:color w:val="1A1A1A"/>
              </w:rPr>
              <w:t>Index of Multiple Deprivation. Categorises students by the deprivation level of their home area, Quintile 1 being most deprived. The most defensible measure of socio-economic disadvantage among the area-based measures.</w:t>
            </w:r>
          </w:p>
        </w:tc>
      </w:tr>
      <w:tr w:rsidR="005F233D" w14:paraId="1330184C" w14:textId="77777777">
        <w:tblPrEx>
          <w:tblCellMar>
            <w:top w:w="0" w:type="dxa"/>
            <w:bottom w:w="0" w:type="dxa"/>
          </w:tblCellMar>
        </w:tblPrEx>
        <w:tc>
          <w:tcPr>
            <w:tcW w:w="1100" w:type="pct"/>
            <w:shd w:val="clear" w:color="auto" w:fill="FFFFFF"/>
            <w:tcMar>
              <w:top w:w="100" w:type="dxa"/>
              <w:left w:w="120" w:type="dxa"/>
              <w:bottom w:w="100" w:type="dxa"/>
              <w:right w:w="120" w:type="dxa"/>
            </w:tcMar>
            <w:vAlign w:val="center"/>
          </w:tcPr>
          <w:p w:rsidR="005F233D" w:rsidP="001E57B1" w:rsidRDefault="00000000" w14:paraId="0989800C" w14:textId="77777777">
            <w:pPr>
              <w:spacing w:line="360" w:lineRule="auto"/>
              <w:jc w:val="both"/>
              <w:rPr>
                <w:b/>
                <w:bCs/>
                <w:color w:val="00695C"/>
              </w:rPr>
            </w:pPr>
            <w:r>
              <w:rPr>
                <w:b/>
                <w:bCs/>
                <w:color w:val="00695C"/>
              </w:rPr>
              <w:t>POLAR4 quintile</w:t>
            </w:r>
          </w:p>
          <w:p w:rsidRPr="0080763A" w:rsidR="0080763A" w:rsidP="0080763A" w:rsidRDefault="0080763A" w14:paraId="6CC57A16" w14:textId="77777777"/>
        </w:tc>
        <w:tc>
          <w:tcPr>
            <w:tcW w:w="3900" w:type="pct"/>
            <w:shd w:val="clear" w:color="auto" w:fill="FFFFFF"/>
            <w:tcMar>
              <w:top w:w="100" w:type="dxa"/>
              <w:left w:w="120" w:type="dxa"/>
              <w:bottom w:w="100" w:type="dxa"/>
              <w:right w:w="120" w:type="dxa"/>
            </w:tcMar>
            <w:vAlign w:val="center"/>
          </w:tcPr>
          <w:p w:rsidR="005F233D" w:rsidP="001E57B1" w:rsidRDefault="00000000" w14:paraId="6EE99CC5" w14:textId="77777777">
            <w:pPr>
              <w:spacing w:line="360" w:lineRule="auto"/>
              <w:jc w:val="both"/>
            </w:pPr>
            <w:r>
              <w:rPr>
                <w:color w:val="1A1A1A"/>
              </w:rPr>
              <w:t>Measures the rate of young people's participation in higher education in a local area, Quintile 1 being lowest participation. Not a measure of deprivation or income.</w:t>
            </w:r>
          </w:p>
        </w:tc>
      </w:tr>
      <w:tr w:rsidR="005F233D" w14:paraId="2B4B0166" w14:textId="77777777">
        <w:tblPrEx>
          <w:tblCellMar>
            <w:top w:w="0" w:type="dxa"/>
            <w:bottom w:w="0" w:type="dxa"/>
          </w:tblCellMar>
        </w:tblPrEx>
        <w:tc>
          <w:tcPr>
            <w:tcW w:w="1100" w:type="pct"/>
            <w:shd w:val="clear" w:color="auto" w:fill="E0F2EF"/>
            <w:tcMar>
              <w:top w:w="100" w:type="dxa"/>
              <w:left w:w="120" w:type="dxa"/>
              <w:bottom w:w="100" w:type="dxa"/>
              <w:right w:w="120" w:type="dxa"/>
            </w:tcMar>
            <w:vAlign w:val="center"/>
          </w:tcPr>
          <w:p w:rsidR="005F233D" w:rsidP="001E57B1" w:rsidRDefault="00000000" w14:paraId="3720D049" w14:textId="77777777">
            <w:pPr>
              <w:spacing w:line="360" w:lineRule="auto"/>
              <w:jc w:val="both"/>
            </w:pPr>
            <w:r>
              <w:rPr>
                <w:b/>
                <w:bCs/>
                <w:color w:val="00695C"/>
              </w:rPr>
              <w:t>TUNDRA quintile</w:t>
            </w:r>
          </w:p>
        </w:tc>
        <w:tc>
          <w:tcPr>
            <w:tcW w:w="3900" w:type="pct"/>
            <w:shd w:val="clear" w:color="auto" w:fill="FFFFFF"/>
            <w:tcMar>
              <w:top w:w="100" w:type="dxa"/>
              <w:left w:w="120" w:type="dxa"/>
              <w:bottom w:w="100" w:type="dxa"/>
              <w:right w:w="120" w:type="dxa"/>
            </w:tcMar>
            <w:vAlign w:val="center"/>
          </w:tcPr>
          <w:p w:rsidR="005F233D" w:rsidP="001E57B1" w:rsidRDefault="00000000" w14:paraId="00E34E99" w14:textId="77777777">
            <w:pPr>
              <w:spacing w:line="360" w:lineRule="auto"/>
              <w:jc w:val="both"/>
            </w:pPr>
            <w:r>
              <w:rPr>
                <w:color w:val="1A1A1A"/>
              </w:rPr>
              <w:t xml:space="preserve">A newer, England-only version of the same participation-rate logic as POLAR4, using more granular area data. Now the </w:t>
            </w:r>
            <w:proofErr w:type="spellStart"/>
            <w:r>
              <w:rPr>
                <w:color w:val="1A1A1A"/>
              </w:rPr>
              <w:t>OfS's</w:t>
            </w:r>
            <w:proofErr w:type="spellEnd"/>
            <w:r>
              <w:rPr>
                <w:color w:val="1A1A1A"/>
              </w:rPr>
              <w:t xml:space="preserve"> preferred participation measure. Not a measure of deprivation or income.</w:t>
            </w:r>
          </w:p>
        </w:tc>
      </w:tr>
    </w:tbl>
    <w:p w:rsidR="005F233D" w:rsidP="001E57B1" w:rsidRDefault="005F233D" w14:paraId="77817A46" w14:textId="77777777">
      <w:pPr>
        <w:spacing w:before="200" w:line="360" w:lineRule="auto"/>
        <w:jc w:val="both"/>
      </w:pPr>
    </w:p>
    <w:sectPr w:rsidR="005F233D">
      <w:headerReference w:type="default" r:id="rId7"/>
      <w:footerReference w:type="default" r:id="rId8"/>
      <w:pgSz w:w="11906" w:h="16838" w:orient="portrait"/>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0B4E" w:rsidRDefault="00370B4E" w14:paraId="6F4BEE51" w14:textId="77777777">
      <w:r>
        <w:separator/>
      </w:r>
    </w:p>
  </w:endnote>
  <w:endnote w:type="continuationSeparator" w:id="0">
    <w:p w:rsidR="00370B4E" w:rsidRDefault="00370B4E" w14:paraId="2F57037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233D" w:rsidRDefault="005F233D" w14:paraId="64DCBFE2" w14:textId="59A2B3C2">
    <w:pPr>
      <w:pBdr>
        <w:top w:val="single" w:color="00205B" w:sz="24" w:space="8"/>
      </w:pBdr>
      <w:tabs>
        <w:tab w:val="right" w:pos="9700"/>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0B4E" w:rsidRDefault="00370B4E" w14:paraId="5329AB76" w14:textId="77777777">
      <w:r>
        <w:separator/>
      </w:r>
    </w:p>
  </w:footnote>
  <w:footnote w:type="continuationSeparator" w:id="0">
    <w:p w:rsidR="00370B4E" w:rsidRDefault="00370B4E" w14:paraId="201B0B4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233D" w:rsidRDefault="005F233D" w14:paraId="58ED5ED8" w14:textId="7C3927B7">
    <w:pPr>
      <w:pBdr>
        <w:bottom w:val="single" w:color="2CD5C4" w:sz="24" w:space="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A6064"/>
    <w:multiLevelType w:val="hybridMultilevel"/>
    <w:tmpl w:val="260E29C4"/>
    <w:lvl w:ilvl="0" w:tplc="AF96B1D0">
      <w:start w:val="1"/>
      <w:numFmt w:val="bullet"/>
      <w:lvlText w:val="●"/>
      <w:lvlJc w:val="left"/>
      <w:pPr>
        <w:ind w:left="720" w:hanging="360"/>
      </w:pPr>
    </w:lvl>
    <w:lvl w:ilvl="1" w:tplc="EF82F294">
      <w:start w:val="1"/>
      <w:numFmt w:val="bullet"/>
      <w:lvlText w:val="○"/>
      <w:lvlJc w:val="left"/>
      <w:pPr>
        <w:ind w:left="1440" w:hanging="360"/>
      </w:pPr>
    </w:lvl>
    <w:lvl w:ilvl="2" w:tplc="A3E86F3E">
      <w:start w:val="1"/>
      <w:numFmt w:val="bullet"/>
      <w:lvlText w:val="■"/>
      <w:lvlJc w:val="left"/>
      <w:pPr>
        <w:ind w:left="2160" w:hanging="360"/>
      </w:pPr>
    </w:lvl>
    <w:lvl w:ilvl="3" w:tplc="3A0C57CE">
      <w:start w:val="1"/>
      <w:numFmt w:val="bullet"/>
      <w:lvlText w:val="●"/>
      <w:lvlJc w:val="left"/>
      <w:pPr>
        <w:ind w:left="2880" w:hanging="360"/>
      </w:pPr>
    </w:lvl>
    <w:lvl w:ilvl="4" w:tplc="F6D6275C">
      <w:start w:val="1"/>
      <w:numFmt w:val="bullet"/>
      <w:lvlText w:val="○"/>
      <w:lvlJc w:val="left"/>
      <w:pPr>
        <w:ind w:left="3600" w:hanging="360"/>
      </w:pPr>
    </w:lvl>
    <w:lvl w:ilvl="5" w:tplc="5DAE31EA">
      <w:start w:val="1"/>
      <w:numFmt w:val="bullet"/>
      <w:lvlText w:val="■"/>
      <w:lvlJc w:val="left"/>
      <w:pPr>
        <w:ind w:left="4320" w:hanging="360"/>
      </w:pPr>
    </w:lvl>
    <w:lvl w:ilvl="6" w:tplc="6750D504">
      <w:start w:val="1"/>
      <w:numFmt w:val="bullet"/>
      <w:lvlText w:val="●"/>
      <w:lvlJc w:val="left"/>
      <w:pPr>
        <w:ind w:left="5040" w:hanging="360"/>
      </w:pPr>
    </w:lvl>
    <w:lvl w:ilvl="7" w:tplc="92A698B2">
      <w:start w:val="1"/>
      <w:numFmt w:val="bullet"/>
      <w:lvlText w:val="●"/>
      <w:lvlJc w:val="left"/>
      <w:pPr>
        <w:ind w:left="5760" w:hanging="360"/>
      </w:pPr>
    </w:lvl>
    <w:lvl w:ilvl="8" w:tplc="58E01AD4">
      <w:start w:val="1"/>
      <w:numFmt w:val="bullet"/>
      <w:lvlText w:val="●"/>
      <w:lvlJc w:val="left"/>
      <w:pPr>
        <w:ind w:left="6480" w:hanging="360"/>
      </w:pPr>
    </w:lvl>
  </w:abstractNum>
  <w:num w:numId="1" w16cid:durableId="278607605">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33D"/>
    <w:rsid w:val="00000000"/>
    <w:rsid w:val="00027F99"/>
    <w:rsid w:val="00063380"/>
    <w:rsid w:val="000F2E19"/>
    <w:rsid w:val="00162AAE"/>
    <w:rsid w:val="00177E5C"/>
    <w:rsid w:val="0018014E"/>
    <w:rsid w:val="001E57B1"/>
    <w:rsid w:val="002305FC"/>
    <w:rsid w:val="002674C6"/>
    <w:rsid w:val="00294528"/>
    <w:rsid w:val="002B74CD"/>
    <w:rsid w:val="002F24D8"/>
    <w:rsid w:val="002F6E91"/>
    <w:rsid w:val="00303F8E"/>
    <w:rsid w:val="0034710D"/>
    <w:rsid w:val="0035122B"/>
    <w:rsid w:val="00370B4E"/>
    <w:rsid w:val="0040759F"/>
    <w:rsid w:val="004140F3"/>
    <w:rsid w:val="004501C3"/>
    <w:rsid w:val="00475D46"/>
    <w:rsid w:val="004955C2"/>
    <w:rsid w:val="004D50C9"/>
    <w:rsid w:val="005F233D"/>
    <w:rsid w:val="00650275"/>
    <w:rsid w:val="006B4FBB"/>
    <w:rsid w:val="006D54A0"/>
    <w:rsid w:val="006E675F"/>
    <w:rsid w:val="00705060"/>
    <w:rsid w:val="00722ACA"/>
    <w:rsid w:val="00737B82"/>
    <w:rsid w:val="00776F55"/>
    <w:rsid w:val="00786D1F"/>
    <w:rsid w:val="0080763A"/>
    <w:rsid w:val="00955BE1"/>
    <w:rsid w:val="00964BC7"/>
    <w:rsid w:val="0097077B"/>
    <w:rsid w:val="00A42E47"/>
    <w:rsid w:val="00B30780"/>
    <w:rsid w:val="00C02BC4"/>
    <w:rsid w:val="00CC6CA4"/>
    <w:rsid w:val="00D86BF1"/>
    <w:rsid w:val="00F0214C"/>
    <w:rsid w:val="00F034A9"/>
    <w:rsid w:val="00F116B7"/>
    <w:rsid w:val="1322605E"/>
    <w:rsid w:val="161B21CA"/>
    <w:rsid w:val="1DDCF49E"/>
    <w:rsid w:val="3689CDC6"/>
    <w:rsid w:val="670957F3"/>
    <w:rsid w:val="6D3781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8DAA"/>
  <w15:docId w15:val="{E926C58E-9D0C-42BB-8CA8-3EA97CAB2F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2E47"/>
    <w:pPr>
      <w:tabs>
        <w:tab w:val="center" w:pos="4513"/>
        <w:tab w:val="right" w:pos="9026"/>
      </w:tabs>
    </w:pPr>
  </w:style>
  <w:style w:type="character" w:styleId="HeaderChar" w:customStyle="1">
    <w:name w:val="Header Char"/>
    <w:basedOn w:val="DefaultParagraphFont"/>
    <w:link w:val="Header"/>
    <w:uiPriority w:val="99"/>
    <w:rsid w:val="00A42E47"/>
  </w:style>
  <w:style w:type="paragraph" w:styleId="Footer">
    <w:name w:val="footer"/>
    <w:basedOn w:val="Normal"/>
    <w:link w:val="FooterChar"/>
    <w:uiPriority w:val="99"/>
    <w:unhideWhenUsed/>
    <w:rsid w:val="00A42E47"/>
    <w:pPr>
      <w:tabs>
        <w:tab w:val="center" w:pos="4513"/>
        <w:tab w:val="right" w:pos="9026"/>
      </w:tabs>
    </w:pPr>
  </w:style>
  <w:style w:type="character" w:styleId="FooterChar" w:customStyle="1">
    <w:name w:val="Footer Char"/>
    <w:basedOn w:val="DefaultParagraphFont"/>
    <w:link w:val="Footer"/>
    <w:uiPriority w:val="99"/>
    <w:rsid w:val="00A42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D9876E64-61F4-45F4-8E55-51412BAAA68B}"/>
</file>

<file path=customXml/itemProps2.xml><?xml version="1.0" encoding="utf-8"?>
<ds:datastoreItem xmlns:ds="http://schemas.openxmlformats.org/officeDocument/2006/customXml" ds:itemID="{46014070-E516-413C-889B-EF356B20E9F0}"/>
</file>

<file path=customXml/itemProps3.xml><?xml version="1.0" encoding="utf-8"?>
<ds:datastoreItem xmlns:ds="http://schemas.openxmlformats.org/officeDocument/2006/customXml" ds:itemID="{6FA009F3-9AD0-4B02-ADA5-D6BD115551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Richardson, Lucy</lastModifiedBy>
  <revision>45</revision>
  <dcterms:created xsi:type="dcterms:W3CDTF">2026-07-01T15:36:00.0000000Z</dcterms:created>
  <dcterms:modified xsi:type="dcterms:W3CDTF">2026-07-16T12:33:49.4795573Z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