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3A4D"/>
          <w:sz w:val="40"/>
        </w:rPr>
        <w:t>AMIRIS Germany2027 - Build Documentation</w:t>
      </w:r>
    </w:p>
    <w:p>
      <w:pPr>
        <w:spacing w:after="80"/>
      </w:pPr>
      <w:r>
        <w:rPr>
          <w:rFonts w:ascii="Calibri" w:hAnsi="Calibri"/>
          <w:b w:val="0"/>
          <w:i/>
          <w:color w:val="555B58"/>
          <w:sz w:val="22"/>
        </w:rPr>
        <w:t>Every input's origin and validation, and the full record of what was copied, edited, or newly written across every YAML file</w:t>
      </w:r>
    </w:p>
    <w:p>
      <w:pPr>
        <w:spacing w:after="200"/>
      </w:pPr>
      <w:r>
        <w:rPr>
          <w:rFonts w:ascii="Calibri" w:hAnsi="Calibri"/>
          <w:b w:val="0"/>
          <w:i w:val="0"/>
          <w:color w:val="555B58"/>
          <w:sz w:val="18"/>
        </w:rPr>
        <w:t>Muideen Oladayo Ajiboye  |  13 August 2026</w:t>
      </w:r>
    </w:p>
    <w:p>
      <w:pPr>
        <w:spacing w:after="200"/>
        <w:pBdr>
          <w:bottom w:val="single" w:sz="16" w:space="1" w:color="1F3A4D"/>
        </w:pBdr>
      </w:pPr>
    </w:p>
    <w:p>
      <w:pPr>
        <w:spacing w:after="160"/>
      </w:pPr>
      <w:r>
        <w:rPr>
          <w:rFonts w:ascii="Calibri" w:hAnsi="Calibri"/>
          <w:b w:val="0"/>
          <w:i w:val="0"/>
          <w:color w:val="141816"/>
          <w:sz w:val="20"/>
        </w:rPr>
        <w:t>Parts 1-6 cover the first built version of the Germany2027 scenario: no cross-border trade (gap #5, assumed zero), and a single BDEW-for-everything demand profile (V1). Parts 7-9 extend this with the two later builds: the component-split demand profile (V2) and the with-import cross-border variant, and give the full four-way comparison across every combination now built (V1/V2 demand x no-import/with-import).</w:t>
      </w:r>
    </w:p>
    <w:p>
      <w:pPr>
        <w:spacing w:before="320" w:after="120"/>
        <w:pBdr>
          <w:bottom w:val="single" w:sz="8" w:space="4" w:color="1F3A4D"/>
        </w:pBdr>
      </w:pPr>
      <w:r>
        <w:rPr>
          <w:rFonts w:ascii="Calibri" w:hAnsi="Calibri"/>
          <w:b/>
          <w:i w:val="0"/>
          <w:color w:val="1F3A4D"/>
          <w:sz w:val="30"/>
        </w:rPr>
        <w:t>How to Read the Source Labels Used Throughout</w:t>
      </w:r>
    </w:p>
    <w:tbl>
      <w:tblPr>
        <w:tblStyle w:val="TableGrid"/>
        <w:tblW w:type="auto" w:w="0"/>
        <w:jc w:val="left"/>
        <w:tblLayout w:type="fixed"/>
        <w:tblLook w:firstColumn="1" w:firstRow="1" w:lastColumn="0" w:lastRow="0" w:noHBand="0" w:noVBand="1" w:val="04A0"/>
      </w:tblPr>
      <w:tblGrid>
        <w:gridCol w:w="2381"/>
        <w:gridCol w:w="7143"/>
      </w:tblGrid>
      <w:tr>
        <w:tc>
          <w:tcPr>
            <w:tcW w:type="dxa" w:w="2381"/>
            <w:shd w:val="clear" w:color="auto" w:fill="1F3A4D"/>
          </w:tcPr>
          <w:p>
            <w:pPr>
              <w:spacing w:after="40" w:before="40"/>
            </w:pPr>
            <w:r/>
            <w:r>
              <w:rPr>
                <w:rFonts w:ascii="Calibri" w:hAnsi="Calibri"/>
                <w:b/>
                <w:i w:val="0"/>
                <w:color w:val="FFFFFF"/>
                <w:sz w:val="17"/>
              </w:rPr>
              <w:t>Label</w:t>
            </w:r>
          </w:p>
        </w:tc>
        <w:tc>
          <w:tcPr>
            <w:tcW w:type="dxa" w:w="7143"/>
            <w:shd w:val="clear" w:color="auto" w:fill="1F3A4D"/>
          </w:tcPr>
          <w:p>
            <w:pPr>
              <w:spacing w:after="40" w:before="40"/>
            </w:pPr>
            <w:r/>
            <w:r>
              <w:rPr>
                <w:rFonts w:ascii="Calibri" w:hAnsi="Calibri"/>
                <w:b/>
                <w:i w:val="0"/>
                <w:color w:val="FFFFFF"/>
                <w:sz w:val="17"/>
              </w:rPr>
              <w:t>Meaning</w:t>
            </w:r>
          </w:p>
        </w:tc>
      </w:tr>
      <w:tr>
        <w:tc>
          <w:tcPr>
            <w:tcW w:type="dxa" w:w="2381"/>
          </w:tcPr>
          <w:p>
            <w:pPr>
              <w:spacing w:after="40" w:before="40"/>
            </w:pPr>
            <w:r/>
            <w:r>
              <w:rPr>
                <w:rFonts w:ascii="Calibri" w:hAnsi="Calibri"/>
                <w:b/>
                <w:i w:val="0"/>
                <w:color w:val="1F3A4D"/>
                <w:sz w:val="17"/>
              </w:rPr>
              <w:t>Brainpool (direct)</w:t>
            </w:r>
          </w:p>
        </w:tc>
        <w:tc>
          <w:tcPr>
            <w:tcW w:type="dxa" w:w="7143"/>
          </w:tcPr>
          <w:p>
            <w:pPr>
              <w:spacing w:after="40" w:before="40"/>
            </w:pPr>
            <w:r/>
            <w:r>
              <w:rPr>
                <w:rFonts w:ascii="Calibri" w:hAnsi="Calibri"/>
                <w:b w:val="0"/>
                <w:i w:val="0"/>
                <w:sz w:val="17"/>
              </w:rPr>
              <w:t>Value taken straight from Amiris_Inputdata_EN.xlsx with no conversion.</w:t>
            </w:r>
          </w:p>
        </w:tc>
      </w:tr>
      <w:tr>
        <w:tc>
          <w:tcPr>
            <w:tcW w:type="dxa" w:w="2381"/>
          </w:tcPr>
          <w:p>
            <w:pPr>
              <w:spacing w:after="40" w:before="40"/>
            </w:pPr>
            <w:r/>
            <w:r>
              <w:rPr>
                <w:rFonts w:ascii="Calibri" w:hAnsi="Calibri"/>
                <w:b/>
                <w:i w:val="0"/>
                <w:color w:val="1F3A4D"/>
                <w:sz w:val="17"/>
              </w:rPr>
              <w:t>Brainpool (converted)</w:t>
            </w:r>
          </w:p>
        </w:tc>
        <w:tc>
          <w:tcPr>
            <w:tcW w:type="dxa" w:w="7143"/>
          </w:tcPr>
          <w:p>
            <w:pPr>
              <w:spacing w:after="40" w:before="40"/>
            </w:pPr>
            <w:r/>
            <w:r>
              <w:rPr>
                <w:rFonts w:ascii="Calibri" w:hAnsi="Calibri"/>
                <w:b w:val="0"/>
                <w:i w:val="0"/>
                <w:sz w:val="17"/>
              </w:rPr>
              <w:t>Value taken from Brainpool's data but transformed - unit conversion, regional averaging, or capacity-weighted blending - before use.</w:t>
            </w:r>
          </w:p>
        </w:tc>
      </w:tr>
      <w:tr>
        <w:tc>
          <w:tcPr>
            <w:tcW w:type="dxa" w:w="2381"/>
          </w:tcPr>
          <w:p>
            <w:pPr>
              <w:spacing w:after="40" w:before="40"/>
            </w:pPr>
            <w:r/>
            <w:r>
              <w:rPr>
                <w:rFonts w:ascii="Calibri" w:hAnsi="Calibri"/>
                <w:b/>
                <w:i w:val="0"/>
                <w:color w:val="1F3A4D"/>
                <w:sz w:val="17"/>
              </w:rPr>
              <w:t>AMIRIS own</w:t>
            </w:r>
          </w:p>
        </w:tc>
        <w:tc>
          <w:tcPr>
            <w:tcW w:type="dxa" w:w="7143"/>
          </w:tcPr>
          <w:p>
            <w:pPr>
              <w:spacing w:after="40" w:before="40"/>
            </w:pPr>
            <w:r/>
            <w:r>
              <w:rPr>
                <w:rFonts w:ascii="Calibri" w:hAnsi="Calibri"/>
                <w:b w:val="0"/>
                <w:i w:val="0"/>
                <w:sz w:val="17"/>
              </w:rPr>
              <w:t>Brainpool supplied nothing for this field. AMIRIS's own validated Germany2019 example scenario value was reused as the gap-fill.</w:t>
            </w:r>
          </w:p>
        </w:tc>
      </w:tr>
      <w:tr>
        <w:tc>
          <w:tcPr>
            <w:tcW w:type="dxa" w:w="2381"/>
          </w:tcPr>
          <w:p>
            <w:pPr>
              <w:spacing w:after="40" w:before="40"/>
            </w:pPr>
            <w:r/>
            <w:r>
              <w:rPr>
                <w:rFonts w:ascii="Calibri" w:hAnsi="Calibri"/>
                <w:b/>
                <w:i w:val="0"/>
                <w:color w:val="1F3A4D"/>
                <w:sz w:val="17"/>
              </w:rPr>
              <w:t>Researched (external)</w:t>
            </w:r>
          </w:p>
        </w:tc>
        <w:tc>
          <w:tcPr>
            <w:tcW w:type="dxa" w:w="7143"/>
          </w:tcPr>
          <w:p>
            <w:pPr>
              <w:spacing w:after="40" w:before="40"/>
            </w:pPr>
            <w:r/>
            <w:r>
              <w:rPr>
                <w:rFonts w:ascii="Calibri" w:hAnsi="Calibri"/>
                <w:b w:val="0"/>
                <w:i w:val="0"/>
                <w:sz w:val="17"/>
              </w:rPr>
              <w:t>Neither Brainpool nor AMIRIS's own data covered this. A real external source was looked up (EEG/BNetzA auction rates, MaStR battery statistics, renewables.ninja cross-check).</w:t>
            </w:r>
          </w:p>
        </w:tc>
      </w:tr>
      <w:tr>
        <w:tc>
          <w:tcPr>
            <w:tcW w:type="dxa" w:w="2381"/>
          </w:tcPr>
          <w:p>
            <w:pPr>
              <w:spacing w:after="40" w:before="40"/>
            </w:pPr>
            <w:r/>
            <w:r>
              <w:rPr>
                <w:rFonts w:ascii="Calibri" w:hAnsi="Calibri"/>
                <w:b/>
                <w:i w:val="0"/>
                <w:color w:val="1F3A4D"/>
                <w:sz w:val="17"/>
              </w:rPr>
              <w:t>Placeholder (flagged gap)</w:t>
            </w:r>
          </w:p>
        </w:tc>
        <w:tc>
          <w:tcPr>
            <w:tcW w:type="dxa" w:w="7143"/>
          </w:tcPr>
          <w:p>
            <w:pPr>
              <w:spacing w:after="40" w:before="40"/>
            </w:pPr>
            <w:r/>
            <w:r>
              <w:rPr>
                <w:rFonts w:ascii="Calibri" w:hAnsi="Calibri"/>
                <w:b w:val="0"/>
                <w:i w:val="0"/>
                <w:sz w:val="17"/>
              </w:rPr>
              <w:t>No real figure exists anywhere yet (confirmed by research, not assumed). AMIRIS's own example value used as the least-bad stand-in.</w:t>
            </w:r>
          </w:p>
        </w:tc>
      </w:tr>
    </w:tbl>
    <w:p>
      <w:pPr>
        <w:spacing w:after="80"/>
      </w:pPr>
    </w:p>
    <w:p>
      <w:pPr>
        <w:spacing w:before="320" w:after="120"/>
        <w:pBdr>
          <w:bottom w:val="single" w:sz="8" w:space="4" w:color="1F3A4D"/>
        </w:pBdr>
      </w:pPr>
      <w:r>
        <w:rPr>
          <w:rFonts w:ascii="Calibri" w:hAnsi="Calibri"/>
          <w:b/>
          <w:i w:val="0"/>
          <w:color w:val="1F3A4D"/>
          <w:sz w:val="30"/>
        </w:rPr>
        <w:t>Part 1 - Timeseries Inputs (the timeseries/ folder)</w:t>
      </w:r>
    </w:p>
    <w:p>
      <w:pPr>
        <w:spacing w:before="200" w:after="80"/>
      </w:pPr>
      <w:r>
        <w:rPr>
          <w:rFonts w:ascii="Calibri" w:hAnsi="Calibri"/>
          <w:b/>
          <w:i w:val="0"/>
          <w:color w:val="A5691F"/>
          <w:sz w:val="22"/>
        </w:rPr>
        <w:t>A. Fuel and carbon prices, worked example: hard coal</w:t>
      </w:r>
    </w:p>
    <w:p>
      <w:pPr>
        <w:spacing w:after="160"/>
      </w:pPr>
      <w:r>
        <w:rPr>
          <w:rFonts w:ascii="Calibri" w:hAnsi="Calibri"/>
          <w:b w:val="0"/>
          <w:i w:val="0"/>
          <w:color w:val="141816"/>
          <w:sz w:val="20"/>
        </w:rPr>
        <w:t>The chart below demonstrates the conversion pipeline end to end for hard coal - Brainpool's raw monthly USD/tonne series (top) transformed into the EUR/MWh(thermal) series actually written into hard_coal_price.csv (bottom), using the formula: EUR/MWh = (USD/tonne ÷ that month's USD-per-EUR exchange rate) ÷ 8.141 MWh/tonne (the standard hard-coal calorific equivalent, ~29.3 GJ/t). January 2027: 90.90 USD/t at a rate of 1.1794 USD/EUR converts to 9.47 EUR/MWh.</w:t>
      </w:r>
    </w:p>
    <w:p>
      <w:r>
        <w:drawing>
          <wp:inline xmlns:a="http://schemas.openxmlformats.org/drawingml/2006/main" xmlns:pic="http://schemas.openxmlformats.org/drawingml/2006/picture">
            <wp:extent cx="5580000" cy="4612800"/>
            <wp:docPr id="1" name="Picture 1"/>
            <wp:cNvGraphicFramePr>
              <a:graphicFrameLocks noChangeAspect="1"/>
            </wp:cNvGraphicFramePr>
            <a:graphic>
              <a:graphicData uri="http://schemas.openxmlformats.org/drawingml/2006/picture">
                <pic:pic>
                  <pic:nvPicPr>
                    <pic:cNvPr id="0" name="hard_coal_conversion_chart.png"/>
                    <pic:cNvPicPr/>
                  </pic:nvPicPr>
                  <pic:blipFill>
                    <a:blip r:embed="rId9"/>
                    <a:stretch>
                      <a:fillRect/>
                    </a:stretch>
                  </pic:blipFill>
                  <pic:spPr>
                    <a:xfrm>
                      <a:off x="0" y="0"/>
                      <a:ext cx="5580000" cy="4612800"/>
                    </a:xfrm>
                    <a:prstGeom prst="rect"/>
                  </pic:spPr>
                </pic:pic>
              </a:graphicData>
            </a:graphic>
          </wp:inline>
        </w:drawing>
      </w:r>
    </w:p>
    <w:p>
      <w:pPr>
        <w:spacing w:after="120"/>
      </w:pPr>
    </w:p>
    <w:tbl>
      <w:tblPr>
        <w:tblStyle w:val="TableGrid"/>
        <w:tblW w:type="auto" w:w="0"/>
        <w:jc w:val="left"/>
        <w:tblLayout w:type="fixed"/>
        <w:tblLook w:firstColumn="1" w:firstRow="1" w:lastColumn="0" w:lastRow="0" w:noHBand="0" w:noVBand="1" w:val="04A0"/>
      </w:tblPr>
      <w:tblGrid>
        <w:gridCol w:w="2268"/>
        <w:gridCol w:w="1928"/>
        <w:gridCol w:w="5329"/>
      </w:tblGrid>
      <w:tr>
        <w:tc>
          <w:tcPr>
            <w:tcW w:type="dxa" w:w="2268"/>
            <w:shd w:val="clear" w:color="auto" w:fill="1F3A4D"/>
          </w:tcPr>
          <w:p>
            <w:pPr>
              <w:spacing w:after="40" w:before="40"/>
            </w:pPr>
            <w:r/>
            <w:r>
              <w:rPr>
                <w:rFonts w:ascii="Calibri" w:hAnsi="Calibri"/>
                <w:b/>
                <w:i w:val="0"/>
                <w:color w:val="FFFFFF"/>
                <w:sz w:val="17"/>
              </w:rPr>
              <w:t>File</w:t>
            </w:r>
          </w:p>
        </w:tc>
        <w:tc>
          <w:tcPr>
            <w:tcW w:type="dxa" w:w="1928"/>
            <w:shd w:val="clear" w:color="auto" w:fill="1F3A4D"/>
          </w:tcPr>
          <w:p>
            <w:pPr>
              <w:spacing w:after="40" w:before="40"/>
            </w:pPr>
            <w:r/>
            <w:r>
              <w:rPr>
                <w:rFonts w:ascii="Calibri" w:hAnsi="Calibri"/>
                <w:b/>
                <w:i w:val="0"/>
                <w:color w:val="FFFFFF"/>
                <w:sz w:val="17"/>
              </w:rPr>
              <w:t>Source</w:t>
            </w:r>
          </w:p>
        </w:tc>
        <w:tc>
          <w:tcPr>
            <w:tcW w:type="dxa" w:w="5329"/>
            <w:shd w:val="clear" w:color="auto" w:fill="1F3A4D"/>
          </w:tcPr>
          <w:p>
            <w:pPr>
              <w:spacing w:after="40" w:before="40"/>
            </w:pPr>
            <w:r/>
            <w:r>
              <w:rPr>
                <w:rFonts w:ascii="Calibri" w:hAnsi="Calibri"/>
                <w:b/>
                <w:i w:val="0"/>
                <w:color w:val="FFFFFF"/>
                <w:sz w:val="17"/>
              </w:rPr>
              <w:t>Method</w:t>
            </w:r>
          </w:p>
        </w:tc>
      </w:tr>
      <w:tr>
        <w:tc>
          <w:tcPr>
            <w:tcW w:type="dxa" w:w="2268"/>
          </w:tcPr>
          <w:p>
            <w:pPr>
              <w:spacing w:after="40" w:before="40"/>
            </w:pPr>
            <w:r/>
            <w:r>
              <w:rPr>
                <w:rFonts w:ascii="Calibri" w:hAnsi="Calibri"/>
                <w:b/>
                <w:i w:val="0"/>
                <w:color w:val="1F3A4D"/>
                <w:sz w:val="17"/>
              </w:rPr>
              <w:t>hard_coal_price.csv</w:t>
            </w:r>
          </w:p>
        </w:tc>
        <w:tc>
          <w:tcPr>
            <w:tcW w:type="dxa" w:w="1928"/>
          </w:tcPr>
          <w:p>
            <w:pPr>
              <w:spacing w:after="40" w:before="40"/>
            </w:pPr>
            <w:r/>
            <w:r>
              <w:rPr>
                <w:rFonts w:ascii="Calibri" w:hAnsi="Calibri"/>
                <w:b w:val="0"/>
                <w:i w:val="0"/>
                <w:sz w:val="17"/>
              </w:rPr>
              <w:t>Brainpool (converted)</w:t>
            </w:r>
          </w:p>
        </w:tc>
        <w:tc>
          <w:tcPr>
            <w:tcW w:type="dxa" w:w="5329"/>
          </w:tcPr>
          <w:p>
            <w:pPr>
              <w:spacing w:after="40" w:before="40"/>
            </w:pPr>
            <w:r/>
            <w:r>
              <w:rPr>
                <w:rFonts w:ascii="Calibri" w:hAnsi="Calibri"/>
                <w:b w:val="0"/>
                <w:i w:val="0"/>
                <w:sz w:val="17"/>
              </w:rPr>
              <w:t>See worked example above.</w:t>
            </w:r>
          </w:p>
        </w:tc>
      </w:tr>
      <w:tr>
        <w:tc>
          <w:tcPr>
            <w:tcW w:type="dxa" w:w="2268"/>
          </w:tcPr>
          <w:p>
            <w:pPr>
              <w:spacing w:after="40" w:before="40"/>
            </w:pPr>
            <w:r/>
            <w:r>
              <w:rPr>
                <w:rFonts w:ascii="Calibri" w:hAnsi="Calibri"/>
                <w:b/>
                <w:i w:val="0"/>
                <w:color w:val="1F3A4D"/>
                <w:sz w:val="17"/>
              </w:rPr>
              <w:t>oil_price.csv</w:t>
            </w:r>
          </w:p>
        </w:tc>
        <w:tc>
          <w:tcPr>
            <w:tcW w:type="dxa" w:w="1928"/>
          </w:tcPr>
          <w:p>
            <w:pPr>
              <w:spacing w:after="40" w:before="40"/>
            </w:pPr>
            <w:r/>
            <w:r>
              <w:rPr>
                <w:rFonts w:ascii="Calibri" w:hAnsi="Calibri"/>
                <w:b w:val="0"/>
                <w:i w:val="0"/>
                <w:sz w:val="17"/>
              </w:rPr>
              <w:t>Brainpool (converted)</w:t>
            </w:r>
          </w:p>
        </w:tc>
        <w:tc>
          <w:tcPr>
            <w:tcW w:type="dxa" w:w="5329"/>
          </w:tcPr>
          <w:p>
            <w:pPr>
              <w:spacing w:after="40" w:before="40"/>
            </w:pPr>
            <w:r/>
            <w:r>
              <w:rPr>
                <w:rFonts w:ascii="Calibri" w:hAnsi="Calibri"/>
                <w:b w:val="0"/>
                <w:i w:val="0"/>
                <w:sz w:val="17"/>
              </w:rPr>
              <w:t>Same method: USD/barrel ÷ USD/EUR rate ÷ 1.70 MWh/barrel (~5.8 MMBtu/barrel, standard Brent equivalent).</w:t>
            </w:r>
          </w:p>
        </w:tc>
      </w:tr>
      <w:tr>
        <w:tc>
          <w:tcPr>
            <w:tcW w:type="dxa" w:w="2268"/>
          </w:tcPr>
          <w:p>
            <w:pPr>
              <w:spacing w:after="40" w:before="40"/>
            </w:pPr>
            <w:r/>
            <w:r>
              <w:rPr>
                <w:rFonts w:ascii="Calibri" w:hAnsi="Calibri"/>
                <w:b/>
                <w:i w:val="0"/>
                <w:color w:val="1F3A4D"/>
                <w:sz w:val="17"/>
              </w:rPr>
              <w:t>natural_gas_price.csv</w:t>
            </w:r>
          </w:p>
        </w:tc>
        <w:tc>
          <w:tcPr>
            <w:tcW w:type="dxa" w:w="1928"/>
          </w:tcPr>
          <w:p>
            <w:pPr>
              <w:spacing w:after="40" w:before="40"/>
            </w:pPr>
            <w:r/>
            <w:r>
              <w:rPr>
                <w:rFonts w:ascii="Calibri" w:hAnsi="Calibri"/>
                <w:b w:val="0"/>
                <w:i w:val="0"/>
                <w:sz w:val="17"/>
              </w:rPr>
              <w:t>Brainpool (direct)</w:t>
            </w:r>
          </w:p>
        </w:tc>
        <w:tc>
          <w:tcPr>
            <w:tcW w:type="dxa" w:w="5329"/>
          </w:tcPr>
          <w:p>
            <w:pPr>
              <w:spacing w:after="40" w:before="40"/>
            </w:pPr>
            <w:r/>
            <w:r>
              <w:rPr>
                <w:rFonts w:ascii="Calibri" w:hAnsi="Calibri"/>
                <w:b w:val="0"/>
                <w:i w:val="0"/>
                <w:sz w:val="17"/>
              </w:rPr>
              <w:t>'Natural Gas Germany [EUR/MWh]' column used as-is - already the correct unit.</w:t>
            </w:r>
          </w:p>
        </w:tc>
      </w:tr>
      <w:tr>
        <w:tc>
          <w:tcPr>
            <w:tcW w:type="dxa" w:w="2268"/>
          </w:tcPr>
          <w:p>
            <w:pPr>
              <w:spacing w:after="40" w:before="40"/>
            </w:pPr>
            <w:r/>
            <w:r>
              <w:rPr>
                <w:rFonts w:ascii="Calibri" w:hAnsi="Calibri"/>
                <w:b/>
                <w:i w:val="0"/>
                <w:color w:val="1F3A4D"/>
                <w:sz w:val="17"/>
              </w:rPr>
              <w:t>co2_price.csv</w:t>
            </w:r>
          </w:p>
        </w:tc>
        <w:tc>
          <w:tcPr>
            <w:tcW w:type="dxa" w:w="1928"/>
          </w:tcPr>
          <w:p>
            <w:pPr>
              <w:spacing w:after="40" w:before="40"/>
            </w:pPr>
            <w:r/>
            <w:r>
              <w:rPr>
                <w:rFonts w:ascii="Calibri" w:hAnsi="Calibri"/>
                <w:b w:val="0"/>
                <w:i w:val="0"/>
                <w:sz w:val="17"/>
              </w:rPr>
              <w:t>Brainpool (direct)</w:t>
            </w:r>
          </w:p>
        </w:tc>
        <w:tc>
          <w:tcPr>
            <w:tcW w:type="dxa" w:w="5329"/>
          </w:tcPr>
          <w:p>
            <w:pPr>
              <w:spacing w:after="40" w:before="40"/>
            </w:pPr>
            <w:r/>
            <w:r>
              <w:rPr>
                <w:rFonts w:ascii="Calibri" w:hAnsi="Calibri"/>
                <w:b w:val="0"/>
                <w:i w:val="0"/>
                <w:sz w:val="17"/>
              </w:rPr>
              <w:t>'EUA - EU Emission Allowance [EUR/tCO2]' column used as-is.</w:t>
            </w:r>
          </w:p>
        </w:tc>
      </w:tr>
      <w:tr>
        <w:tc>
          <w:tcPr>
            <w:tcW w:type="dxa" w:w="2268"/>
          </w:tcPr>
          <w:p>
            <w:pPr>
              <w:spacing w:after="40" w:before="40"/>
            </w:pPr>
            <w:r/>
            <w:r>
              <w:rPr>
                <w:rFonts w:ascii="Calibri" w:hAnsi="Calibri"/>
                <w:b/>
                <w:i w:val="0"/>
                <w:color w:val="1F3A4D"/>
                <w:sz w:val="17"/>
              </w:rPr>
              <w:t>Lignite fuel price</w:t>
            </w:r>
          </w:p>
        </w:tc>
        <w:tc>
          <w:tcPr>
            <w:tcW w:type="dxa" w:w="1928"/>
          </w:tcPr>
          <w:p>
            <w:pPr>
              <w:spacing w:after="40" w:before="40"/>
            </w:pPr>
            <w:r/>
            <w:r>
              <w:rPr>
                <w:rFonts w:ascii="Calibri" w:hAnsi="Calibri"/>
                <w:b w:val="0"/>
                <w:i w:val="0"/>
                <w:sz w:val="17"/>
              </w:rPr>
              <w:t>AMIRIS own</w:t>
            </w:r>
          </w:p>
        </w:tc>
        <w:tc>
          <w:tcPr>
            <w:tcW w:type="dxa" w:w="5329"/>
          </w:tcPr>
          <w:p>
            <w:pPr>
              <w:spacing w:after="40" w:before="40"/>
            </w:pPr>
            <w:r/>
            <w:r>
              <w:rPr>
                <w:rFonts w:ascii="Calibri" w:hAnsi="Calibri"/>
                <w:b w:val="0"/>
                <w:i w:val="0"/>
                <w:sz w:val="17"/>
              </w:rPr>
              <w:t>Flat 5.00 EUR/MWh. Brainpool has no lignite series - realistic, since lignite is domestically mined, not internationally traded.</w:t>
            </w:r>
          </w:p>
        </w:tc>
      </w:tr>
      <w:tr>
        <w:tc>
          <w:tcPr>
            <w:tcW w:type="dxa" w:w="2268"/>
          </w:tcPr>
          <w:p>
            <w:pPr>
              <w:spacing w:after="40" w:before="40"/>
            </w:pPr>
            <w:r/>
            <w:r>
              <w:rPr>
                <w:rFonts w:ascii="Calibri" w:hAnsi="Calibri"/>
                <w:b/>
                <w:i w:val="0"/>
                <w:color w:val="1F3A4D"/>
                <w:sz w:val="17"/>
              </w:rPr>
              <w:t>Nuclear fuel price</w:t>
            </w:r>
          </w:p>
        </w:tc>
        <w:tc>
          <w:tcPr>
            <w:tcW w:type="dxa" w:w="1928"/>
          </w:tcPr>
          <w:p>
            <w:pPr>
              <w:spacing w:after="40" w:before="40"/>
            </w:pPr>
            <w:r/>
            <w:r>
              <w:rPr>
                <w:rFonts w:ascii="Calibri" w:hAnsi="Calibri"/>
                <w:b w:val="0"/>
                <w:i w:val="0"/>
                <w:sz w:val="17"/>
              </w:rPr>
              <w:t>N/A</w:t>
            </w:r>
          </w:p>
        </w:tc>
        <w:tc>
          <w:tcPr>
            <w:tcW w:type="dxa" w:w="5329"/>
          </w:tcPr>
          <w:p>
            <w:pPr>
              <w:spacing w:after="40" w:before="40"/>
            </w:pPr>
            <w:r/>
            <w:r>
              <w:rPr>
                <w:rFonts w:ascii="Calibri" w:hAnsi="Calibri"/>
                <w:b w:val="0"/>
                <w:i w:val="0"/>
                <w:sz w:val="17"/>
              </w:rPr>
              <w:t>Omitted - 0 GW capacity (post phase-out).</w:t>
            </w:r>
          </w:p>
        </w:tc>
      </w:tr>
    </w:tbl>
    <w:p>
      <w:pPr>
        <w:spacing w:after="80"/>
      </w:pPr>
    </w:p>
    <w:p>
      <w:pPr>
        <w:spacing w:before="200" w:after="80"/>
      </w:pPr>
      <w:r>
        <w:rPr>
          <w:rFonts w:ascii="Calibri" w:hAnsi="Calibri"/>
          <w:b/>
          <w:i w:val="0"/>
          <w:color w:val="A5691F"/>
          <w:sz w:val="22"/>
        </w:rPr>
        <w:t>B. Outage and must-run factors</w:t>
      </w:r>
    </w:p>
    <w:tbl>
      <w:tblPr>
        <w:tblStyle w:val="TableGrid"/>
        <w:tblW w:type="auto" w:w="0"/>
        <w:jc w:val="left"/>
        <w:tblLayout w:type="fixed"/>
        <w:tblLook w:firstColumn="1" w:firstRow="1" w:lastColumn="0" w:lastRow="0" w:noHBand="0" w:noVBand="1" w:val="04A0"/>
      </w:tblPr>
      <w:tblGrid>
        <w:gridCol w:w="3402"/>
        <w:gridCol w:w="1701"/>
        <w:gridCol w:w="4422"/>
      </w:tblGrid>
      <w:tr>
        <w:tc>
          <w:tcPr>
            <w:tcW w:type="dxa" w:w="3402"/>
            <w:shd w:val="clear" w:color="auto" w:fill="1F3A4D"/>
          </w:tcPr>
          <w:p>
            <w:pPr>
              <w:spacing w:after="40" w:before="40"/>
            </w:pPr>
            <w:r/>
            <w:r>
              <w:rPr>
                <w:rFonts w:ascii="Calibri" w:hAnsi="Calibri"/>
                <w:b/>
                <w:i w:val="0"/>
                <w:color w:val="FFFFFF"/>
                <w:sz w:val="17"/>
              </w:rPr>
              <w:t>Files</w:t>
            </w:r>
          </w:p>
        </w:tc>
        <w:tc>
          <w:tcPr>
            <w:tcW w:type="dxa" w:w="1701"/>
            <w:shd w:val="clear" w:color="auto" w:fill="1F3A4D"/>
          </w:tcPr>
          <w:p>
            <w:pPr>
              <w:spacing w:after="40" w:before="40"/>
            </w:pPr>
            <w:r/>
            <w:r>
              <w:rPr>
                <w:rFonts w:ascii="Calibri" w:hAnsi="Calibri"/>
                <w:b/>
                <w:i w:val="0"/>
                <w:color w:val="FFFFFF"/>
                <w:sz w:val="17"/>
              </w:rPr>
              <w:t>Source</w:t>
            </w:r>
          </w:p>
        </w:tc>
        <w:tc>
          <w:tcPr>
            <w:tcW w:type="dxa" w:w="4422"/>
            <w:shd w:val="clear" w:color="auto" w:fill="1F3A4D"/>
          </w:tcPr>
          <w:p>
            <w:pPr>
              <w:spacing w:after="40" w:before="40"/>
            </w:pPr>
            <w:r/>
            <w:r>
              <w:rPr>
                <w:rFonts w:ascii="Calibri" w:hAnsi="Calibri"/>
                <w:b/>
                <w:i w:val="0"/>
                <w:color w:val="FFFFFF"/>
                <w:sz w:val="17"/>
              </w:rPr>
              <w:t>Method</w:t>
            </w:r>
          </w:p>
        </w:tc>
      </w:tr>
      <w:tr>
        <w:tc>
          <w:tcPr>
            <w:tcW w:type="dxa" w:w="3402"/>
          </w:tcPr>
          <w:p>
            <w:pPr>
              <w:spacing w:after="40" w:before="40"/>
            </w:pPr>
            <w:r/>
            <w:r>
              <w:rPr>
                <w:rFonts w:ascii="Calibri" w:hAnsi="Calibri"/>
                <w:b/>
                <w:i w:val="0"/>
                <w:color w:val="1F3A4D"/>
                <w:sz w:val="17"/>
              </w:rPr>
              <w:t>lignite/hard_coal/natural_gas _outage.csv, _must_run.csv</w:t>
            </w:r>
          </w:p>
        </w:tc>
        <w:tc>
          <w:tcPr>
            <w:tcW w:type="dxa" w:w="1701"/>
          </w:tcPr>
          <w:p>
            <w:pPr>
              <w:spacing w:after="40" w:before="40"/>
            </w:pPr>
            <w:r/>
            <w:r>
              <w:rPr>
                <w:rFonts w:ascii="Calibri" w:hAnsi="Calibri"/>
                <w:b w:val="0"/>
                <w:i w:val="0"/>
                <w:sz w:val="17"/>
              </w:rPr>
              <w:t>AMIRIS own</w:t>
            </w:r>
          </w:p>
        </w:tc>
        <w:tc>
          <w:tcPr>
            <w:tcW w:type="dxa" w:w="4422"/>
          </w:tcPr>
          <w:p>
            <w:pPr>
              <w:spacing w:after="40" w:before="40"/>
            </w:pPr>
            <w:r/>
            <w:r>
              <w:rPr>
                <w:rFonts w:ascii="Calibri" w:hAnsi="Calibri"/>
                <w:b w:val="0"/>
                <w:i w:val="0"/>
                <w:sz w:val="17"/>
              </w:rPr>
              <w:t>Brainpool supplies no outage data. AMIRIS's own validated 2015-2019 files reused, calendar years shifted to 2027/2028/2029, values and month/day/time untouched.</w:t>
            </w:r>
          </w:p>
        </w:tc>
      </w:tr>
      <w:tr>
        <w:tc>
          <w:tcPr>
            <w:tcW w:type="dxa" w:w="3402"/>
          </w:tcPr>
          <w:p>
            <w:pPr>
              <w:spacing w:after="40" w:before="40"/>
            </w:pPr>
            <w:r/>
            <w:r>
              <w:rPr>
                <w:rFonts w:ascii="Calibri" w:hAnsi="Calibri"/>
                <w:b/>
                <w:i w:val="0"/>
                <w:color w:val="1F3A4D"/>
                <w:sz w:val="17"/>
              </w:rPr>
              <w:t>Oil outage</w:t>
            </w:r>
          </w:p>
        </w:tc>
        <w:tc>
          <w:tcPr>
            <w:tcW w:type="dxa" w:w="1701"/>
          </w:tcPr>
          <w:p>
            <w:pPr>
              <w:spacing w:after="40" w:before="40"/>
            </w:pPr>
            <w:r/>
            <w:r>
              <w:rPr>
                <w:rFonts w:ascii="Calibri" w:hAnsi="Calibri"/>
                <w:b w:val="0"/>
                <w:i w:val="0"/>
                <w:sz w:val="17"/>
              </w:rPr>
              <w:t>AMIRIS own</w:t>
            </w:r>
          </w:p>
        </w:tc>
        <w:tc>
          <w:tcPr>
            <w:tcW w:type="dxa" w:w="4422"/>
          </w:tcPr>
          <w:p>
            <w:pPr>
              <w:spacing w:after="40" w:before="40"/>
            </w:pPr>
            <w:r/>
            <w:r>
              <w:rPr>
                <w:rFonts w:ascii="Calibri" w:hAnsi="Calibri"/>
                <w:b w:val="0"/>
                <w:i w:val="0"/>
                <w:sz w:val="17"/>
              </w:rPr>
              <w:t>Flat 0.07 (7%), not a file - matches AMIRIS's own convention.</w:t>
            </w:r>
          </w:p>
        </w:tc>
      </w:tr>
    </w:tbl>
    <w:p>
      <w:pPr>
        <w:spacing w:after="80"/>
      </w:pPr>
    </w:p>
    <w:p>
      <w:pPr>
        <w:spacing w:before="200" w:after="80"/>
      </w:pPr>
      <w:r>
        <w:rPr>
          <w:rFonts w:ascii="Calibri" w:hAnsi="Calibri"/>
          <w:b/>
          <w:i w:val="0"/>
          <w:color w:val="A5691F"/>
          <w:sz w:val="22"/>
        </w:rPr>
        <w:t>C. Renewable generation profiles</w:t>
      </w:r>
    </w:p>
    <w:tbl>
      <w:tblPr>
        <w:tblStyle w:val="TableGrid"/>
        <w:tblW w:type="auto" w:w="0"/>
        <w:jc w:val="left"/>
        <w:tblLayout w:type="fixed"/>
        <w:tblLook w:firstColumn="1" w:firstRow="1" w:lastColumn="0" w:lastRow="0" w:noHBand="0" w:noVBand="1" w:val="04A0"/>
      </w:tblPr>
      <w:tblGrid>
        <w:gridCol w:w="2835"/>
        <w:gridCol w:w="2041"/>
        <w:gridCol w:w="4649"/>
      </w:tblGrid>
      <w:tr>
        <w:tc>
          <w:tcPr>
            <w:tcW w:type="dxa" w:w="2835"/>
            <w:shd w:val="clear" w:color="auto" w:fill="1F3A4D"/>
          </w:tcPr>
          <w:p>
            <w:pPr>
              <w:spacing w:after="40" w:before="40"/>
            </w:pPr>
            <w:r/>
            <w:r>
              <w:rPr>
                <w:rFonts w:ascii="Calibri" w:hAnsi="Calibri"/>
                <w:b/>
                <w:i w:val="0"/>
                <w:color w:val="FFFFFF"/>
                <w:sz w:val="17"/>
              </w:rPr>
              <w:t>File</w:t>
            </w:r>
          </w:p>
        </w:tc>
        <w:tc>
          <w:tcPr>
            <w:tcW w:type="dxa" w:w="2041"/>
            <w:shd w:val="clear" w:color="auto" w:fill="1F3A4D"/>
          </w:tcPr>
          <w:p>
            <w:pPr>
              <w:spacing w:after="40" w:before="40"/>
            </w:pPr>
            <w:r/>
            <w:r>
              <w:rPr>
                <w:rFonts w:ascii="Calibri" w:hAnsi="Calibri"/>
                <w:b/>
                <w:i w:val="0"/>
                <w:color w:val="FFFFFF"/>
                <w:sz w:val="17"/>
              </w:rPr>
              <w:t>Source</w:t>
            </w:r>
          </w:p>
        </w:tc>
        <w:tc>
          <w:tcPr>
            <w:tcW w:type="dxa" w:w="4649"/>
            <w:shd w:val="clear" w:color="auto" w:fill="1F3A4D"/>
          </w:tcPr>
          <w:p>
            <w:pPr>
              <w:spacing w:after="40" w:before="40"/>
            </w:pPr>
            <w:r/>
            <w:r>
              <w:rPr>
                <w:rFonts w:ascii="Calibri" w:hAnsi="Calibri"/>
                <w:b/>
                <w:i w:val="0"/>
                <w:color w:val="FFFFFF"/>
                <w:sz w:val="17"/>
              </w:rPr>
              <w:t>Method</w:t>
            </w:r>
          </w:p>
        </w:tc>
      </w:tr>
      <w:tr>
        <w:tc>
          <w:tcPr>
            <w:tcW w:type="dxa" w:w="2835"/>
          </w:tcPr>
          <w:p>
            <w:pPr>
              <w:spacing w:after="40" w:before="40"/>
            </w:pPr>
            <w:r/>
            <w:r>
              <w:rPr>
                <w:rFonts w:ascii="Calibri" w:hAnsi="Calibri"/>
                <w:b/>
                <w:i w:val="0"/>
                <w:color w:val="1F3A4D"/>
                <w:sz w:val="17"/>
              </w:rPr>
              <w:t>solar_openfield/rooftop_profile.csv</w:t>
            </w:r>
          </w:p>
        </w:tc>
        <w:tc>
          <w:tcPr>
            <w:tcW w:type="dxa" w:w="2041"/>
          </w:tcPr>
          <w:p>
            <w:pPr>
              <w:spacing w:after="40" w:before="40"/>
            </w:pPr>
            <w:r/>
            <w:r>
              <w:rPr>
                <w:rFonts w:ascii="Calibri" w:hAnsi="Calibri"/>
                <w:b w:val="0"/>
                <w:i w:val="0"/>
                <w:sz w:val="17"/>
              </w:rPr>
              <w:t>Brainpool (converted)</w:t>
            </w:r>
          </w:p>
        </w:tc>
        <w:tc>
          <w:tcPr>
            <w:tcW w:type="dxa" w:w="4649"/>
          </w:tcPr>
          <w:p>
            <w:pPr>
              <w:spacing w:after="40" w:before="40"/>
            </w:pPr>
            <w:r/>
            <w:r>
              <w:rPr>
                <w:rFonts w:ascii="Calibri" w:hAnsi="Calibri"/>
                <w:b w:val="0"/>
                <w:i w:val="0"/>
                <w:sz w:val="17"/>
              </w:rPr>
              <w:t>Regional average of the four PV_[type]_[region] columns per hour.</w:t>
            </w:r>
          </w:p>
        </w:tc>
      </w:tr>
      <w:tr>
        <w:tc>
          <w:tcPr>
            <w:tcW w:type="dxa" w:w="2835"/>
          </w:tcPr>
          <w:p>
            <w:pPr>
              <w:spacing w:after="40" w:before="40"/>
            </w:pPr>
            <w:r/>
            <w:r>
              <w:rPr>
                <w:rFonts w:ascii="Calibri" w:hAnsi="Calibri"/>
                <w:b/>
                <w:i w:val="0"/>
                <w:color w:val="1F3A4D"/>
                <w:sz w:val="17"/>
              </w:rPr>
              <w:t>wind_onshore_profile.csv</w:t>
            </w:r>
          </w:p>
        </w:tc>
        <w:tc>
          <w:tcPr>
            <w:tcW w:type="dxa" w:w="2041"/>
          </w:tcPr>
          <w:p>
            <w:pPr>
              <w:spacing w:after="40" w:before="40"/>
            </w:pPr>
            <w:r/>
            <w:r>
              <w:rPr>
                <w:rFonts w:ascii="Calibri" w:hAnsi="Calibri"/>
                <w:b w:val="0"/>
                <w:i w:val="0"/>
                <w:sz w:val="17"/>
              </w:rPr>
              <w:t>Brainpool (converted)</w:t>
            </w:r>
          </w:p>
        </w:tc>
        <w:tc>
          <w:tcPr>
            <w:tcW w:type="dxa" w:w="4649"/>
          </w:tcPr>
          <w:p>
            <w:pPr>
              <w:spacing w:after="40" w:before="40"/>
            </w:pPr>
            <w:r/>
            <w:r>
              <w:rPr>
                <w:rFonts w:ascii="Calibri" w:hAnsi="Calibri"/>
                <w:b w:val="0"/>
                <w:i w:val="0"/>
                <w:sz w:val="17"/>
              </w:rPr>
              <w:t>Regional average of the four Wind_[region] columns.</w:t>
            </w:r>
          </w:p>
        </w:tc>
      </w:tr>
      <w:tr>
        <w:tc>
          <w:tcPr>
            <w:tcW w:type="dxa" w:w="2835"/>
          </w:tcPr>
          <w:p>
            <w:pPr>
              <w:spacing w:after="40" w:before="40"/>
            </w:pPr>
            <w:r/>
            <w:r>
              <w:rPr>
                <w:rFonts w:ascii="Calibri" w:hAnsi="Calibri"/>
                <w:b/>
                <w:i w:val="0"/>
                <w:color w:val="1F3A4D"/>
                <w:sz w:val="17"/>
              </w:rPr>
              <w:t>wind_offshore_profile.csv</w:t>
            </w:r>
          </w:p>
        </w:tc>
        <w:tc>
          <w:tcPr>
            <w:tcW w:type="dxa" w:w="2041"/>
          </w:tcPr>
          <w:p>
            <w:pPr>
              <w:spacing w:after="40" w:before="40"/>
            </w:pPr>
            <w:r/>
            <w:r>
              <w:rPr>
                <w:rFonts w:ascii="Calibri" w:hAnsi="Calibri"/>
                <w:b w:val="0"/>
                <w:i w:val="0"/>
                <w:sz w:val="17"/>
              </w:rPr>
              <w:t>AMIRIS own, validated</w:t>
            </w:r>
          </w:p>
        </w:tc>
        <w:tc>
          <w:tcPr>
            <w:tcW w:type="dxa" w:w="4649"/>
          </w:tcPr>
          <w:p>
            <w:pPr>
              <w:spacing w:after="40" w:before="40"/>
            </w:pPr>
            <w:r/>
            <w:r>
              <w:rPr>
                <w:rFonts w:ascii="Calibri" w:hAnsi="Calibri"/>
                <w:b w:val="0"/>
                <w:i w:val="0"/>
                <w:sz w:val="17"/>
              </w:rPr>
              <w:t>No Brainpool shape exists. Implies 37.1% CF, inside the real 37-45% range (EnergyNumbers.info, Fraunhofer).</w:t>
            </w:r>
          </w:p>
        </w:tc>
      </w:tr>
      <w:tr>
        <w:tc>
          <w:tcPr>
            <w:tcW w:type="dxa" w:w="2835"/>
          </w:tcPr>
          <w:p>
            <w:pPr>
              <w:spacing w:after="40" w:before="40"/>
            </w:pPr>
            <w:r/>
            <w:r>
              <w:rPr>
                <w:rFonts w:ascii="Calibri" w:hAnsi="Calibri"/>
                <w:b/>
                <w:i w:val="0"/>
                <w:color w:val="1F3A4D"/>
                <w:sz w:val="17"/>
              </w:rPr>
              <w:t>run_of_river_profile.csv</w:t>
            </w:r>
          </w:p>
        </w:tc>
        <w:tc>
          <w:tcPr>
            <w:tcW w:type="dxa" w:w="2041"/>
          </w:tcPr>
          <w:p>
            <w:pPr>
              <w:spacing w:after="40" w:before="40"/>
            </w:pPr>
            <w:r/>
            <w:r>
              <w:rPr>
                <w:rFonts w:ascii="Calibri" w:hAnsi="Calibri"/>
                <w:b w:val="0"/>
                <w:i w:val="0"/>
                <w:sz w:val="17"/>
              </w:rPr>
              <w:t>AMIRIS own</w:t>
            </w:r>
          </w:p>
        </w:tc>
        <w:tc>
          <w:tcPr>
            <w:tcW w:type="dxa" w:w="4649"/>
          </w:tcPr>
          <w:p>
            <w:pPr>
              <w:spacing w:after="40" w:before="40"/>
            </w:pPr>
            <w:r/>
            <w:r>
              <w:rPr>
                <w:rFonts w:ascii="Calibri" w:hAnsi="Calibri"/>
                <w:b w:val="0"/>
                <w:i w:val="0"/>
                <w:sz w:val="17"/>
              </w:rPr>
              <w:t>No Brainpool shape exists. AMIRIS's own profile reused, redated.</w:t>
            </w:r>
          </w:p>
        </w:tc>
      </w:tr>
      <w:tr>
        <w:tc>
          <w:tcPr>
            <w:tcW w:type="dxa" w:w="2835"/>
          </w:tcPr>
          <w:p>
            <w:pPr>
              <w:spacing w:after="40" w:before="40"/>
            </w:pPr>
            <w:r/>
            <w:r>
              <w:rPr>
                <w:rFonts w:ascii="Calibri" w:hAnsi="Calibri"/>
                <w:b/>
                <w:i w:val="0"/>
                <w:color w:val="1F3A4D"/>
                <w:sz w:val="17"/>
              </w:rPr>
              <w:t>biomass_profile.csv</w:t>
            </w:r>
          </w:p>
        </w:tc>
        <w:tc>
          <w:tcPr>
            <w:tcW w:type="dxa" w:w="2041"/>
          </w:tcPr>
          <w:p>
            <w:pPr>
              <w:spacing w:after="40" w:before="40"/>
            </w:pPr>
            <w:r/>
            <w:r>
              <w:rPr>
                <w:rFonts w:ascii="Calibri" w:hAnsi="Calibri"/>
                <w:b w:val="0"/>
                <w:i w:val="0"/>
                <w:sz w:val="17"/>
              </w:rPr>
              <w:t>AMIRIS own</w:t>
            </w:r>
          </w:p>
        </w:tc>
        <w:tc>
          <w:tcPr>
            <w:tcW w:type="dxa" w:w="4649"/>
          </w:tcPr>
          <w:p>
            <w:pPr>
              <w:spacing w:after="40" w:before="40"/>
            </w:pPr>
            <w:r/>
            <w:r>
              <w:rPr>
                <w:rFonts w:ascii="Calibri" w:hAnsi="Calibri"/>
                <w:b w:val="0"/>
                <w:i w:val="0"/>
                <w:sz w:val="17"/>
              </w:rPr>
              <w:t>No Brainpool shape exists. AMIRIS's own FROM_FILE dispatch profile reused, redated.</w:t>
            </w:r>
          </w:p>
        </w:tc>
      </w:tr>
    </w:tbl>
    <w:p>
      <w:pPr>
        <w:spacing w:after="80"/>
      </w:pPr>
    </w:p>
    <w:p>
      <w:pPr>
        <w:spacing w:before="200" w:after="80"/>
      </w:pPr>
      <w:r>
        <w:rPr>
          <w:rFonts w:ascii="Calibri" w:hAnsi="Calibri"/>
          <w:b/>
          <w:i w:val="0"/>
          <w:color w:val="A5691F"/>
          <w:sz w:val="22"/>
        </w:rPr>
        <w:t>D. Demand (load_v1_bdew.csv)</w:t>
      </w:r>
    </w:p>
    <w:tbl>
      <w:tblPr>
        <w:tblStyle w:val="TableGrid"/>
        <w:tblW w:type="auto" w:w="0"/>
        <w:jc w:val="left"/>
        <w:tblLayout w:type="fixed"/>
        <w:tblLook w:firstColumn="1" w:firstRow="1" w:lastColumn="0" w:lastRow="0" w:noHBand="0" w:noVBand="1" w:val="04A0"/>
      </w:tblPr>
      <w:tblGrid>
        <w:gridCol w:w="3685"/>
        <w:gridCol w:w="1984"/>
        <w:gridCol w:w="3855"/>
      </w:tblGrid>
      <w:tr>
        <w:tc>
          <w:tcPr>
            <w:tcW w:type="dxa" w:w="3685"/>
            <w:shd w:val="clear" w:color="auto" w:fill="1F3A4D"/>
          </w:tcPr>
          <w:p>
            <w:pPr>
              <w:spacing w:after="40" w:before="40"/>
            </w:pPr>
            <w:r/>
            <w:r>
              <w:rPr>
                <w:rFonts w:ascii="Calibri" w:hAnsi="Calibri"/>
                <w:b/>
                <w:i w:val="0"/>
                <w:color w:val="FFFFFF"/>
                <w:sz w:val="17"/>
              </w:rPr>
              <w:t>Component</w:t>
            </w:r>
          </w:p>
        </w:tc>
        <w:tc>
          <w:tcPr>
            <w:tcW w:type="dxa" w:w="1984"/>
            <w:shd w:val="clear" w:color="auto" w:fill="1F3A4D"/>
          </w:tcPr>
          <w:p>
            <w:pPr>
              <w:spacing w:after="40" w:before="40"/>
            </w:pPr>
            <w:r/>
            <w:r>
              <w:rPr>
                <w:rFonts w:ascii="Calibri" w:hAnsi="Calibri"/>
                <w:b/>
                <w:i w:val="0"/>
                <w:color w:val="FFFFFF"/>
                <w:sz w:val="17"/>
              </w:rPr>
              <w:t>Value</w:t>
            </w:r>
          </w:p>
        </w:tc>
        <w:tc>
          <w:tcPr>
            <w:tcW w:type="dxa" w:w="3855"/>
            <w:shd w:val="clear" w:color="auto" w:fill="1F3A4D"/>
          </w:tcPr>
          <w:p>
            <w:pPr>
              <w:spacing w:after="40" w:before="40"/>
            </w:pPr>
            <w:r/>
            <w:r>
              <w:rPr>
                <w:rFonts w:ascii="Calibri" w:hAnsi="Calibri"/>
                <w:b/>
                <w:i w:val="0"/>
                <w:color w:val="FFFFFF"/>
                <w:sz w:val="17"/>
              </w:rPr>
              <w:t>Source</w:t>
            </w:r>
          </w:p>
        </w:tc>
      </w:tr>
      <w:tr>
        <w:tc>
          <w:tcPr>
            <w:tcW w:type="dxa" w:w="3685"/>
          </w:tcPr>
          <w:p>
            <w:pPr>
              <w:spacing w:after="40" w:before="40"/>
            </w:pPr>
            <w:r/>
            <w:r>
              <w:rPr>
                <w:rFonts w:ascii="Calibri" w:hAnsi="Calibri"/>
                <w:b w:val="0"/>
                <w:i w:val="0"/>
                <w:sz w:val="17"/>
              </w:rPr>
              <w:t>Inflexible base demand</w:t>
            </w:r>
          </w:p>
        </w:tc>
        <w:tc>
          <w:tcPr>
            <w:tcW w:type="dxa" w:w="1984"/>
          </w:tcPr>
          <w:p>
            <w:pPr>
              <w:spacing w:after="40" w:before="40"/>
            </w:pPr>
            <w:r/>
            <w:r>
              <w:rPr>
                <w:rFonts w:ascii="Calibri" w:hAnsi="Calibri"/>
                <w:b w:val="0"/>
                <w:i w:val="0"/>
                <w:sz w:val="17"/>
              </w:rPr>
              <w:t>604.85 TWh</w:t>
            </w:r>
          </w:p>
        </w:tc>
        <w:tc>
          <w:tcPr>
            <w:tcW w:type="dxa" w:w="3855"/>
          </w:tcPr>
          <w:p>
            <w:pPr>
              <w:spacing w:after="40" w:before="40"/>
            </w:pPr>
            <w:r/>
            <w:r>
              <w:rPr>
                <w:rFonts w:ascii="Calibri" w:hAnsi="Calibri"/>
                <w:b w:val="0"/>
                <w:i w:val="0"/>
                <w:sz w:val="17"/>
              </w:rPr>
              <w:t>Brainpool (direct)</w:t>
            </w:r>
          </w:p>
        </w:tc>
      </w:tr>
      <w:tr>
        <w:tc>
          <w:tcPr>
            <w:tcW w:type="dxa" w:w="3685"/>
          </w:tcPr>
          <w:p>
            <w:pPr>
              <w:spacing w:after="40" w:before="40"/>
            </w:pPr>
            <w:r/>
            <w:r>
              <w:rPr>
                <w:rFonts w:ascii="Calibri" w:hAnsi="Calibri"/>
                <w:b w:val="0"/>
                <w:i w:val="0"/>
                <w:sz w:val="17"/>
              </w:rPr>
              <w:t>Electrolysis (hydrogen)</w:t>
            </w:r>
          </w:p>
        </w:tc>
        <w:tc>
          <w:tcPr>
            <w:tcW w:type="dxa" w:w="1984"/>
          </w:tcPr>
          <w:p>
            <w:pPr>
              <w:spacing w:after="40" w:before="40"/>
            </w:pPr>
            <w:r/>
            <w:r>
              <w:rPr>
                <w:rFonts w:ascii="Calibri" w:hAnsi="Calibri"/>
                <w:b w:val="0"/>
                <w:i w:val="0"/>
                <w:sz w:val="17"/>
              </w:rPr>
              <w:t>14.97 TWh</w:t>
            </w:r>
          </w:p>
        </w:tc>
        <w:tc>
          <w:tcPr>
            <w:tcW w:type="dxa" w:w="3855"/>
          </w:tcPr>
          <w:p>
            <w:pPr>
              <w:spacing w:after="40" w:before="40"/>
            </w:pPr>
            <w:r/>
            <w:r>
              <w:rPr>
                <w:rFonts w:ascii="Calibri" w:hAnsi="Calibri"/>
                <w:b w:val="0"/>
                <w:i w:val="0"/>
                <w:sz w:val="17"/>
              </w:rPr>
              <w:t>Brainpool (direct)</w:t>
            </w:r>
          </w:p>
        </w:tc>
      </w:tr>
      <w:tr>
        <w:tc>
          <w:tcPr>
            <w:tcW w:type="dxa" w:w="3685"/>
          </w:tcPr>
          <w:p>
            <w:pPr>
              <w:spacing w:after="40" w:before="40"/>
            </w:pPr>
            <w:r/>
            <w:r>
              <w:rPr>
                <w:rFonts w:ascii="Calibri" w:hAnsi="Calibri"/>
                <w:b w:val="0"/>
                <w:i w:val="0"/>
                <w:sz w:val="17"/>
              </w:rPr>
              <w:t>Electric mobility (EV charging)</w:t>
            </w:r>
          </w:p>
        </w:tc>
        <w:tc>
          <w:tcPr>
            <w:tcW w:type="dxa" w:w="1984"/>
          </w:tcPr>
          <w:p>
            <w:pPr>
              <w:spacing w:after="40" w:before="40"/>
            </w:pPr>
            <w:r/>
            <w:r>
              <w:rPr>
                <w:rFonts w:ascii="Calibri" w:hAnsi="Calibri"/>
                <w:b w:val="0"/>
                <w:i w:val="0"/>
                <w:sz w:val="17"/>
              </w:rPr>
              <w:t>17.81 TWh</w:t>
            </w:r>
          </w:p>
        </w:tc>
        <w:tc>
          <w:tcPr>
            <w:tcW w:type="dxa" w:w="3855"/>
          </w:tcPr>
          <w:p>
            <w:pPr>
              <w:spacing w:after="40" w:before="40"/>
            </w:pPr>
            <w:r/>
            <w:r>
              <w:rPr>
                <w:rFonts w:ascii="Calibri" w:hAnsi="Calibri"/>
                <w:b w:val="0"/>
                <w:i w:val="0"/>
                <w:sz w:val="17"/>
              </w:rPr>
              <w:t>Brainpool (direct)</w:t>
            </w:r>
          </w:p>
        </w:tc>
      </w:tr>
      <w:tr>
        <w:tc>
          <w:tcPr>
            <w:tcW w:type="dxa" w:w="3685"/>
          </w:tcPr>
          <w:p>
            <w:pPr>
              <w:spacing w:after="40" w:before="40"/>
            </w:pPr>
            <w:r/>
            <w:r>
              <w:rPr>
                <w:rFonts w:ascii="Calibri" w:hAnsi="Calibri"/>
                <w:b w:val="0"/>
                <w:i w:val="0"/>
                <w:sz w:val="17"/>
              </w:rPr>
              <w:t>Heat pumps</w:t>
            </w:r>
          </w:p>
        </w:tc>
        <w:tc>
          <w:tcPr>
            <w:tcW w:type="dxa" w:w="1984"/>
          </w:tcPr>
          <w:p>
            <w:pPr>
              <w:spacing w:after="40" w:before="40"/>
            </w:pPr>
            <w:r/>
            <w:r>
              <w:rPr>
                <w:rFonts w:ascii="Calibri" w:hAnsi="Calibri"/>
                <w:b w:val="0"/>
                <w:i w:val="0"/>
                <w:sz w:val="17"/>
              </w:rPr>
              <w:t>18.69 TWh</w:t>
            </w:r>
          </w:p>
        </w:tc>
        <w:tc>
          <w:tcPr>
            <w:tcW w:type="dxa" w:w="3855"/>
          </w:tcPr>
          <w:p>
            <w:pPr>
              <w:spacing w:after="40" w:before="40"/>
            </w:pPr>
            <w:r/>
            <w:r>
              <w:rPr>
                <w:rFonts w:ascii="Calibri" w:hAnsi="Calibri"/>
                <w:b w:val="0"/>
                <w:i w:val="0"/>
                <w:sz w:val="17"/>
              </w:rPr>
              <w:t>Brainpool (direct)</w:t>
            </w:r>
          </w:p>
        </w:tc>
      </w:tr>
      <w:tr>
        <w:tc>
          <w:tcPr>
            <w:tcW w:type="dxa" w:w="3685"/>
          </w:tcPr>
          <w:p>
            <w:pPr>
              <w:spacing w:after="40" w:before="40"/>
            </w:pPr>
            <w:r/>
            <w:r>
              <w:rPr>
                <w:rFonts w:ascii="Calibri" w:hAnsi="Calibri"/>
                <w:b/>
                <w:i w:val="0"/>
                <w:color w:val="1F3A4D"/>
                <w:sz w:val="17"/>
              </w:rPr>
              <w:t>Combined total used</w:t>
            </w:r>
          </w:p>
        </w:tc>
        <w:tc>
          <w:tcPr>
            <w:tcW w:type="dxa" w:w="1984"/>
          </w:tcPr>
          <w:p>
            <w:pPr>
              <w:spacing w:after="40" w:before="40"/>
            </w:pPr>
            <w:r/>
            <w:r>
              <w:rPr>
                <w:rFonts w:ascii="Calibri" w:hAnsi="Calibri"/>
                <w:b/>
                <w:i w:val="0"/>
                <w:color w:val="1F3A4D"/>
                <w:sz w:val="17"/>
              </w:rPr>
              <w:t>656.32 TWh</w:t>
            </w:r>
          </w:p>
        </w:tc>
        <w:tc>
          <w:tcPr>
            <w:tcW w:type="dxa" w:w="3855"/>
          </w:tcPr>
          <w:p>
            <w:pPr>
              <w:spacing w:after="40" w:before="40"/>
            </w:pPr>
            <w:r/>
            <w:r>
              <w:rPr>
                <w:rFonts w:ascii="Calibri" w:hAnsi="Calibri"/>
                <w:b/>
                <w:i w:val="0"/>
                <w:color w:val="1F3A4D"/>
                <w:sz w:val="17"/>
              </w:rPr>
              <w:t>Sum of the four rows above</w:t>
            </w:r>
          </w:p>
        </w:tc>
      </w:tr>
    </w:tbl>
    <w:p>
      <w:pPr>
        <w:spacing w:after="80"/>
      </w:pPr>
    </w:p>
    <w:p>
      <w:pPr>
        <w:spacing w:after="160"/>
      </w:pPr>
      <w:r>
        <w:rPr>
          <w:rFonts w:ascii="Calibri" w:hAnsi="Calibri"/>
          <w:b w:val="0"/>
          <w:i w:val="0"/>
          <w:color w:val="141816"/>
          <w:sz w:val="20"/>
        </w:rPr>
        <w:t>Method: demandlib's BDEW ElecSlp.get_scaled_power_profiles({'h0': 656,320,000 MWh}) - the BDEW Standardlastprofil methodology at 15-minute resolution, resampled to hourly. A round-trip check confirmed the file's hourly values sum back to exactly 656.32 TWh.</w:t>
      </w:r>
    </w:p>
    <w:p>
      <w:pPr>
        <w:spacing w:before="320" w:after="120"/>
        <w:pBdr>
          <w:bottom w:val="single" w:sz="8" w:space="4" w:color="1F3A4D"/>
        </w:pBdr>
      </w:pPr>
      <w:r>
        <w:rPr>
          <w:rFonts w:ascii="Calibri" w:hAnsi="Calibri"/>
          <w:b/>
          <w:i w:val="0"/>
          <w:color w:val="1F3A4D"/>
          <w:sz w:val="30"/>
        </w:rPr>
        <w:t>Part 2 - Conventional Fleet (Conventionals.yaml)</w:t>
      </w:r>
    </w:p>
    <w:tbl>
      <w:tblPr>
        <w:tblStyle w:val="TableGrid"/>
        <w:tblW w:type="auto" w:w="0"/>
        <w:jc w:val="left"/>
        <w:tblLayout w:type="fixed"/>
        <w:tblLook w:firstColumn="1" w:firstRow="1" w:lastColumn="0" w:lastRow="0" w:noHBand="0" w:noVBand="1" w:val="04A0"/>
      </w:tblPr>
      <w:tblGrid>
        <w:gridCol w:w="1701"/>
        <w:gridCol w:w="1928"/>
        <w:gridCol w:w="1928"/>
        <w:gridCol w:w="1928"/>
        <w:gridCol w:w="1928"/>
      </w:tblGrid>
      <w:tr>
        <w:tc>
          <w:tcPr>
            <w:tcW w:type="dxa" w:w="1701"/>
            <w:shd w:val="clear" w:color="auto" w:fill="1F3A4D"/>
          </w:tcPr>
          <w:p>
            <w:pPr>
              <w:spacing w:after="40" w:before="40"/>
            </w:pPr>
            <w:r/>
            <w:r>
              <w:rPr>
                <w:rFonts w:ascii="Calibri" w:hAnsi="Calibri"/>
                <w:b/>
                <w:i w:val="0"/>
                <w:color w:val="FFFFFF"/>
                <w:sz w:val="17"/>
              </w:rPr>
              <w:t>Field</w:t>
            </w:r>
          </w:p>
        </w:tc>
        <w:tc>
          <w:tcPr>
            <w:tcW w:type="dxa" w:w="1928"/>
            <w:shd w:val="clear" w:color="auto" w:fill="1F3A4D"/>
          </w:tcPr>
          <w:p>
            <w:pPr>
              <w:spacing w:after="40" w:before="40"/>
            </w:pPr>
            <w:r/>
            <w:r>
              <w:rPr>
                <w:rFonts w:ascii="Calibri" w:hAnsi="Calibri"/>
                <w:b/>
                <w:i w:val="0"/>
                <w:color w:val="FFFFFF"/>
                <w:sz w:val="17"/>
              </w:rPr>
              <w:t>Lignite</w:t>
            </w:r>
          </w:p>
        </w:tc>
        <w:tc>
          <w:tcPr>
            <w:tcW w:type="dxa" w:w="1928"/>
            <w:shd w:val="clear" w:color="auto" w:fill="1F3A4D"/>
          </w:tcPr>
          <w:p>
            <w:pPr>
              <w:spacing w:after="40" w:before="40"/>
            </w:pPr>
            <w:r/>
            <w:r>
              <w:rPr>
                <w:rFonts w:ascii="Calibri" w:hAnsi="Calibri"/>
                <w:b/>
                <w:i w:val="0"/>
                <w:color w:val="FFFFFF"/>
                <w:sz w:val="17"/>
              </w:rPr>
              <w:t>Hard Coal</w:t>
            </w:r>
          </w:p>
        </w:tc>
        <w:tc>
          <w:tcPr>
            <w:tcW w:type="dxa" w:w="1928"/>
            <w:shd w:val="clear" w:color="auto" w:fill="1F3A4D"/>
          </w:tcPr>
          <w:p>
            <w:pPr>
              <w:spacing w:after="40" w:before="40"/>
            </w:pPr>
            <w:r/>
            <w:r>
              <w:rPr>
                <w:rFonts w:ascii="Calibri" w:hAnsi="Calibri"/>
                <w:b/>
                <w:i w:val="0"/>
                <w:color w:val="FFFFFF"/>
                <w:sz w:val="17"/>
              </w:rPr>
              <w:t>Nat. Gas</w:t>
            </w:r>
          </w:p>
        </w:tc>
        <w:tc>
          <w:tcPr>
            <w:tcW w:type="dxa" w:w="1928"/>
            <w:shd w:val="clear" w:color="auto" w:fill="1F3A4D"/>
          </w:tcPr>
          <w:p>
            <w:pPr>
              <w:spacing w:after="40" w:before="40"/>
            </w:pPr>
            <w:r/>
            <w:r>
              <w:rPr>
                <w:rFonts w:ascii="Calibri" w:hAnsi="Calibri"/>
                <w:b/>
                <w:i w:val="0"/>
                <w:color w:val="FFFFFF"/>
                <w:sz w:val="17"/>
              </w:rPr>
              <w:t>Oil + Other Fossil</w:t>
            </w:r>
          </w:p>
        </w:tc>
      </w:tr>
      <w:tr>
        <w:tc>
          <w:tcPr>
            <w:tcW w:type="dxa" w:w="1701"/>
          </w:tcPr>
          <w:p>
            <w:pPr>
              <w:spacing w:after="40" w:before="40"/>
            </w:pPr>
            <w:r/>
            <w:r>
              <w:rPr>
                <w:rFonts w:ascii="Calibri" w:hAnsi="Calibri"/>
                <w:b/>
                <w:i w:val="0"/>
                <w:color w:val="1F3A4D"/>
                <w:sz w:val="17"/>
              </w:rPr>
              <w:t>Capacity (MW)</w:t>
            </w:r>
          </w:p>
        </w:tc>
        <w:tc>
          <w:tcPr>
            <w:tcW w:type="dxa" w:w="1928"/>
          </w:tcPr>
          <w:p>
            <w:pPr>
              <w:spacing w:after="40" w:before="40"/>
            </w:pPr>
            <w:r/>
            <w:r>
              <w:rPr>
                <w:rFonts w:ascii="Calibri" w:hAnsi="Calibri"/>
                <w:b w:val="0"/>
                <w:i w:val="0"/>
                <w:sz w:val="17"/>
              </w:rPr>
              <w:t>13,927</w:t>
            </w:r>
          </w:p>
        </w:tc>
        <w:tc>
          <w:tcPr>
            <w:tcW w:type="dxa" w:w="1928"/>
          </w:tcPr>
          <w:p>
            <w:pPr>
              <w:spacing w:after="40" w:before="40"/>
            </w:pPr>
            <w:r/>
            <w:r>
              <w:rPr>
                <w:rFonts w:ascii="Calibri" w:hAnsi="Calibri"/>
                <w:b w:val="0"/>
                <w:i w:val="0"/>
                <w:sz w:val="17"/>
              </w:rPr>
              <w:t>5,504</w:t>
            </w:r>
          </w:p>
        </w:tc>
        <w:tc>
          <w:tcPr>
            <w:tcW w:type="dxa" w:w="1928"/>
          </w:tcPr>
          <w:p>
            <w:pPr>
              <w:spacing w:after="40" w:before="40"/>
            </w:pPr>
            <w:r/>
            <w:r>
              <w:rPr>
                <w:rFonts w:ascii="Calibri" w:hAnsi="Calibri"/>
                <w:b w:val="0"/>
                <w:i w:val="0"/>
                <w:sz w:val="17"/>
              </w:rPr>
              <w:t>36,237</w:t>
            </w:r>
          </w:p>
        </w:tc>
        <w:tc>
          <w:tcPr>
            <w:tcW w:type="dxa" w:w="1928"/>
          </w:tcPr>
          <w:p>
            <w:pPr>
              <w:spacing w:after="40" w:before="40"/>
            </w:pPr>
            <w:r/>
            <w:r>
              <w:rPr>
                <w:rFonts w:ascii="Calibri" w:hAnsi="Calibri"/>
                <w:b w:val="0"/>
                <w:i w:val="0"/>
                <w:sz w:val="17"/>
              </w:rPr>
              <w:t>9,790 (1,540+8,250)</w:t>
            </w:r>
          </w:p>
        </w:tc>
      </w:tr>
      <w:tr>
        <w:tc>
          <w:tcPr>
            <w:tcW w:type="dxa" w:w="1701"/>
          </w:tcPr>
          <w:p>
            <w:pPr>
              <w:spacing w:after="40" w:before="40"/>
            </w:pPr>
            <w:r/>
            <w:r>
              <w:rPr>
                <w:rFonts w:ascii="Calibri" w:hAnsi="Calibri"/>
                <w:b/>
                <w:i w:val="0"/>
                <w:color w:val="1F3A4D"/>
                <w:sz w:val="17"/>
              </w:rPr>
              <w:t>Block size (MW)</w:t>
            </w:r>
          </w:p>
        </w:tc>
        <w:tc>
          <w:tcPr>
            <w:tcW w:type="dxa" w:w="1928"/>
          </w:tcPr>
          <w:p>
            <w:pPr>
              <w:spacing w:after="40" w:before="40"/>
            </w:pPr>
            <w:r/>
            <w:r>
              <w:rPr>
                <w:rFonts w:ascii="Calibri" w:hAnsi="Calibri"/>
                <w:b w:val="0"/>
                <w:i w:val="0"/>
                <w:sz w:val="17"/>
              </w:rPr>
              <w:t>500</w:t>
            </w:r>
          </w:p>
        </w:tc>
        <w:tc>
          <w:tcPr>
            <w:tcW w:type="dxa" w:w="1928"/>
          </w:tcPr>
          <w:p>
            <w:pPr>
              <w:spacing w:after="40" w:before="40"/>
            </w:pPr>
            <w:r/>
            <w:r>
              <w:rPr>
                <w:rFonts w:ascii="Calibri" w:hAnsi="Calibri"/>
                <w:b w:val="0"/>
                <w:i w:val="0"/>
                <w:sz w:val="17"/>
              </w:rPr>
              <w:t>300</w:t>
            </w:r>
          </w:p>
        </w:tc>
        <w:tc>
          <w:tcPr>
            <w:tcW w:type="dxa" w:w="1928"/>
          </w:tcPr>
          <w:p>
            <w:pPr>
              <w:spacing w:after="40" w:before="40"/>
            </w:pPr>
            <w:r/>
            <w:r>
              <w:rPr>
                <w:rFonts w:ascii="Calibri" w:hAnsi="Calibri"/>
                <w:b w:val="0"/>
                <w:i w:val="0"/>
                <w:sz w:val="17"/>
              </w:rPr>
              <w:t>200</w:t>
            </w:r>
          </w:p>
        </w:tc>
        <w:tc>
          <w:tcPr>
            <w:tcW w:type="dxa" w:w="1928"/>
          </w:tcPr>
          <w:p>
            <w:pPr>
              <w:spacing w:after="40" w:before="40"/>
            </w:pPr>
            <w:r/>
            <w:r>
              <w:rPr>
                <w:rFonts w:ascii="Calibri" w:hAnsi="Calibri"/>
                <w:b w:val="0"/>
                <w:i w:val="0"/>
                <w:sz w:val="17"/>
              </w:rPr>
              <w:t>100</w:t>
            </w:r>
          </w:p>
        </w:tc>
      </w:tr>
      <w:tr>
        <w:tc>
          <w:tcPr>
            <w:tcW w:type="dxa" w:w="1701"/>
          </w:tcPr>
          <w:p>
            <w:pPr>
              <w:spacing w:after="40" w:before="40"/>
            </w:pPr>
            <w:r/>
            <w:r>
              <w:rPr>
                <w:rFonts w:ascii="Calibri" w:hAnsi="Calibri"/>
                <w:b/>
                <w:i w:val="0"/>
                <w:color w:val="1F3A4D"/>
                <w:sz w:val="17"/>
              </w:rPr>
              <w:t>Efficiency</w:t>
            </w:r>
          </w:p>
        </w:tc>
        <w:tc>
          <w:tcPr>
            <w:tcW w:type="dxa" w:w="1928"/>
          </w:tcPr>
          <w:p>
            <w:pPr>
              <w:spacing w:after="40" w:before="40"/>
            </w:pPr>
            <w:r/>
            <w:r>
              <w:rPr>
                <w:rFonts w:ascii="Calibri" w:hAnsi="Calibri"/>
                <w:b w:val="0"/>
                <w:i w:val="0"/>
                <w:sz w:val="17"/>
              </w:rPr>
              <w:t>0.3108-0.45</w:t>
            </w:r>
          </w:p>
        </w:tc>
        <w:tc>
          <w:tcPr>
            <w:tcW w:type="dxa" w:w="1928"/>
          </w:tcPr>
          <w:p>
            <w:pPr>
              <w:spacing w:after="40" w:before="40"/>
            </w:pPr>
            <w:r/>
            <w:r>
              <w:rPr>
                <w:rFonts w:ascii="Calibri" w:hAnsi="Calibri"/>
                <w:b w:val="0"/>
                <w:i w:val="0"/>
                <w:sz w:val="17"/>
              </w:rPr>
              <w:t>0.339-0.492</w:t>
            </w:r>
          </w:p>
        </w:tc>
        <w:tc>
          <w:tcPr>
            <w:tcW w:type="dxa" w:w="1928"/>
          </w:tcPr>
          <w:p>
            <w:pPr>
              <w:spacing w:after="40" w:before="40"/>
            </w:pPr>
            <w:r/>
            <w:r>
              <w:rPr>
                <w:rFonts w:ascii="Calibri" w:hAnsi="Calibri"/>
                <w:b w:val="0"/>
                <w:i w:val="0"/>
                <w:sz w:val="17"/>
              </w:rPr>
              <w:t>0.516-0.617</w:t>
            </w:r>
          </w:p>
        </w:tc>
        <w:tc>
          <w:tcPr>
            <w:tcW w:type="dxa" w:w="1928"/>
          </w:tcPr>
          <w:p>
            <w:pPr>
              <w:spacing w:after="40" w:before="40"/>
            </w:pPr>
            <w:r/>
            <w:r>
              <w:rPr>
                <w:rFonts w:ascii="Calibri" w:hAnsi="Calibri"/>
                <w:b w:val="0"/>
                <w:i w:val="0"/>
                <w:sz w:val="17"/>
              </w:rPr>
              <w:t>0.311-0.397</w:t>
            </w:r>
          </w:p>
        </w:tc>
      </w:tr>
      <w:tr>
        <w:tc>
          <w:tcPr>
            <w:tcW w:type="dxa" w:w="1701"/>
          </w:tcPr>
          <w:p>
            <w:pPr>
              <w:spacing w:after="40" w:before="40"/>
            </w:pPr>
            <w:r/>
            <w:r>
              <w:rPr>
                <w:rFonts w:ascii="Calibri" w:hAnsi="Calibri"/>
                <w:b/>
                <w:i w:val="0"/>
                <w:color w:val="1F3A4D"/>
                <w:sz w:val="17"/>
              </w:rPr>
              <w:t>Opex (EUR/MWh)</w:t>
            </w:r>
          </w:p>
        </w:tc>
        <w:tc>
          <w:tcPr>
            <w:tcW w:type="dxa" w:w="1928"/>
          </w:tcPr>
          <w:p>
            <w:pPr>
              <w:spacing w:after="40" w:before="40"/>
            </w:pPr>
            <w:r/>
            <w:r>
              <w:rPr>
                <w:rFonts w:ascii="Calibri" w:hAnsi="Calibri"/>
                <w:b w:val="0"/>
                <w:i w:val="0"/>
                <w:sz w:val="17"/>
              </w:rPr>
              <w:t>2.0</w:t>
            </w:r>
          </w:p>
        </w:tc>
        <w:tc>
          <w:tcPr>
            <w:tcW w:type="dxa" w:w="1928"/>
          </w:tcPr>
          <w:p>
            <w:pPr>
              <w:spacing w:after="40" w:before="40"/>
            </w:pPr>
            <w:r/>
            <w:r>
              <w:rPr>
                <w:rFonts w:ascii="Calibri" w:hAnsi="Calibri"/>
                <w:b w:val="0"/>
                <w:i w:val="0"/>
                <w:sz w:val="17"/>
              </w:rPr>
              <w:t>2.5</w:t>
            </w:r>
          </w:p>
        </w:tc>
        <w:tc>
          <w:tcPr>
            <w:tcW w:type="dxa" w:w="1928"/>
          </w:tcPr>
          <w:p>
            <w:pPr>
              <w:spacing w:after="40" w:before="40"/>
            </w:pPr>
            <w:r/>
            <w:r>
              <w:rPr>
                <w:rFonts w:ascii="Calibri" w:hAnsi="Calibri"/>
                <w:b w:val="0"/>
                <w:i w:val="0"/>
                <w:sz w:val="17"/>
              </w:rPr>
              <w:t>1.2</w:t>
            </w:r>
          </w:p>
        </w:tc>
        <w:tc>
          <w:tcPr>
            <w:tcW w:type="dxa" w:w="1928"/>
          </w:tcPr>
          <w:p>
            <w:pPr>
              <w:spacing w:after="40" w:before="40"/>
            </w:pPr>
            <w:r/>
            <w:r>
              <w:rPr>
                <w:rFonts w:ascii="Calibri" w:hAnsi="Calibri"/>
                <w:b w:val="0"/>
                <w:i w:val="0"/>
                <w:sz w:val="17"/>
              </w:rPr>
              <w:t>1.2</w:t>
            </w:r>
          </w:p>
        </w:tc>
      </w:tr>
      <w:tr>
        <w:tc>
          <w:tcPr>
            <w:tcW w:type="dxa" w:w="1701"/>
          </w:tcPr>
          <w:p>
            <w:pPr>
              <w:spacing w:after="40" w:before="40"/>
            </w:pPr>
            <w:r/>
            <w:r>
              <w:rPr>
                <w:rFonts w:ascii="Calibri" w:hAnsi="Calibri"/>
                <w:b/>
                <w:i w:val="0"/>
                <w:color w:val="1F3A4D"/>
                <w:sz w:val="17"/>
              </w:rPr>
              <w:t>Markup band</w:t>
            </w:r>
          </w:p>
        </w:tc>
        <w:tc>
          <w:tcPr>
            <w:tcW w:type="dxa" w:w="1928"/>
          </w:tcPr>
          <w:p>
            <w:pPr>
              <w:spacing w:after="40" w:before="40"/>
            </w:pPr>
            <w:r/>
            <w:r>
              <w:rPr>
                <w:rFonts w:ascii="Calibri" w:hAnsi="Calibri"/>
                <w:b w:val="0"/>
                <w:i w:val="0"/>
                <w:sz w:val="17"/>
              </w:rPr>
              <w:t>-60 to 0</w:t>
            </w:r>
          </w:p>
        </w:tc>
        <w:tc>
          <w:tcPr>
            <w:tcW w:type="dxa" w:w="1928"/>
          </w:tcPr>
          <w:p>
            <w:pPr>
              <w:spacing w:after="40" w:before="40"/>
            </w:pPr>
            <w:r/>
            <w:r>
              <w:rPr>
                <w:rFonts w:ascii="Calibri" w:hAnsi="Calibri"/>
                <w:b w:val="0"/>
                <w:i w:val="0"/>
                <w:sz w:val="17"/>
              </w:rPr>
              <w:t>-15 to 5</w:t>
            </w:r>
          </w:p>
        </w:tc>
        <w:tc>
          <w:tcPr>
            <w:tcW w:type="dxa" w:w="1928"/>
          </w:tcPr>
          <w:p>
            <w:pPr>
              <w:spacing w:after="40" w:before="40"/>
            </w:pPr>
            <w:r/>
            <w:r>
              <w:rPr>
                <w:rFonts w:ascii="Calibri" w:hAnsi="Calibri"/>
                <w:b w:val="0"/>
                <w:i w:val="0"/>
                <w:sz w:val="17"/>
              </w:rPr>
              <w:t>-10 to 10</w:t>
            </w:r>
          </w:p>
        </w:tc>
        <w:tc>
          <w:tcPr>
            <w:tcW w:type="dxa" w:w="1928"/>
          </w:tcPr>
          <w:p>
            <w:pPr>
              <w:spacing w:after="40" w:before="40"/>
            </w:pPr>
            <w:r/>
            <w:r>
              <w:rPr>
                <w:rFonts w:ascii="Calibri" w:hAnsi="Calibri"/>
                <w:b w:val="0"/>
                <w:i w:val="0"/>
                <w:sz w:val="17"/>
              </w:rPr>
              <w:t>0 to 0</w:t>
            </w:r>
          </w:p>
        </w:tc>
      </w:tr>
      <w:tr>
        <w:tc>
          <w:tcPr>
            <w:tcW w:type="dxa" w:w="1701"/>
          </w:tcPr>
          <w:p>
            <w:pPr>
              <w:spacing w:after="40" w:before="40"/>
            </w:pPr>
            <w:r/>
            <w:r>
              <w:rPr>
                <w:rFonts w:ascii="Calibri" w:hAnsi="Calibri"/>
                <w:b/>
                <w:i w:val="0"/>
                <w:color w:val="1F3A4D"/>
                <w:sz w:val="17"/>
              </w:rPr>
              <w:t>CO2 (t/MWh)</w:t>
            </w:r>
          </w:p>
        </w:tc>
        <w:tc>
          <w:tcPr>
            <w:tcW w:type="dxa" w:w="1928"/>
          </w:tcPr>
          <w:p>
            <w:pPr>
              <w:spacing w:after="40" w:before="40"/>
            </w:pPr>
            <w:r/>
            <w:r>
              <w:rPr>
                <w:rFonts w:ascii="Calibri" w:hAnsi="Calibri"/>
                <w:b w:val="0"/>
                <w:i w:val="0"/>
                <w:sz w:val="17"/>
              </w:rPr>
              <w:t>0.407</w:t>
            </w:r>
          </w:p>
        </w:tc>
        <w:tc>
          <w:tcPr>
            <w:tcW w:type="dxa" w:w="1928"/>
          </w:tcPr>
          <w:p>
            <w:pPr>
              <w:spacing w:after="40" w:before="40"/>
            </w:pPr>
            <w:r/>
            <w:r>
              <w:rPr>
                <w:rFonts w:ascii="Calibri" w:hAnsi="Calibri"/>
                <w:b w:val="0"/>
                <w:i w:val="0"/>
                <w:sz w:val="17"/>
              </w:rPr>
              <w:t>0.338</w:t>
            </w:r>
          </w:p>
        </w:tc>
        <w:tc>
          <w:tcPr>
            <w:tcW w:type="dxa" w:w="1928"/>
          </w:tcPr>
          <w:p>
            <w:pPr>
              <w:spacing w:after="40" w:before="40"/>
            </w:pPr>
            <w:r/>
            <w:r>
              <w:rPr>
                <w:rFonts w:ascii="Calibri" w:hAnsi="Calibri"/>
                <w:b w:val="0"/>
                <w:i w:val="0"/>
                <w:sz w:val="17"/>
              </w:rPr>
              <w:t>0.202</w:t>
            </w:r>
          </w:p>
        </w:tc>
        <w:tc>
          <w:tcPr>
            <w:tcW w:type="dxa" w:w="1928"/>
          </w:tcPr>
          <w:p>
            <w:pPr>
              <w:spacing w:after="40" w:before="40"/>
            </w:pPr>
            <w:r/>
            <w:r>
              <w:rPr>
                <w:rFonts w:ascii="Calibri" w:hAnsi="Calibri"/>
                <w:b w:val="0"/>
                <w:i w:val="0"/>
                <w:sz w:val="17"/>
              </w:rPr>
              <w:t>0.266</w:t>
            </w:r>
          </w:p>
        </w:tc>
      </w:tr>
    </w:tbl>
    <w:p>
      <w:pPr>
        <w:spacing w:after="80"/>
      </w:pPr>
    </w:p>
    <w:p>
      <w:pPr>
        <w:spacing w:before="40" w:after="20"/>
      </w:pPr>
      <w:r>
        <w:rPr>
          <w:rFonts w:ascii="Calibri" w:hAnsi="Calibri"/>
          <w:b/>
          <w:i w:val="0"/>
          <w:color w:val="963C28"/>
          <w:sz w:val="19"/>
        </w:rPr>
        <w:t>New gap surfaced while building:</w:t>
      </w:r>
    </w:p>
    <w:p>
      <w:pPr>
        <w:spacing w:after="160"/>
      </w:pPr>
      <w:r>
        <w:rPr>
          <w:rFonts w:ascii="Calibri" w:hAnsi="Calibri"/>
          <w:b w:val="0"/>
          <w:i/>
          <w:color w:val="555B58"/>
          <w:sz w:val="19"/>
        </w:rPr>
        <w:t>Brainpool's Variable_cost sheet covers fuel commodity prices, not variable OPERATING cost. AMIRIS's own opex figures were carried over for all four categories.</w:t>
      </w:r>
    </w:p>
    <w:p>
      <w:pPr>
        <w:spacing w:before="320" w:after="120"/>
        <w:pBdr>
          <w:bottom w:val="single" w:sz="8" w:space="4" w:color="1F3A4D"/>
        </w:pBdr>
      </w:pPr>
      <w:r>
        <w:rPr>
          <w:rFonts w:ascii="Calibri" w:hAnsi="Calibri"/>
          <w:b/>
          <w:i w:val="0"/>
          <w:color w:val="1F3A4D"/>
          <w:sz w:val="30"/>
        </w:rPr>
        <w:t>Part 3 - Renewable Fleet and Subsidies (RenewablesAndPolicy.yaml)</w:t>
      </w:r>
    </w:p>
    <w:tbl>
      <w:tblPr>
        <w:tblStyle w:val="TableGrid"/>
        <w:tblW w:type="auto" w:w="0"/>
        <w:jc w:val="left"/>
        <w:tblLayout w:type="fixed"/>
        <w:tblLook w:firstColumn="1" w:firstRow="1" w:lastColumn="0" w:lastRow="0" w:noHBand="0" w:noVBand="1" w:val="04A0"/>
      </w:tblPr>
      <w:tblGrid>
        <w:gridCol w:w="1928"/>
        <w:gridCol w:w="1701"/>
        <w:gridCol w:w="1361"/>
        <w:gridCol w:w="1701"/>
        <w:gridCol w:w="2721"/>
      </w:tblGrid>
      <w:tr>
        <w:tc>
          <w:tcPr>
            <w:tcW w:type="dxa" w:w="1928"/>
            <w:shd w:val="clear" w:color="auto" w:fill="1F3A4D"/>
          </w:tcPr>
          <w:p>
            <w:pPr>
              <w:spacing w:after="40" w:before="40"/>
            </w:pPr>
            <w:r/>
            <w:r>
              <w:rPr>
                <w:rFonts w:ascii="Calibri" w:hAnsi="Calibri"/>
                <w:b/>
                <w:i w:val="0"/>
                <w:color w:val="FFFFFF"/>
                <w:sz w:val="17"/>
              </w:rPr>
              <w:t>Agent</w:t>
            </w:r>
          </w:p>
        </w:tc>
        <w:tc>
          <w:tcPr>
            <w:tcW w:type="dxa" w:w="1701"/>
            <w:shd w:val="clear" w:color="auto" w:fill="1F3A4D"/>
          </w:tcPr>
          <w:p>
            <w:pPr>
              <w:spacing w:after="40" w:before="40"/>
            </w:pPr>
            <w:r/>
            <w:r>
              <w:rPr>
                <w:rFonts w:ascii="Calibri" w:hAnsi="Calibri"/>
                <w:b/>
                <w:i w:val="0"/>
                <w:color w:val="FFFFFF"/>
                <w:sz w:val="17"/>
              </w:rPr>
              <w:t>Capacity</w:t>
            </w:r>
          </w:p>
        </w:tc>
        <w:tc>
          <w:tcPr>
            <w:tcW w:type="dxa" w:w="1361"/>
            <w:shd w:val="clear" w:color="auto" w:fill="1F3A4D"/>
          </w:tcPr>
          <w:p>
            <w:pPr>
              <w:spacing w:after="40" w:before="40"/>
            </w:pPr>
            <w:r/>
            <w:r>
              <w:rPr>
                <w:rFonts w:ascii="Calibri" w:hAnsi="Calibri"/>
                <w:b/>
                <w:i w:val="0"/>
                <w:color w:val="FFFFFF"/>
                <w:sz w:val="17"/>
              </w:rPr>
              <w:t>Mechanism</w:t>
            </w:r>
          </w:p>
        </w:tc>
        <w:tc>
          <w:tcPr>
            <w:tcW w:type="dxa" w:w="1701"/>
            <w:shd w:val="clear" w:color="auto" w:fill="1F3A4D"/>
          </w:tcPr>
          <w:p>
            <w:pPr>
              <w:spacing w:after="40" w:before="40"/>
            </w:pPr>
            <w:r/>
            <w:r>
              <w:rPr>
                <w:rFonts w:ascii="Calibri" w:hAnsi="Calibri"/>
                <w:b/>
                <w:i w:val="0"/>
                <w:color w:val="FFFFFF"/>
                <w:sz w:val="17"/>
              </w:rPr>
              <w:t>Rate</w:t>
            </w:r>
          </w:p>
        </w:tc>
        <w:tc>
          <w:tcPr>
            <w:tcW w:type="dxa" w:w="2721"/>
            <w:shd w:val="clear" w:color="auto" w:fill="1F3A4D"/>
          </w:tcPr>
          <w:p>
            <w:pPr>
              <w:spacing w:after="40" w:before="40"/>
            </w:pPr>
            <w:r/>
            <w:r>
              <w:rPr>
                <w:rFonts w:ascii="Calibri" w:hAnsi="Calibri"/>
                <w:b/>
                <w:i w:val="0"/>
                <w:color w:val="FFFFFF"/>
                <w:sz w:val="17"/>
              </w:rPr>
              <w:t>Source</w:t>
            </w:r>
          </w:p>
        </w:tc>
      </w:tr>
      <w:tr>
        <w:tc>
          <w:tcPr>
            <w:tcW w:type="dxa" w:w="1928"/>
          </w:tcPr>
          <w:p>
            <w:pPr>
              <w:spacing w:after="40" w:before="40"/>
            </w:pPr>
            <w:r/>
            <w:r>
              <w:rPr>
                <w:rFonts w:ascii="Calibri" w:hAnsi="Calibri"/>
                <w:b w:val="0"/>
                <w:i w:val="0"/>
                <w:sz w:val="17"/>
              </w:rPr>
              <w:t>Solar Openfield</w:t>
            </w:r>
          </w:p>
        </w:tc>
        <w:tc>
          <w:tcPr>
            <w:tcW w:type="dxa" w:w="1701"/>
          </w:tcPr>
          <w:p>
            <w:pPr>
              <w:spacing w:after="40" w:before="40"/>
            </w:pPr>
            <w:r/>
            <w:r>
              <w:rPr>
                <w:rFonts w:ascii="Calibri" w:hAnsi="Calibri"/>
                <w:b w:val="0"/>
                <w:i w:val="0"/>
                <w:sz w:val="17"/>
              </w:rPr>
              <w:t>119,179 MW</w:t>
            </w:r>
          </w:p>
        </w:tc>
        <w:tc>
          <w:tcPr>
            <w:tcW w:type="dxa" w:w="1361"/>
          </w:tcPr>
          <w:p>
            <w:pPr>
              <w:spacing w:after="40" w:before="40"/>
            </w:pPr>
            <w:r/>
            <w:r>
              <w:rPr>
                <w:rFonts w:ascii="Calibri" w:hAnsi="Calibri"/>
                <w:b w:val="0"/>
                <w:i w:val="0"/>
                <w:sz w:val="17"/>
              </w:rPr>
              <w:t>MPVAR</w:t>
            </w:r>
          </w:p>
        </w:tc>
        <w:tc>
          <w:tcPr>
            <w:tcW w:type="dxa" w:w="1701"/>
          </w:tcPr>
          <w:p>
            <w:pPr>
              <w:spacing w:after="40" w:before="40"/>
            </w:pPr>
            <w:r/>
            <w:r>
              <w:rPr>
                <w:rFonts w:ascii="Calibri" w:hAnsi="Calibri"/>
                <w:b w:val="0"/>
                <w:i w:val="0"/>
                <w:sz w:val="17"/>
              </w:rPr>
              <w:t>49 EUR/MWh</w:t>
            </w:r>
          </w:p>
        </w:tc>
        <w:tc>
          <w:tcPr>
            <w:tcW w:type="dxa" w:w="2721"/>
          </w:tcPr>
          <w:p>
            <w:pPr>
              <w:spacing w:after="40" w:before="40"/>
            </w:pPr>
            <w:r/>
            <w:r>
              <w:rPr>
                <w:rFonts w:ascii="Calibri" w:hAnsi="Calibri"/>
                <w:b w:val="0"/>
                <w:i w:val="0"/>
                <w:sz w:val="17"/>
              </w:rPr>
              <w:t>BNetzA solar auction, Mar 2026</w:t>
            </w:r>
          </w:p>
        </w:tc>
      </w:tr>
      <w:tr>
        <w:tc>
          <w:tcPr>
            <w:tcW w:type="dxa" w:w="1928"/>
          </w:tcPr>
          <w:p>
            <w:pPr>
              <w:spacing w:after="40" w:before="40"/>
            </w:pPr>
            <w:r/>
            <w:r>
              <w:rPr>
                <w:rFonts w:ascii="Calibri" w:hAnsi="Calibri"/>
                <w:b w:val="0"/>
                <w:i w:val="0"/>
                <w:sz w:val="17"/>
              </w:rPr>
              <w:t>Solar Rooftop</w:t>
            </w:r>
          </w:p>
        </w:tc>
        <w:tc>
          <w:tcPr>
            <w:tcW w:type="dxa" w:w="1701"/>
          </w:tcPr>
          <w:p>
            <w:pPr>
              <w:spacing w:after="40" w:before="40"/>
            </w:pPr>
            <w:r/>
            <w:r>
              <w:rPr>
                <w:rFonts w:ascii="Calibri" w:hAnsi="Calibri"/>
                <w:b w:val="0"/>
                <w:i w:val="0"/>
                <w:sz w:val="17"/>
              </w:rPr>
              <w:t>33,706 MW</w:t>
            </w:r>
          </w:p>
        </w:tc>
        <w:tc>
          <w:tcPr>
            <w:tcW w:type="dxa" w:w="1361"/>
          </w:tcPr>
          <w:p>
            <w:pPr>
              <w:spacing w:after="40" w:before="40"/>
            </w:pPr>
            <w:r/>
            <w:r>
              <w:rPr>
                <w:rFonts w:ascii="Calibri" w:hAnsi="Calibri"/>
                <w:b w:val="0"/>
                <w:i w:val="0"/>
                <w:sz w:val="17"/>
              </w:rPr>
              <w:t>FIT</w:t>
            </w:r>
          </w:p>
        </w:tc>
        <w:tc>
          <w:tcPr>
            <w:tcW w:type="dxa" w:w="1701"/>
          </w:tcPr>
          <w:p>
            <w:pPr>
              <w:spacing w:after="40" w:before="40"/>
            </w:pPr>
            <w:r/>
            <w:r>
              <w:rPr>
                <w:rFonts w:ascii="Calibri" w:hAnsi="Calibri"/>
                <w:b w:val="0"/>
                <w:i w:val="0"/>
                <w:sz w:val="17"/>
              </w:rPr>
              <w:t>75 EUR/MWh</w:t>
            </w:r>
          </w:p>
        </w:tc>
        <w:tc>
          <w:tcPr>
            <w:tcW w:type="dxa" w:w="2721"/>
          </w:tcPr>
          <w:p>
            <w:pPr>
              <w:spacing w:after="40" w:before="40"/>
            </w:pPr>
            <w:r/>
            <w:r>
              <w:rPr>
                <w:rFonts w:ascii="Calibri" w:hAnsi="Calibri"/>
                <w:b w:val="0"/>
                <w:i w:val="0"/>
                <w:sz w:val="17"/>
              </w:rPr>
              <w:t>EEG S49 degression, extrapolated - FLAGGED draft 2026 reform risk</w:t>
            </w:r>
          </w:p>
        </w:tc>
      </w:tr>
      <w:tr>
        <w:tc>
          <w:tcPr>
            <w:tcW w:type="dxa" w:w="1928"/>
          </w:tcPr>
          <w:p>
            <w:pPr>
              <w:spacing w:after="40" w:before="40"/>
            </w:pPr>
            <w:r/>
            <w:r>
              <w:rPr>
                <w:rFonts w:ascii="Calibri" w:hAnsi="Calibri"/>
                <w:b w:val="0"/>
                <w:i w:val="0"/>
                <w:sz w:val="17"/>
              </w:rPr>
              <w:t>Wind Onshore</w:t>
            </w:r>
          </w:p>
        </w:tc>
        <w:tc>
          <w:tcPr>
            <w:tcW w:type="dxa" w:w="1701"/>
          </w:tcPr>
          <w:p>
            <w:pPr>
              <w:spacing w:after="40" w:before="40"/>
            </w:pPr>
            <w:r/>
            <w:r>
              <w:rPr>
                <w:rFonts w:ascii="Calibri" w:hAnsi="Calibri"/>
                <w:b w:val="0"/>
                <w:i w:val="0"/>
                <w:sz w:val="17"/>
              </w:rPr>
              <w:t>90,232 MW</w:t>
            </w:r>
          </w:p>
        </w:tc>
        <w:tc>
          <w:tcPr>
            <w:tcW w:type="dxa" w:w="1361"/>
          </w:tcPr>
          <w:p>
            <w:pPr>
              <w:spacing w:after="40" w:before="40"/>
            </w:pPr>
            <w:r/>
            <w:r>
              <w:rPr>
                <w:rFonts w:ascii="Calibri" w:hAnsi="Calibri"/>
                <w:b w:val="0"/>
                <w:i w:val="0"/>
                <w:sz w:val="17"/>
              </w:rPr>
              <w:t>MPVAR</w:t>
            </w:r>
          </w:p>
        </w:tc>
        <w:tc>
          <w:tcPr>
            <w:tcW w:type="dxa" w:w="1701"/>
          </w:tcPr>
          <w:p>
            <w:pPr>
              <w:spacing w:after="40" w:before="40"/>
            </w:pPr>
            <w:r/>
            <w:r>
              <w:rPr>
                <w:rFonts w:ascii="Calibri" w:hAnsi="Calibri"/>
                <w:b w:val="0"/>
                <w:i w:val="0"/>
                <w:sz w:val="17"/>
              </w:rPr>
              <w:t>52 EUR/MWh</w:t>
            </w:r>
          </w:p>
        </w:tc>
        <w:tc>
          <w:tcPr>
            <w:tcW w:type="dxa" w:w="2721"/>
          </w:tcPr>
          <w:p>
            <w:pPr>
              <w:spacing w:after="40" w:before="40"/>
            </w:pPr>
            <w:r/>
            <w:r>
              <w:rPr>
                <w:rFonts w:ascii="Calibri" w:hAnsi="Calibri"/>
                <w:b w:val="0"/>
                <w:i w:val="0"/>
                <w:sz w:val="17"/>
              </w:rPr>
              <w:t>BNetzA wind auctions, Feb-Aug 2026</w:t>
            </w:r>
          </w:p>
        </w:tc>
      </w:tr>
      <w:tr>
        <w:tc>
          <w:tcPr>
            <w:tcW w:type="dxa" w:w="1928"/>
          </w:tcPr>
          <w:p>
            <w:pPr>
              <w:spacing w:after="40" w:before="40"/>
            </w:pPr>
            <w:r/>
            <w:r>
              <w:rPr>
                <w:rFonts w:ascii="Calibri" w:hAnsi="Calibri"/>
                <w:b w:val="0"/>
                <w:i w:val="0"/>
                <w:sz w:val="17"/>
              </w:rPr>
              <w:t>Wind Offshore</w:t>
            </w:r>
          </w:p>
        </w:tc>
        <w:tc>
          <w:tcPr>
            <w:tcW w:type="dxa" w:w="1701"/>
          </w:tcPr>
          <w:p>
            <w:pPr>
              <w:spacing w:after="40" w:before="40"/>
            </w:pPr>
            <w:r/>
            <w:r>
              <w:rPr>
                <w:rFonts w:ascii="Calibri" w:hAnsi="Calibri"/>
                <w:b w:val="0"/>
                <w:i w:val="0"/>
                <w:sz w:val="17"/>
              </w:rPr>
              <w:t>12,573 MW</w:t>
            </w:r>
          </w:p>
        </w:tc>
        <w:tc>
          <w:tcPr>
            <w:tcW w:type="dxa" w:w="1361"/>
          </w:tcPr>
          <w:p>
            <w:pPr>
              <w:spacing w:after="40" w:before="40"/>
            </w:pPr>
            <w:r/>
            <w:r>
              <w:rPr>
                <w:rFonts w:ascii="Calibri" w:hAnsi="Calibri"/>
                <w:b w:val="0"/>
                <w:i w:val="0"/>
                <w:sz w:val="17"/>
              </w:rPr>
              <w:t>MPVAR</w:t>
            </w:r>
          </w:p>
        </w:tc>
        <w:tc>
          <w:tcPr>
            <w:tcW w:type="dxa" w:w="1701"/>
          </w:tcPr>
          <w:p>
            <w:pPr>
              <w:spacing w:after="40" w:before="40"/>
            </w:pPr>
            <w:r/>
            <w:r>
              <w:rPr>
                <w:rFonts w:ascii="Calibri" w:hAnsi="Calibri"/>
                <w:b w:val="0"/>
                <w:i w:val="0"/>
                <w:sz w:val="17"/>
              </w:rPr>
              <w:t>187 EUR/MWh</w:t>
            </w:r>
          </w:p>
        </w:tc>
        <w:tc>
          <w:tcPr>
            <w:tcW w:type="dxa" w:w="2721"/>
          </w:tcPr>
          <w:p>
            <w:pPr>
              <w:spacing w:after="40" w:before="40"/>
            </w:pPr>
            <w:r/>
            <w:r>
              <w:rPr>
                <w:rFonts w:ascii="Calibri" w:hAnsi="Calibri"/>
                <w:b w:val="0"/>
                <w:i w:val="0"/>
                <w:sz w:val="17"/>
              </w:rPr>
              <w:t>PLACEHOLDER - no real 2027 figure exists</w:t>
            </w:r>
          </w:p>
        </w:tc>
      </w:tr>
      <w:tr>
        <w:tc>
          <w:tcPr>
            <w:tcW w:type="dxa" w:w="1928"/>
          </w:tcPr>
          <w:p>
            <w:pPr>
              <w:spacing w:after="40" w:before="40"/>
            </w:pPr>
            <w:r/>
            <w:r>
              <w:rPr>
                <w:rFonts w:ascii="Calibri" w:hAnsi="Calibri"/>
                <w:b w:val="0"/>
                <w:i w:val="0"/>
                <w:sz w:val="17"/>
              </w:rPr>
              <w:t>Run-of-River</w:t>
            </w:r>
          </w:p>
        </w:tc>
        <w:tc>
          <w:tcPr>
            <w:tcW w:type="dxa" w:w="1701"/>
          </w:tcPr>
          <w:p>
            <w:pPr>
              <w:spacing w:after="40" w:before="40"/>
            </w:pPr>
            <w:r/>
            <w:r>
              <w:rPr>
                <w:rFonts w:ascii="Calibri" w:hAnsi="Calibri"/>
                <w:b w:val="0"/>
                <w:i w:val="0"/>
                <w:sz w:val="17"/>
              </w:rPr>
              <w:t>4,161 MW</w:t>
            </w:r>
          </w:p>
        </w:tc>
        <w:tc>
          <w:tcPr>
            <w:tcW w:type="dxa" w:w="1361"/>
          </w:tcPr>
          <w:p>
            <w:pPr>
              <w:spacing w:after="40" w:before="40"/>
            </w:pPr>
            <w:r/>
            <w:r>
              <w:rPr>
                <w:rFonts w:ascii="Calibri" w:hAnsi="Calibri"/>
                <w:b w:val="0"/>
                <w:i w:val="0"/>
                <w:sz w:val="17"/>
              </w:rPr>
              <w:t>FIT</w:t>
            </w:r>
          </w:p>
        </w:tc>
        <w:tc>
          <w:tcPr>
            <w:tcW w:type="dxa" w:w="1701"/>
          </w:tcPr>
          <w:p>
            <w:pPr>
              <w:spacing w:after="40" w:before="40"/>
            </w:pPr>
            <w:r/>
            <w:r>
              <w:rPr>
                <w:rFonts w:ascii="Calibri" w:hAnsi="Calibri"/>
                <w:b w:val="0"/>
                <w:i w:val="0"/>
                <w:sz w:val="17"/>
              </w:rPr>
              <w:t>100 EUR/MWh</w:t>
            </w:r>
          </w:p>
        </w:tc>
        <w:tc>
          <w:tcPr>
            <w:tcW w:type="dxa" w:w="2721"/>
          </w:tcPr>
          <w:p>
            <w:pPr>
              <w:spacing w:after="40" w:before="40"/>
            </w:pPr>
            <w:r/>
            <w:r>
              <w:rPr>
                <w:rFonts w:ascii="Calibri" w:hAnsi="Calibri"/>
                <w:b w:val="0"/>
                <w:i w:val="0"/>
                <w:sz w:val="17"/>
              </w:rPr>
              <w:t>AMIRIS own</w:t>
            </w:r>
          </w:p>
        </w:tc>
      </w:tr>
      <w:tr>
        <w:tc>
          <w:tcPr>
            <w:tcW w:type="dxa" w:w="1928"/>
          </w:tcPr>
          <w:p>
            <w:pPr>
              <w:spacing w:after="40" w:before="40"/>
            </w:pPr>
            <w:r/>
            <w:r>
              <w:rPr>
                <w:rFonts w:ascii="Calibri" w:hAnsi="Calibri"/>
                <w:b w:val="0"/>
                <w:i w:val="0"/>
                <w:sz w:val="17"/>
              </w:rPr>
              <w:t>Biomass</w:t>
            </w:r>
          </w:p>
        </w:tc>
        <w:tc>
          <w:tcPr>
            <w:tcW w:type="dxa" w:w="1701"/>
          </w:tcPr>
          <w:p>
            <w:pPr>
              <w:spacing w:after="40" w:before="40"/>
            </w:pPr>
            <w:r/>
            <w:r>
              <w:rPr>
                <w:rFonts w:ascii="Calibri" w:hAnsi="Calibri"/>
                <w:b w:val="0"/>
                <w:i w:val="0"/>
                <w:sz w:val="17"/>
              </w:rPr>
              <w:t>8,250 MW</w:t>
            </w:r>
          </w:p>
        </w:tc>
        <w:tc>
          <w:tcPr>
            <w:tcW w:type="dxa" w:w="1361"/>
          </w:tcPr>
          <w:p>
            <w:pPr>
              <w:spacing w:after="40" w:before="40"/>
            </w:pPr>
            <w:r/>
            <w:r>
              <w:rPr>
                <w:rFonts w:ascii="Calibri" w:hAnsi="Calibri"/>
                <w:b w:val="0"/>
                <w:i w:val="0"/>
                <w:sz w:val="17"/>
              </w:rPr>
              <w:t>MPVAR</w:t>
            </w:r>
          </w:p>
        </w:tc>
        <w:tc>
          <w:tcPr>
            <w:tcW w:type="dxa" w:w="1701"/>
          </w:tcPr>
          <w:p>
            <w:pPr>
              <w:spacing w:after="40" w:before="40"/>
            </w:pPr>
            <w:r/>
            <w:r>
              <w:rPr>
                <w:rFonts w:ascii="Calibri" w:hAnsi="Calibri"/>
                <w:b w:val="0"/>
                <w:i w:val="0"/>
                <w:sz w:val="17"/>
              </w:rPr>
              <w:t>197 EUR/MWh</w:t>
            </w:r>
          </w:p>
        </w:tc>
        <w:tc>
          <w:tcPr>
            <w:tcW w:type="dxa" w:w="2721"/>
          </w:tcPr>
          <w:p>
            <w:pPr>
              <w:spacing w:after="40" w:before="40"/>
            </w:pPr>
            <w:r/>
            <w:r>
              <w:rPr>
                <w:rFonts w:ascii="Calibri" w:hAnsi="Calibri"/>
                <w:b w:val="0"/>
                <w:i w:val="0"/>
                <w:sz w:val="17"/>
              </w:rPr>
              <w:t>BNetzA biomass tender, Apr 2026</w:t>
            </w:r>
          </w:p>
        </w:tc>
      </w:tr>
    </w:tbl>
    <w:p>
      <w:pPr>
        <w:spacing w:after="80"/>
      </w:pPr>
    </w:p>
    <w:p>
      <w:pPr>
        <w:spacing w:before="320" w:after="120"/>
        <w:pBdr>
          <w:bottom w:val="single" w:sz="8" w:space="4" w:color="1F3A4D"/>
        </w:pBdr>
      </w:pPr>
      <w:r>
        <w:rPr>
          <w:rFonts w:ascii="Calibri" w:hAnsi="Calibri"/>
          <w:b/>
          <w:i w:val="0"/>
          <w:color w:val="1F3A4D"/>
          <w:sz w:val="30"/>
        </w:rPr>
        <w:t>Part 4 - Storage Fleet (Storage.yaml)</w:t>
      </w:r>
    </w:p>
    <w:tbl>
      <w:tblPr>
        <w:tblStyle w:val="TableGrid"/>
        <w:tblW w:type="auto" w:w="0"/>
        <w:jc w:val="left"/>
        <w:tblLayout w:type="fixed"/>
        <w:tblLook w:firstColumn="1" w:firstRow="1" w:lastColumn="0" w:lastRow="0" w:noHBand="0" w:noVBand="1" w:val="04A0"/>
      </w:tblPr>
      <w:tblGrid>
        <w:gridCol w:w="1928"/>
        <w:gridCol w:w="1701"/>
        <w:gridCol w:w="2268"/>
        <w:gridCol w:w="1928"/>
        <w:gridCol w:w="1587"/>
      </w:tblGrid>
      <w:tr>
        <w:tc>
          <w:tcPr>
            <w:tcW w:type="dxa" w:w="1928"/>
            <w:shd w:val="clear" w:color="auto" w:fill="1F3A4D"/>
          </w:tcPr>
          <w:p>
            <w:pPr>
              <w:spacing w:after="40" w:before="40"/>
            </w:pPr>
            <w:r/>
            <w:r>
              <w:rPr>
                <w:rFonts w:ascii="Calibri" w:hAnsi="Calibri"/>
                <w:b/>
                <w:i w:val="0"/>
                <w:color w:val="FFFFFF"/>
                <w:sz w:val="17"/>
              </w:rPr>
              <w:t>Agent</w:t>
            </w:r>
          </w:p>
        </w:tc>
        <w:tc>
          <w:tcPr>
            <w:tcW w:type="dxa" w:w="1701"/>
            <w:shd w:val="clear" w:color="auto" w:fill="1F3A4D"/>
          </w:tcPr>
          <w:p>
            <w:pPr>
              <w:spacing w:after="40" w:before="40"/>
            </w:pPr>
            <w:r/>
            <w:r>
              <w:rPr>
                <w:rFonts w:ascii="Calibri" w:hAnsi="Calibri"/>
                <w:b/>
                <w:i w:val="0"/>
                <w:color w:val="FFFFFF"/>
                <w:sz w:val="17"/>
              </w:rPr>
              <w:t>Power</w:t>
            </w:r>
          </w:p>
        </w:tc>
        <w:tc>
          <w:tcPr>
            <w:tcW w:type="dxa" w:w="2268"/>
            <w:shd w:val="clear" w:color="auto" w:fill="1F3A4D"/>
          </w:tcPr>
          <w:p>
            <w:pPr>
              <w:spacing w:after="40" w:before="40"/>
            </w:pPr>
            <w:r/>
            <w:r>
              <w:rPr>
                <w:rFonts w:ascii="Calibri" w:hAnsi="Calibri"/>
                <w:b/>
                <w:i w:val="0"/>
                <w:color w:val="FFFFFF"/>
                <w:sz w:val="17"/>
              </w:rPr>
              <w:t>Duration</w:t>
            </w:r>
          </w:p>
        </w:tc>
        <w:tc>
          <w:tcPr>
            <w:tcW w:type="dxa" w:w="1928"/>
            <w:shd w:val="clear" w:color="auto" w:fill="1F3A4D"/>
          </w:tcPr>
          <w:p>
            <w:pPr>
              <w:spacing w:after="40" w:before="40"/>
            </w:pPr>
            <w:r/>
            <w:r>
              <w:rPr>
                <w:rFonts w:ascii="Calibri" w:hAnsi="Calibri"/>
                <w:b/>
                <w:i w:val="0"/>
                <w:color w:val="FFFFFF"/>
                <w:sz w:val="17"/>
              </w:rPr>
              <w:t>Energy</w:t>
            </w:r>
          </w:p>
        </w:tc>
        <w:tc>
          <w:tcPr>
            <w:tcW w:type="dxa" w:w="1587"/>
            <w:shd w:val="clear" w:color="auto" w:fill="1F3A4D"/>
          </w:tcPr>
          <w:p>
            <w:pPr>
              <w:spacing w:after="40" w:before="40"/>
            </w:pPr>
            <w:r/>
            <w:r>
              <w:rPr>
                <w:rFonts w:ascii="Calibri" w:hAnsi="Calibri"/>
                <w:b/>
                <w:i w:val="0"/>
                <w:color w:val="FFFFFF"/>
                <w:sz w:val="17"/>
              </w:rPr>
              <w:t>Efficiency</w:t>
            </w:r>
          </w:p>
        </w:tc>
      </w:tr>
      <w:tr>
        <w:tc>
          <w:tcPr>
            <w:tcW w:type="dxa" w:w="1928"/>
          </w:tcPr>
          <w:p>
            <w:pPr>
              <w:spacing w:after="40" w:before="40"/>
            </w:pPr>
            <w:r/>
            <w:r>
              <w:rPr>
                <w:rFonts w:ascii="Calibri" w:hAnsi="Calibri"/>
                <w:b w:val="0"/>
                <w:i w:val="0"/>
                <w:sz w:val="17"/>
              </w:rPr>
              <w:t>Pumped Hydro</w:t>
            </w:r>
          </w:p>
        </w:tc>
        <w:tc>
          <w:tcPr>
            <w:tcW w:type="dxa" w:w="1701"/>
          </w:tcPr>
          <w:p>
            <w:pPr>
              <w:spacing w:after="40" w:before="40"/>
            </w:pPr>
            <w:r/>
            <w:r>
              <w:rPr>
                <w:rFonts w:ascii="Calibri" w:hAnsi="Calibri"/>
                <w:b w:val="0"/>
                <w:i w:val="0"/>
                <w:sz w:val="17"/>
              </w:rPr>
              <w:t>8,377.6 MW</w:t>
            </w:r>
          </w:p>
        </w:tc>
        <w:tc>
          <w:tcPr>
            <w:tcW w:type="dxa" w:w="2268"/>
          </w:tcPr>
          <w:p>
            <w:pPr>
              <w:spacing w:after="40" w:before="40"/>
            </w:pPr>
            <w:r/>
            <w:r>
              <w:rPr>
                <w:rFonts w:ascii="Calibri" w:hAnsi="Calibri"/>
                <w:b w:val="0"/>
                <w:i w:val="0"/>
                <w:sz w:val="17"/>
              </w:rPr>
              <w:t>6.399h - AMIRIS own</w:t>
            </w:r>
          </w:p>
        </w:tc>
        <w:tc>
          <w:tcPr>
            <w:tcW w:type="dxa" w:w="1928"/>
          </w:tcPr>
          <w:p>
            <w:pPr>
              <w:spacing w:after="40" w:before="40"/>
            </w:pPr>
            <w:r/>
            <w:r>
              <w:rPr>
                <w:rFonts w:ascii="Calibri" w:hAnsi="Calibri"/>
                <w:b w:val="0"/>
                <w:i w:val="0"/>
                <w:sz w:val="17"/>
              </w:rPr>
              <w:t>53,607.5 MWh</w:t>
            </w:r>
          </w:p>
        </w:tc>
        <w:tc>
          <w:tcPr>
            <w:tcW w:type="dxa" w:w="1587"/>
          </w:tcPr>
          <w:p>
            <w:pPr>
              <w:spacing w:after="40" w:before="40"/>
            </w:pPr>
            <w:r/>
            <w:r>
              <w:rPr>
                <w:rFonts w:ascii="Calibri" w:hAnsi="Calibri"/>
                <w:b w:val="0"/>
                <w:i w:val="0"/>
                <w:sz w:val="17"/>
              </w:rPr>
              <w:t>87.5%/85.2%</w:t>
            </w:r>
          </w:p>
        </w:tc>
      </w:tr>
      <w:tr>
        <w:tc>
          <w:tcPr>
            <w:tcW w:type="dxa" w:w="1928"/>
          </w:tcPr>
          <w:p>
            <w:pPr>
              <w:spacing w:after="40" w:before="40"/>
            </w:pPr>
            <w:r/>
            <w:r>
              <w:rPr>
                <w:rFonts w:ascii="Calibri" w:hAnsi="Calibri"/>
                <w:b w:val="0"/>
                <w:i w:val="0"/>
                <w:sz w:val="17"/>
              </w:rPr>
              <w:t>Battery</w:t>
            </w:r>
          </w:p>
        </w:tc>
        <w:tc>
          <w:tcPr>
            <w:tcW w:type="dxa" w:w="1701"/>
          </w:tcPr>
          <w:p>
            <w:pPr>
              <w:spacing w:after="40" w:before="40"/>
            </w:pPr>
            <w:r/>
            <w:r>
              <w:rPr>
                <w:rFonts w:ascii="Calibri" w:hAnsi="Calibri"/>
                <w:b w:val="0"/>
                <w:i w:val="0"/>
                <w:sz w:val="17"/>
              </w:rPr>
              <w:t>5,151.7 MW</w:t>
            </w:r>
          </w:p>
        </w:tc>
        <w:tc>
          <w:tcPr>
            <w:tcW w:type="dxa" w:w="2268"/>
          </w:tcPr>
          <w:p>
            <w:pPr>
              <w:spacing w:after="40" w:before="40"/>
            </w:pPr>
            <w:r/>
            <w:r>
              <w:rPr>
                <w:rFonts w:ascii="Calibri" w:hAnsi="Calibri"/>
                <w:b w:val="0"/>
                <w:i w:val="0"/>
                <w:sz w:val="17"/>
              </w:rPr>
              <w:t>2.0h - MaStR/RWE Hambach</w:t>
            </w:r>
          </w:p>
        </w:tc>
        <w:tc>
          <w:tcPr>
            <w:tcW w:type="dxa" w:w="1928"/>
          </w:tcPr>
          <w:p>
            <w:pPr>
              <w:spacing w:after="40" w:before="40"/>
            </w:pPr>
            <w:r/>
            <w:r>
              <w:rPr>
                <w:rFonts w:ascii="Calibri" w:hAnsi="Calibri"/>
                <w:b w:val="0"/>
                <w:i w:val="0"/>
                <w:sz w:val="17"/>
              </w:rPr>
              <w:t>10,303.4 MWh</w:t>
            </w:r>
          </w:p>
        </w:tc>
        <w:tc>
          <w:tcPr>
            <w:tcW w:type="dxa" w:w="1587"/>
          </w:tcPr>
          <w:p>
            <w:pPr>
              <w:spacing w:after="40" w:before="40"/>
            </w:pPr>
            <w:r/>
            <w:r>
              <w:rPr>
                <w:rFonts w:ascii="Calibri" w:hAnsi="Calibri"/>
                <w:b w:val="0"/>
                <w:i w:val="0"/>
                <w:sz w:val="17"/>
              </w:rPr>
              <w:t>95%/95%</w:t>
            </w:r>
          </w:p>
        </w:tc>
      </w:tr>
      <w:tr>
        <w:tc>
          <w:tcPr>
            <w:tcW w:type="dxa" w:w="1928"/>
          </w:tcPr>
          <w:p>
            <w:pPr>
              <w:spacing w:after="40" w:before="40"/>
            </w:pPr>
            <w:r/>
            <w:r>
              <w:rPr>
                <w:rFonts w:ascii="Calibri" w:hAnsi="Calibri"/>
                <w:b w:val="0"/>
                <w:i w:val="0"/>
                <w:sz w:val="17"/>
              </w:rPr>
              <w:t>Reservoir Hydro</w:t>
            </w:r>
          </w:p>
        </w:tc>
        <w:tc>
          <w:tcPr>
            <w:tcW w:type="dxa" w:w="1701"/>
          </w:tcPr>
          <w:p>
            <w:pPr>
              <w:spacing w:after="40" w:before="40"/>
            </w:pPr>
            <w:r/>
            <w:r>
              <w:rPr>
                <w:rFonts w:ascii="Calibri" w:hAnsi="Calibri"/>
                <w:b w:val="0"/>
                <w:i w:val="0"/>
                <w:sz w:val="17"/>
              </w:rPr>
              <w:t>1,540.0 MW</w:t>
            </w:r>
          </w:p>
        </w:tc>
        <w:tc>
          <w:tcPr>
            <w:tcW w:type="dxa" w:w="2268"/>
          </w:tcPr>
          <w:p>
            <w:pPr>
              <w:spacing w:after="40" w:before="40"/>
            </w:pPr>
            <w:r/>
            <w:r>
              <w:rPr>
                <w:rFonts w:ascii="Calibri" w:hAnsi="Calibri"/>
                <w:b w:val="0"/>
                <w:i w:val="0"/>
                <w:sz w:val="17"/>
              </w:rPr>
              <w:t>111.22h - AMIRIS own</w:t>
            </w:r>
          </w:p>
        </w:tc>
        <w:tc>
          <w:tcPr>
            <w:tcW w:type="dxa" w:w="1928"/>
          </w:tcPr>
          <w:p>
            <w:pPr>
              <w:spacing w:after="40" w:before="40"/>
            </w:pPr>
            <w:r/>
            <w:r>
              <w:rPr>
                <w:rFonts w:ascii="Calibri" w:hAnsi="Calibri"/>
                <w:b w:val="0"/>
                <w:i w:val="0"/>
                <w:sz w:val="17"/>
              </w:rPr>
              <w:t>171,282.2 MWh</w:t>
            </w:r>
          </w:p>
        </w:tc>
        <w:tc>
          <w:tcPr>
            <w:tcW w:type="dxa" w:w="1587"/>
          </w:tcPr>
          <w:p>
            <w:pPr>
              <w:spacing w:after="40" w:before="40"/>
            </w:pPr>
            <w:r/>
            <w:r>
              <w:rPr>
                <w:rFonts w:ascii="Calibri" w:hAnsi="Calibri"/>
                <w:b w:val="0"/>
                <w:i w:val="0"/>
                <w:sz w:val="17"/>
              </w:rPr>
              <w:t>91%/91%</w:t>
            </w:r>
          </w:p>
        </w:tc>
      </w:tr>
    </w:tbl>
    <w:p>
      <w:pPr>
        <w:spacing w:after="80"/>
      </w:pPr>
    </w:p>
    <w:p>
      <w:pPr>
        <w:spacing w:before="320" w:after="120"/>
        <w:pBdr>
          <w:bottom w:val="single" w:sz="8" w:space="4" w:color="1F3A4D"/>
        </w:pBdr>
      </w:pPr>
      <w:r>
        <w:rPr>
          <w:rFonts w:ascii="Calibri" w:hAnsi="Calibri"/>
          <w:b/>
          <w:i w:val="0"/>
          <w:color w:val="1F3A4D"/>
          <w:sz w:val="30"/>
        </w:rPr>
        <w:t>Part 5 - YAML File Construction</w:t>
      </w:r>
    </w:p>
    <w:tbl>
      <w:tblPr>
        <w:tblStyle w:val="TableGrid"/>
        <w:tblW w:type="auto" w:w="0"/>
        <w:jc w:val="left"/>
        <w:tblLayout w:type="fixed"/>
        <w:tblLook w:firstColumn="1" w:firstRow="1" w:lastColumn="0" w:lastRow="0" w:noHBand="0" w:noVBand="1" w:val="04A0"/>
      </w:tblPr>
      <w:tblGrid>
        <w:gridCol w:w="2381"/>
        <w:gridCol w:w="1814"/>
        <w:gridCol w:w="5329"/>
      </w:tblGrid>
      <w:tr>
        <w:tc>
          <w:tcPr>
            <w:tcW w:type="dxa" w:w="2381"/>
            <w:shd w:val="clear" w:color="auto" w:fill="1F3A4D"/>
          </w:tcPr>
          <w:p>
            <w:pPr>
              <w:spacing w:after="40" w:before="40"/>
            </w:pPr>
            <w:r/>
            <w:r>
              <w:rPr>
                <w:rFonts w:ascii="Calibri" w:hAnsi="Calibri"/>
                <w:b/>
                <w:i w:val="0"/>
                <w:color w:val="FFFFFF"/>
                <w:sz w:val="17"/>
              </w:rPr>
              <w:t>File</w:t>
            </w:r>
          </w:p>
        </w:tc>
        <w:tc>
          <w:tcPr>
            <w:tcW w:type="dxa" w:w="1814"/>
            <w:shd w:val="clear" w:color="auto" w:fill="1F3A4D"/>
          </w:tcPr>
          <w:p>
            <w:pPr>
              <w:spacing w:after="40" w:before="40"/>
            </w:pPr>
            <w:r/>
            <w:r>
              <w:rPr>
                <w:rFonts w:ascii="Calibri" w:hAnsi="Calibri"/>
                <w:b/>
                <w:i w:val="0"/>
                <w:color w:val="FFFFFF"/>
                <w:sz w:val="17"/>
              </w:rPr>
              <w:t>Status</w:t>
            </w:r>
          </w:p>
        </w:tc>
        <w:tc>
          <w:tcPr>
            <w:tcW w:type="dxa" w:w="5329"/>
            <w:shd w:val="clear" w:color="auto" w:fill="1F3A4D"/>
          </w:tcPr>
          <w:p>
            <w:pPr>
              <w:spacing w:after="40" w:before="40"/>
            </w:pPr>
            <w:r/>
            <w:r>
              <w:rPr>
                <w:rFonts w:ascii="Calibri" w:hAnsi="Calibri"/>
                <w:b/>
                <w:i w:val="0"/>
                <w:color w:val="FFFFFF"/>
                <w:sz w:val="17"/>
              </w:rPr>
              <w:t>What was done</w:t>
            </w:r>
          </w:p>
        </w:tc>
      </w:tr>
      <w:tr>
        <w:tc>
          <w:tcPr>
            <w:tcW w:type="dxa" w:w="2381"/>
          </w:tcPr>
          <w:p>
            <w:pPr>
              <w:spacing w:after="40" w:before="40"/>
            </w:pPr>
            <w:r/>
            <w:r>
              <w:rPr>
                <w:rFonts w:ascii="Calibri" w:hAnsi="Calibri"/>
                <w:b/>
                <w:i w:val="0"/>
                <w:color w:val="1F3A4D"/>
                <w:sz w:val="17"/>
              </w:rPr>
              <w:t>schema.yaml</w:t>
            </w:r>
          </w:p>
        </w:tc>
        <w:tc>
          <w:tcPr>
            <w:tcW w:type="dxa" w:w="1814"/>
          </w:tcPr>
          <w:p>
            <w:pPr>
              <w:spacing w:after="40" w:before="40"/>
            </w:pPr>
            <w:r/>
            <w:r>
              <w:rPr>
                <w:rFonts w:ascii="Calibri" w:hAnsi="Calibri"/>
                <w:b w:val="0"/>
                <w:i w:val="0"/>
                <w:sz w:val="17"/>
              </w:rPr>
              <w:t>Copied unchanged</w:t>
            </w:r>
          </w:p>
        </w:tc>
        <w:tc>
          <w:tcPr>
            <w:tcW w:type="dxa" w:w="5329"/>
          </w:tcPr>
          <w:p>
            <w:pPr>
              <w:spacing w:after="40" w:before="40"/>
            </w:pPr>
            <w:r/>
            <w:r>
              <w:rPr>
                <w:rFonts w:ascii="Calibri" w:hAnsi="Calibri"/>
                <w:b w:val="0"/>
                <w:i w:val="0"/>
                <w:sz w:val="17"/>
              </w:rPr>
              <w:t>Generic AMIRIS agent-type schema, no scenario-specific data.</w:t>
            </w:r>
          </w:p>
        </w:tc>
      </w:tr>
      <w:tr>
        <w:tc>
          <w:tcPr>
            <w:tcW w:type="dxa" w:w="2381"/>
          </w:tcPr>
          <w:p>
            <w:pPr>
              <w:spacing w:after="40" w:before="40"/>
            </w:pPr>
            <w:r/>
            <w:r>
              <w:rPr>
                <w:rFonts w:ascii="Calibri" w:hAnsi="Calibri"/>
                <w:b/>
                <w:i w:val="0"/>
                <w:color w:val="1F3A4D"/>
                <w:sz w:val="17"/>
              </w:rPr>
              <w:t>scenario.yaml</w:t>
            </w:r>
          </w:p>
        </w:tc>
        <w:tc>
          <w:tcPr>
            <w:tcW w:type="dxa" w:w="1814"/>
          </w:tcPr>
          <w:p>
            <w:pPr>
              <w:spacing w:after="40" w:before="40"/>
            </w:pPr>
            <w:r/>
            <w:r>
              <w:rPr>
                <w:rFonts w:ascii="Calibri" w:hAnsi="Calibri"/>
                <w:b w:val="0"/>
                <w:i w:val="0"/>
                <w:sz w:val="17"/>
              </w:rPr>
              <w:t>Written new</w:t>
            </w:r>
          </w:p>
        </w:tc>
        <w:tc>
          <w:tcPr>
            <w:tcW w:type="dxa" w:w="5329"/>
          </w:tcPr>
          <w:p>
            <w:pPr>
              <w:spacing w:after="40" w:before="40"/>
            </w:pPr>
            <w:r/>
            <w:r>
              <w:rPr>
                <w:rFonts w:ascii="Calibri" w:hAnsi="Calibri"/>
                <w:b w:val="0"/>
                <w:i w:val="0"/>
                <w:sz w:val="17"/>
              </w:rPr>
              <w:t>New Metadata, 2026-12-31 to 2027-12-31 window, PolicySet enum replaced with this build's six scheme names.</w:t>
            </w:r>
          </w:p>
        </w:tc>
      </w:tr>
      <w:tr>
        <w:tc>
          <w:tcPr>
            <w:tcW w:type="dxa" w:w="2381"/>
          </w:tcPr>
          <w:p>
            <w:pPr>
              <w:spacing w:after="40" w:before="40"/>
            </w:pPr>
            <w:r/>
            <w:r>
              <w:rPr>
                <w:rFonts w:ascii="Calibri" w:hAnsi="Calibri"/>
                <w:b/>
                <w:i w:val="0"/>
                <w:color w:val="1F3A4D"/>
                <w:sz w:val="17"/>
              </w:rPr>
              <w:t>Conventionals.yaml</w:t>
            </w:r>
          </w:p>
        </w:tc>
        <w:tc>
          <w:tcPr>
            <w:tcW w:type="dxa" w:w="1814"/>
          </w:tcPr>
          <w:p>
            <w:pPr>
              <w:spacing w:after="40" w:before="40"/>
            </w:pPr>
            <w:r/>
            <w:r>
              <w:rPr>
                <w:rFonts w:ascii="Calibri" w:hAnsi="Calibri"/>
                <w:b w:val="0"/>
                <w:i w:val="0"/>
                <w:sz w:val="17"/>
              </w:rPr>
              <w:t>Written new</w:t>
            </w:r>
          </w:p>
        </w:tc>
        <w:tc>
          <w:tcPr>
            <w:tcW w:type="dxa" w:w="5329"/>
          </w:tcPr>
          <w:p>
            <w:pPr>
              <w:spacing w:after="40" w:before="40"/>
            </w:pPr>
            <w:r/>
            <w:r>
              <w:rPr>
                <w:rFonts w:ascii="Calibri" w:hAnsi="Calibri"/>
                <w:b w:val="0"/>
                <w:i w:val="0"/>
                <w:sz w:val="17"/>
              </w:rPr>
              <w:t>Four fuel-type blocks. Nuclear and OCGT omitted entirely.</w:t>
            </w:r>
          </w:p>
        </w:tc>
      </w:tr>
      <w:tr>
        <w:tc>
          <w:tcPr>
            <w:tcW w:type="dxa" w:w="2381"/>
          </w:tcPr>
          <w:p>
            <w:pPr>
              <w:spacing w:after="40" w:before="40"/>
            </w:pPr>
            <w:r/>
            <w:r>
              <w:rPr>
                <w:rFonts w:ascii="Calibri" w:hAnsi="Calibri"/>
                <w:b/>
                <w:i w:val="0"/>
                <w:color w:val="1F3A4D"/>
                <w:sz w:val="17"/>
              </w:rPr>
              <w:t>RenewablesAndPolicy.yaml</w:t>
            </w:r>
          </w:p>
        </w:tc>
        <w:tc>
          <w:tcPr>
            <w:tcW w:type="dxa" w:w="1814"/>
          </w:tcPr>
          <w:p>
            <w:pPr>
              <w:spacing w:after="40" w:before="40"/>
            </w:pPr>
            <w:r/>
            <w:r>
              <w:rPr>
                <w:rFonts w:ascii="Calibri" w:hAnsi="Calibri"/>
                <w:b w:val="0"/>
                <w:i w:val="0"/>
                <w:sz w:val="17"/>
              </w:rPr>
              <w:t>Written new</w:t>
            </w:r>
          </w:p>
        </w:tc>
        <w:tc>
          <w:tcPr>
            <w:tcW w:type="dxa" w:w="5329"/>
          </w:tcPr>
          <w:p>
            <w:pPr>
              <w:spacing w:after="40" w:before="40"/>
            </w:pPr>
            <w:r/>
            <w:r>
              <w:rPr>
                <w:rFonts w:ascii="Calibri" w:hAnsi="Calibri"/>
                <w:b w:val="0"/>
                <w:i w:val="0"/>
                <w:sz w:val="17"/>
              </w:rPr>
              <w:t>Six operator agents, shared traders, SupportPolicy with six researched/gap-filled rates.</w:t>
            </w:r>
          </w:p>
        </w:tc>
      </w:tr>
      <w:tr>
        <w:tc>
          <w:tcPr>
            <w:tcW w:type="dxa" w:w="2381"/>
          </w:tcPr>
          <w:p>
            <w:pPr>
              <w:spacing w:after="40" w:before="40"/>
            </w:pPr>
            <w:r/>
            <w:r>
              <w:rPr>
                <w:rFonts w:ascii="Calibri" w:hAnsi="Calibri"/>
                <w:b/>
                <w:i w:val="0"/>
                <w:color w:val="1F3A4D"/>
                <w:sz w:val="17"/>
              </w:rPr>
              <w:t>Storage.yaml</w:t>
            </w:r>
          </w:p>
        </w:tc>
        <w:tc>
          <w:tcPr>
            <w:tcW w:type="dxa" w:w="1814"/>
          </w:tcPr>
          <w:p>
            <w:pPr>
              <w:spacing w:after="40" w:before="40"/>
            </w:pPr>
            <w:r/>
            <w:r>
              <w:rPr>
                <w:rFonts w:ascii="Calibri" w:hAnsi="Calibri"/>
                <w:b w:val="0"/>
                <w:i w:val="0"/>
                <w:sz w:val="17"/>
              </w:rPr>
              <w:t>Written new</w:t>
            </w:r>
          </w:p>
        </w:tc>
        <w:tc>
          <w:tcPr>
            <w:tcW w:type="dxa" w:w="5329"/>
          </w:tcPr>
          <w:p>
            <w:pPr>
              <w:spacing w:after="40" w:before="40"/>
            </w:pPr>
            <w:r/>
            <w:r>
              <w:rPr>
                <w:rFonts w:ascii="Calibri" w:hAnsi="Calibri"/>
                <w:b w:val="0"/>
                <w:i w:val="0"/>
                <w:sz w:val="17"/>
              </w:rPr>
              <w:t>Three GenericFlexibilityTrader agents.</w:t>
            </w:r>
          </w:p>
        </w:tc>
      </w:tr>
      <w:tr>
        <w:tc>
          <w:tcPr>
            <w:tcW w:type="dxa" w:w="2381"/>
          </w:tcPr>
          <w:p>
            <w:pPr>
              <w:spacing w:after="40" w:before="40"/>
            </w:pPr>
            <w:r/>
            <w:r>
              <w:rPr>
                <w:rFonts w:ascii="Calibri" w:hAnsi="Calibri"/>
                <w:b/>
                <w:i w:val="0"/>
                <w:color w:val="1F3A4D"/>
                <w:sz w:val="17"/>
              </w:rPr>
              <w:t>Demand.yaml</w:t>
            </w:r>
          </w:p>
        </w:tc>
        <w:tc>
          <w:tcPr>
            <w:tcW w:type="dxa" w:w="1814"/>
          </w:tcPr>
          <w:p>
            <w:pPr>
              <w:spacing w:after="40" w:before="40"/>
            </w:pPr>
            <w:r/>
            <w:r>
              <w:rPr>
                <w:rFonts w:ascii="Calibri" w:hAnsi="Calibri"/>
                <w:b w:val="0"/>
                <w:i w:val="0"/>
                <w:sz w:val="17"/>
              </w:rPr>
              <w:t>Written new</w:t>
            </w:r>
          </w:p>
        </w:tc>
        <w:tc>
          <w:tcPr>
            <w:tcW w:type="dxa" w:w="5329"/>
          </w:tcPr>
          <w:p>
            <w:pPr>
              <w:spacing w:after="40" w:before="40"/>
            </w:pPr>
            <w:r/>
            <w:r>
              <w:rPr>
                <w:rFonts w:ascii="Calibri" w:hAnsi="Calibri"/>
                <w:b w:val="0"/>
                <w:i w:val="0"/>
                <w:sz w:val="17"/>
              </w:rPr>
              <w:t>One DemandTrader, ValueOfLostLoad 3,000 EUR/MWh.</w:t>
            </w:r>
          </w:p>
        </w:tc>
      </w:tr>
      <w:tr>
        <w:tc>
          <w:tcPr>
            <w:tcW w:type="dxa" w:w="2381"/>
          </w:tcPr>
          <w:p>
            <w:pPr>
              <w:spacing w:after="40" w:before="40"/>
            </w:pPr>
            <w:r/>
            <w:r>
              <w:rPr>
                <w:rFonts w:ascii="Calibri" w:hAnsi="Calibri"/>
                <w:b/>
                <w:i w:val="0"/>
                <w:color w:val="1F3A4D"/>
                <w:sz w:val="17"/>
              </w:rPr>
              <w:t>MarketsAndForecast.yaml</w:t>
            </w:r>
          </w:p>
        </w:tc>
        <w:tc>
          <w:tcPr>
            <w:tcW w:type="dxa" w:w="1814"/>
          </w:tcPr>
          <w:p>
            <w:pPr>
              <w:spacing w:after="40" w:before="40"/>
            </w:pPr>
            <w:r/>
            <w:r>
              <w:rPr>
                <w:rFonts w:ascii="Calibri" w:hAnsi="Calibri"/>
                <w:b w:val="0"/>
                <w:i w:val="0"/>
                <w:sz w:val="17"/>
              </w:rPr>
              <w:t>Written new</w:t>
            </w:r>
          </w:p>
        </w:tc>
        <w:tc>
          <w:tcPr>
            <w:tcW w:type="dxa" w:w="5329"/>
          </w:tcPr>
          <w:p>
            <w:pPr>
              <w:spacing w:after="40" w:before="40"/>
            </w:pPr>
            <w:r/>
            <w:r>
              <w:rPr>
                <w:rFonts w:ascii="Calibri" w:hAnsi="Calibri"/>
                <w:b w:val="0"/>
                <w:i w:val="0"/>
                <w:sz w:val="17"/>
              </w:rPr>
              <w:t>Market/carbon/fuel/forecaster agents wired to Part 1 files.</w:t>
            </w:r>
          </w:p>
        </w:tc>
      </w:tr>
    </w:tbl>
    <w:p>
      <w:pPr>
        <w:spacing w:after="80"/>
      </w:pPr>
    </w:p>
    <w:tbl>
      <w:tblPr>
        <w:tblStyle w:val="TableGrid"/>
        <w:tblW w:type="auto" w:w="0"/>
        <w:jc w:val="left"/>
        <w:tblLayout w:type="fixed"/>
        <w:tblLook w:firstColumn="1" w:firstRow="1" w:lastColumn="0" w:lastRow="0" w:noHBand="0" w:noVBand="1" w:val="04A0"/>
      </w:tblPr>
      <w:tblGrid>
        <w:gridCol w:w="2948"/>
        <w:gridCol w:w="1814"/>
        <w:gridCol w:w="4762"/>
      </w:tblGrid>
      <w:tr>
        <w:tc>
          <w:tcPr>
            <w:tcW w:type="dxa" w:w="2948"/>
            <w:shd w:val="clear" w:color="auto" w:fill="1F3A4D"/>
          </w:tcPr>
          <w:p>
            <w:pPr>
              <w:spacing w:after="40" w:before="40"/>
            </w:pPr>
            <w:r/>
            <w:r>
              <w:rPr>
                <w:rFonts w:ascii="Calibri" w:hAnsi="Calibri"/>
                <w:b/>
                <w:i w:val="0"/>
                <w:color w:val="FFFFFF"/>
                <w:sz w:val="17"/>
              </w:rPr>
              <w:t>Contract file</w:t>
            </w:r>
          </w:p>
        </w:tc>
        <w:tc>
          <w:tcPr>
            <w:tcW w:type="dxa" w:w="1814"/>
            <w:shd w:val="clear" w:color="auto" w:fill="1F3A4D"/>
          </w:tcPr>
          <w:p>
            <w:pPr>
              <w:spacing w:after="40" w:before="40"/>
            </w:pPr>
            <w:r/>
            <w:r>
              <w:rPr>
                <w:rFonts w:ascii="Calibri" w:hAnsi="Calibri"/>
                <w:b/>
                <w:i w:val="0"/>
                <w:color w:val="FFFFFF"/>
                <w:sz w:val="17"/>
              </w:rPr>
              <w:t>Status</w:t>
            </w:r>
          </w:p>
        </w:tc>
        <w:tc>
          <w:tcPr>
            <w:tcW w:type="dxa" w:w="4762"/>
            <w:shd w:val="clear" w:color="auto" w:fill="1F3A4D"/>
          </w:tcPr>
          <w:p>
            <w:pPr>
              <w:spacing w:after="40" w:before="40"/>
            </w:pPr>
            <w:r/>
            <w:r>
              <w:rPr>
                <w:rFonts w:ascii="Calibri" w:hAnsi="Calibri"/>
                <w:b/>
                <w:i w:val="0"/>
                <w:color w:val="FFFFFF"/>
                <w:sz w:val="17"/>
              </w:rPr>
              <w:t>What was done</w:t>
            </w:r>
          </w:p>
        </w:tc>
      </w:tr>
      <w:tr>
        <w:tc>
          <w:tcPr>
            <w:tcW w:type="dxa" w:w="2948"/>
          </w:tcPr>
          <w:p>
            <w:pPr>
              <w:spacing w:after="40" w:before="40"/>
            </w:pPr>
            <w:r/>
            <w:r>
              <w:rPr>
                <w:rFonts w:ascii="Calibri" w:hAnsi="Calibri"/>
                <w:b/>
                <w:i w:val="0"/>
                <w:color w:val="1F3A4D"/>
                <w:sz w:val="17"/>
              </w:rPr>
              <w:t>conventionals.yaml</w:t>
            </w:r>
          </w:p>
        </w:tc>
        <w:tc>
          <w:tcPr>
            <w:tcW w:type="dxa" w:w="1814"/>
          </w:tcPr>
          <w:p>
            <w:pPr>
              <w:spacing w:after="40" w:before="40"/>
            </w:pPr>
            <w:r/>
            <w:r>
              <w:rPr>
                <w:rFonts w:ascii="Calibri" w:hAnsi="Calibri"/>
                <w:b w:val="0"/>
                <w:i w:val="0"/>
                <w:sz w:val="17"/>
              </w:rPr>
              <w:t>Copied, edited</w:t>
            </w:r>
          </w:p>
        </w:tc>
        <w:tc>
          <w:tcPr>
            <w:tcW w:type="dxa" w:w="4762"/>
          </w:tcPr>
          <w:p>
            <w:pPr>
              <w:spacing w:after="40" w:before="40"/>
            </w:pPr>
            <w:r/>
            <w:r>
              <w:rPr>
                <w:rFonts w:ascii="Calibri" w:hAnsi="Calibri"/>
                <w:b w:val="0"/>
                <w:i w:val="0"/>
                <w:sz w:val="17"/>
              </w:rPr>
              <w:t>ID lists trimmed to drop Nuclear and OCGT.</w:t>
            </w:r>
          </w:p>
        </w:tc>
      </w:tr>
      <w:tr>
        <w:tc>
          <w:tcPr>
            <w:tcW w:type="dxa" w:w="2948"/>
          </w:tcPr>
          <w:p>
            <w:pPr>
              <w:spacing w:after="40" w:before="40"/>
            </w:pPr>
            <w:r/>
            <w:r>
              <w:rPr>
                <w:rFonts w:ascii="Calibri" w:hAnsi="Calibri"/>
                <w:b/>
                <w:i w:val="0"/>
                <w:color w:val="1F3A4D"/>
                <w:sz w:val="17"/>
              </w:rPr>
              <w:t>demand.yaml</w:t>
            </w:r>
          </w:p>
        </w:tc>
        <w:tc>
          <w:tcPr>
            <w:tcW w:type="dxa" w:w="1814"/>
          </w:tcPr>
          <w:p>
            <w:pPr>
              <w:spacing w:after="40" w:before="40"/>
            </w:pPr>
            <w:r/>
            <w:r>
              <w:rPr>
                <w:rFonts w:ascii="Calibri" w:hAnsi="Calibri"/>
                <w:b w:val="0"/>
                <w:i w:val="0"/>
                <w:sz w:val="17"/>
              </w:rPr>
              <w:t>Copied unchanged</w:t>
            </w:r>
          </w:p>
        </w:tc>
        <w:tc>
          <w:tcPr>
            <w:tcW w:type="dxa" w:w="4762"/>
          </w:tcPr>
          <w:p>
            <w:pPr>
              <w:spacing w:after="40" w:before="40"/>
            </w:pPr>
            <w:r/>
            <w:r>
              <w:rPr>
                <w:rFonts w:ascii="Calibri" w:hAnsi="Calibri"/>
                <w:b w:val="0"/>
                <w:i w:val="0"/>
                <w:sz w:val="17"/>
              </w:rPr>
              <w:t>No edit needed.</w:t>
            </w:r>
          </w:p>
        </w:tc>
      </w:tr>
      <w:tr>
        <w:tc>
          <w:tcPr>
            <w:tcW w:type="dxa" w:w="2948"/>
          </w:tcPr>
          <w:p>
            <w:pPr>
              <w:spacing w:after="40" w:before="40"/>
            </w:pPr>
            <w:r/>
            <w:r>
              <w:rPr>
                <w:rFonts w:ascii="Calibri" w:hAnsi="Calibri"/>
                <w:b/>
                <w:i w:val="0"/>
                <w:color w:val="1F3A4D"/>
                <w:sz w:val="17"/>
              </w:rPr>
              <w:t>renewables_renewableTrader.yaml</w:t>
            </w:r>
          </w:p>
        </w:tc>
        <w:tc>
          <w:tcPr>
            <w:tcW w:type="dxa" w:w="1814"/>
          </w:tcPr>
          <w:p>
            <w:pPr>
              <w:spacing w:after="40" w:before="40"/>
            </w:pPr>
            <w:r/>
            <w:r>
              <w:rPr>
                <w:rFonts w:ascii="Calibri" w:hAnsi="Calibri"/>
                <w:b w:val="0"/>
                <w:i w:val="0"/>
                <w:sz w:val="17"/>
              </w:rPr>
              <w:t>Copied, edited</w:t>
            </w:r>
          </w:p>
        </w:tc>
        <w:tc>
          <w:tcPr>
            <w:tcW w:type="dxa" w:w="4762"/>
          </w:tcPr>
          <w:p>
            <w:pPr>
              <w:spacing w:after="40" w:before="40"/>
            </w:pPr>
            <w:r/>
            <w:r>
              <w:rPr>
                <w:rFonts w:ascii="Calibri" w:hAnsi="Calibri"/>
                <w:b w:val="0"/>
                <w:i w:val="0"/>
                <w:sz w:val="17"/>
              </w:rPr>
              <w:t>Trimmed to [60,70,80,52] - MPVAR agents.</w:t>
            </w:r>
          </w:p>
        </w:tc>
      </w:tr>
      <w:tr>
        <w:tc>
          <w:tcPr>
            <w:tcW w:type="dxa" w:w="2948"/>
          </w:tcPr>
          <w:p>
            <w:pPr>
              <w:spacing w:after="40" w:before="40"/>
            </w:pPr>
            <w:r/>
            <w:r>
              <w:rPr>
                <w:rFonts w:ascii="Calibri" w:hAnsi="Calibri"/>
                <w:b/>
                <w:i w:val="0"/>
                <w:color w:val="1F3A4D"/>
                <w:sz w:val="17"/>
              </w:rPr>
              <w:t>renewables_systemOperator.yaml</w:t>
            </w:r>
          </w:p>
        </w:tc>
        <w:tc>
          <w:tcPr>
            <w:tcW w:type="dxa" w:w="1814"/>
          </w:tcPr>
          <w:p>
            <w:pPr>
              <w:spacing w:after="40" w:before="40"/>
            </w:pPr>
            <w:r/>
            <w:r>
              <w:rPr>
                <w:rFonts w:ascii="Calibri" w:hAnsi="Calibri"/>
                <w:b w:val="0"/>
                <w:i w:val="0"/>
                <w:sz w:val="17"/>
              </w:rPr>
              <w:t>Copied, edited</w:t>
            </w:r>
          </w:p>
        </w:tc>
        <w:tc>
          <w:tcPr>
            <w:tcW w:type="dxa" w:w="4762"/>
          </w:tcPr>
          <w:p>
            <w:pPr>
              <w:spacing w:after="40" w:before="40"/>
            </w:pPr>
            <w:r/>
            <w:r>
              <w:rPr>
                <w:rFonts w:ascii="Calibri" w:hAnsi="Calibri"/>
                <w:b w:val="0"/>
                <w:i w:val="0"/>
                <w:sz w:val="17"/>
              </w:rPr>
              <w:t>Trimmed to [61,50] - FIT agents.</w:t>
            </w:r>
          </w:p>
        </w:tc>
      </w:tr>
      <w:tr>
        <w:tc>
          <w:tcPr>
            <w:tcW w:type="dxa" w:w="2948"/>
          </w:tcPr>
          <w:p>
            <w:pPr>
              <w:spacing w:after="40" w:before="40"/>
            </w:pPr>
            <w:r/>
            <w:r>
              <w:rPr>
                <w:rFonts w:ascii="Calibri" w:hAnsi="Calibri"/>
                <w:b/>
                <w:i w:val="0"/>
                <w:color w:val="1F3A4D"/>
                <w:sz w:val="17"/>
              </w:rPr>
              <w:t>renewables_noSupport.yaml</w:t>
            </w:r>
          </w:p>
        </w:tc>
        <w:tc>
          <w:tcPr>
            <w:tcW w:type="dxa" w:w="1814"/>
          </w:tcPr>
          <w:p>
            <w:pPr>
              <w:spacing w:after="40" w:before="40"/>
            </w:pPr>
            <w:r/>
            <w:r>
              <w:rPr>
                <w:rFonts w:ascii="Calibri" w:hAnsi="Calibri"/>
                <w:b w:val="0"/>
                <w:i w:val="0"/>
                <w:sz w:val="17"/>
              </w:rPr>
              <w:t>NOT created</w:t>
            </w:r>
          </w:p>
        </w:tc>
        <w:tc>
          <w:tcPr>
            <w:tcW w:type="dxa" w:w="4762"/>
          </w:tcPr>
          <w:p>
            <w:pPr>
              <w:spacing w:after="40" w:before="40"/>
            </w:pPr>
            <w:r/>
            <w:r>
              <w:rPr>
                <w:rFonts w:ascii="Calibri" w:hAnsi="Calibri"/>
                <w:b w:val="0"/>
                <w:i w:val="0"/>
                <w:sz w:val="17"/>
              </w:rPr>
              <w:t>Nothing routes through NoSupportTrader in this build.</w:t>
            </w:r>
          </w:p>
        </w:tc>
      </w:tr>
      <w:tr>
        <w:tc>
          <w:tcPr>
            <w:tcW w:type="dxa" w:w="2948"/>
          </w:tcPr>
          <w:p>
            <w:pPr>
              <w:spacing w:after="40" w:before="40"/>
            </w:pPr>
            <w:r/>
            <w:r>
              <w:rPr>
                <w:rFonts w:ascii="Calibri" w:hAnsi="Calibri"/>
                <w:b/>
                <w:i w:val="0"/>
                <w:color w:val="1F3A4D"/>
                <w:sz w:val="17"/>
              </w:rPr>
              <w:t>storage.yaml</w:t>
            </w:r>
          </w:p>
        </w:tc>
        <w:tc>
          <w:tcPr>
            <w:tcW w:type="dxa" w:w="1814"/>
          </w:tcPr>
          <w:p>
            <w:pPr>
              <w:spacing w:after="40" w:before="40"/>
            </w:pPr>
            <w:r/>
            <w:r>
              <w:rPr>
                <w:rFonts w:ascii="Calibri" w:hAnsi="Calibri"/>
                <w:b w:val="0"/>
                <w:i w:val="0"/>
                <w:sz w:val="17"/>
              </w:rPr>
              <w:t>Copied, edited</w:t>
            </w:r>
          </w:p>
        </w:tc>
        <w:tc>
          <w:tcPr>
            <w:tcW w:type="dxa" w:w="4762"/>
          </w:tcPr>
          <w:p>
            <w:pPr>
              <w:spacing w:after="40" w:before="40"/>
            </w:pPr>
            <w:r/>
            <w:r>
              <w:rPr>
                <w:rFonts w:ascii="Calibri" w:hAnsi="Calibri"/>
                <w:b w:val="0"/>
                <w:i w:val="0"/>
                <w:sz w:val="17"/>
              </w:rPr>
              <w:t>Trimmed to [700,701,702].</w:t>
            </w:r>
          </w:p>
        </w:tc>
      </w:tr>
      <w:tr>
        <w:tc>
          <w:tcPr>
            <w:tcW w:type="dxa" w:w="2948"/>
          </w:tcPr>
          <w:p>
            <w:pPr>
              <w:spacing w:after="40" w:before="40"/>
            </w:pPr>
            <w:r/>
            <w:r>
              <w:rPr>
                <w:rFonts w:ascii="Calibri" w:hAnsi="Calibri"/>
                <w:b/>
                <w:i w:val="0"/>
                <w:color w:val="1F3A4D"/>
                <w:sz w:val="17"/>
              </w:rPr>
              <w:t>supportPolicy.yaml</w:t>
            </w:r>
          </w:p>
        </w:tc>
        <w:tc>
          <w:tcPr>
            <w:tcW w:type="dxa" w:w="1814"/>
          </w:tcPr>
          <w:p>
            <w:pPr>
              <w:spacing w:after="40" w:before="40"/>
            </w:pPr>
            <w:r/>
            <w:r>
              <w:rPr>
                <w:rFonts w:ascii="Calibri" w:hAnsi="Calibri"/>
                <w:b w:val="0"/>
                <w:i w:val="0"/>
                <w:sz w:val="17"/>
              </w:rPr>
              <w:t>Copied, edited</w:t>
            </w:r>
          </w:p>
        </w:tc>
        <w:tc>
          <w:tcPr>
            <w:tcW w:type="dxa" w:w="4762"/>
          </w:tcPr>
          <w:p>
            <w:pPr>
              <w:spacing w:after="40" w:before="40"/>
            </w:pPr>
            <w:r/>
            <w:r>
              <w:rPr>
                <w:rFonts w:ascii="Calibri" w:hAnsi="Calibri"/>
                <w:b w:val="0"/>
                <w:i w:val="0"/>
                <w:sz w:val="17"/>
              </w:rPr>
              <w:t>allMarketers trimmed to [11,13].</w:t>
            </w:r>
          </w:p>
        </w:tc>
      </w:tr>
    </w:tbl>
    <w:p>
      <w:pPr>
        <w:spacing w:after="80"/>
      </w:pPr>
    </w:p>
    <w:p>
      <w:pPr>
        <w:spacing w:before="320" w:after="120"/>
        <w:pBdr>
          <w:bottom w:val="single" w:sz="8" w:space="4" w:color="1F3A4D"/>
        </w:pBdr>
      </w:pPr>
      <w:r>
        <w:rPr>
          <w:rFonts w:ascii="Calibri" w:hAnsi="Calibri"/>
          <w:b/>
          <w:i w:val="0"/>
          <w:color w:val="1F3A4D"/>
          <w:sz w:val="30"/>
        </w:rPr>
        <w:t>Part 6 - Validation and QA Performed</w:t>
      </w:r>
    </w:p>
    <w:p>
      <w:pPr>
        <w:spacing w:after="160"/>
      </w:pPr>
      <w:r>
        <w:rPr>
          <w:rFonts w:ascii="Calibri" w:hAnsi="Calibri"/>
          <w:b w:val="0"/>
          <w:i w:val="0"/>
          <w:color w:val="141816"/>
          <w:sz w:val="20"/>
        </w:rPr>
        <w:t>Inspected AMIRIS's own existing timeseries files and YAMLs to confirm exact formats before writing any conversion code. Ran the scenario through amirispy's compile step (surfaces structural errors in seconds) before committing to a multi-minute full simulation.</w:t>
      </w:r>
    </w:p>
    <w:p>
      <w:pPr>
        <w:spacing w:before="200" w:after="80"/>
      </w:pPr>
      <w:r>
        <w:rPr>
          <w:rFonts w:ascii="Calibri" w:hAnsi="Calibri"/>
          <w:b/>
          <w:i w:val="0"/>
          <w:color w:val="A5691F"/>
          <w:sz w:val="22"/>
        </w:rPr>
        <w:t>Bug 1: missing SupportInstrument on the Biogas agent</w:t>
      </w:r>
    </w:p>
    <w:p>
      <w:pPr>
        <w:spacing w:after="160"/>
      </w:pPr>
      <w:r>
        <w:rPr>
          <w:rFonts w:ascii="Calibri" w:hAnsi="Calibri"/>
          <w:b w:val="0"/>
          <w:i w:val="0"/>
          <w:color w:val="141816"/>
          <w:sz w:val="20"/>
        </w:rPr>
        <w:t>Exception: "BiomassMpvar: Policy not configured for instrument null". Cause: AMIRIS's own Biogas entry never needed this attribute (routes through NoSupportTrader). This build gives it a real MPVAR subsidy, which requires the attribute explicitly. Fixed by adding SupportInstrument: MPVAR.</w:t>
      </w:r>
    </w:p>
    <w:p>
      <w:pPr>
        <w:spacing w:before="200" w:after="80"/>
      </w:pPr>
      <w:r>
        <w:rPr>
          <w:rFonts w:ascii="Calibri" w:hAnsi="Calibri"/>
          <w:b/>
          <w:i w:val="0"/>
          <w:color w:val="A5691F"/>
          <w:sz w:val="22"/>
        </w:rPr>
        <w:t>Bug 2: four renewable profiles never redated to 2027</w:t>
      </w:r>
    </w:p>
    <w:p>
      <w:pPr>
        <w:spacing w:after="160"/>
      </w:pPr>
      <w:r>
        <w:rPr>
          <w:rFonts w:ascii="Calibri" w:hAnsi="Calibri"/>
          <w:b w:val="0"/>
          <w:i w:val="0"/>
          <w:color w:val="141816"/>
          <w:sz w:val="20"/>
        </w:rPr>
        <w:t>25.3% of hours cleared at the 3,000 EUR/MWh shortage ceiling. Diagnosis: picked a specific shortage hour and checked every agent's award - total awarded energy matched load served exactly, ruling out a bidding bug. Wind Offshore, Run-of-River, and Biomass all showed zero simultaneously; their source files still had 2019 timestamps, never redated, so they never overlapped the simulated calendar. Fixed by redating all four. Shortage hours fell to 15.9%, and negative prices appeared for the first time (108 hours).</w:t>
      </w:r>
    </w:p>
    <w:p>
      <w:pPr>
        <w:spacing w:before="200" w:after="80"/>
      </w:pPr>
      <w:r>
        <w:rPr>
          <w:rFonts w:ascii="Calibri" w:hAnsi="Calibri"/>
          <w:b/>
          <w:i w:val="0"/>
          <w:color w:val="A5691F"/>
          <w:sz w:val="22"/>
        </w:rPr>
        <w:t>Remaining shortage pattern: expected V1 behaviour, not a bug</w:t>
      </w:r>
    </w:p>
    <w:p>
      <w:pPr>
        <w:spacing w:after="160"/>
      </w:pPr>
      <w:r>
        <w:rPr>
          <w:rFonts w:ascii="Calibri" w:hAnsi="Calibri"/>
          <w:b w:val="0"/>
          <w:i w:val="0"/>
          <w:color w:val="141816"/>
          <w:sz w:val="20"/>
        </w:rPr>
        <w:t>71% of remaining shortage hours fall in the 18:00-21:00 evening window - the signature of applying one household BDEW profile to the whole economy's demand. Reported as a V2 target, not chased further here.</w:t>
      </w:r>
    </w:p>
    <w:p>
      <w:pPr>
        <w:spacing w:before="320" w:after="120"/>
        <w:pBdr>
          <w:bottom w:val="single" w:sz="8" w:space="4" w:color="1F3A4D"/>
        </w:pBdr>
      </w:pPr>
      <w:r>
        <w:rPr>
          <w:rFonts w:ascii="Calibri" w:hAnsi="Calibri"/>
          <w:b/>
          <w:i w:val="0"/>
          <w:color w:val="1F3A4D"/>
          <w:sz w:val="30"/>
        </w:rPr>
        <w:t>Part 7 - Demand Profile V2 (Component-Split Build)</w:t>
      </w:r>
    </w:p>
    <w:p>
      <w:pPr>
        <w:spacing w:after="160"/>
      </w:pPr>
      <w:r>
        <w:rPr>
          <w:rFonts w:ascii="Calibri" w:hAnsi="Calibri"/>
          <w:b w:val="0"/>
          <w:i w:val="0"/>
          <w:color w:val="141816"/>
          <w:sz w:val="20"/>
        </w:rPr>
        <w:t>V1 applied a single BDEW household (H0) Standardlastprofil to the entire 656.32 TWh combined demand total. V2 replaces this with a purpose-built shape for each of Brainpool's four demand components separately, then sums them (build_2027_demand_v2_split.py).</w:t>
      </w:r>
    </w:p>
    <w:tbl>
      <w:tblPr>
        <w:tblStyle w:val="TableGrid"/>
        <w:tblW w:type="auto" w:w="0"/>
        <w:jc w:val="left"/>
        <w:tblLayout w:type="fixed"/>
        <w:tblLook w:firstColumn="1" w:firstRow="1" w:lastColumn="0" w:lastRow="0" w:noHBand="0" w:noVBand="1" w:val="04A0"/>
      </w:tblPr>
      <w:tblGrid>
        <w:gridCol w:w="1814"/>
        <w:gridCol w:w="1474"/>
        <w:gridCol w:w="6350"/>
      </w:tblGrid>
      <w:tr>
        <w:tc>
          <w:tcPr>
            <w:tcW w:type="dxa" w:w="1814"/>
            <w:shd w:val="clear" w:color="auto" w:fill="1F3A4D"/>
          </w:tcPr>
          <w:p>
            <w:pPr>
              <w:spacing w:after="40" w:before="40"/>
            </w:pPr>
            <w:r/>
            <w:r>
              <w:rPr>
                <w:rFonts w:ascii="Calibri" w:hAnsi="Calibri"/>
                <w:b/>
                <w:i w:val="0"/>
                <w:color w:val="FFFFFF"/>
                <w:sz w:val="17"/>
              </w:rPr>
              <w:t>Component</w:t>
            </w:r>
          </w:p>
        </w:tc>
        <w:tc>
          <w:tcPr>
            <w:tcW w:type="dxa" w:w="1474"/>
            <w:shd w:val="clear" w:color="auto" w:fill="1F3A4D"/>
          </w:tcPr>
          <w:p>
            <w:pPr>
              <w:spacing w:after="40" w:before="40"/>
            </w:pPr>
            <w:r/>
            <w:r>
              <w:rPr>
                <w:rFonts w:ascii="Calibri" w:hAnsi="Calibri"/>
                <w:b/>
                <w:i w:val="0"/>
                <w:color w:val="FFFFFF"/>
                <w:sz w:val="17"/>
              </w:rPr>
              <w:t>Value</w:t>
            </w:r>
          </w:p>
        </w:tc>
        <w:tc>
          <w:tcPr>
            <w:tcW w:type="dxa" w:w="6350"/>
            <w:shd w:val="clear" w:color="auto" w:fill="1F3A4D"/>
          </w:tcPr>
          <w:p>
            <w:pPr>
              <w:spacing w:after="40" w:before="40"/>
            </w:pPr>
            <w:r/>
            <w:r>
              <w:rPr>
                <w:rFonts w:ascii="Calibri" w:hAnsi="Calibri"/>
                <w:b/>
                <w:i w:val="0"/>
                <w:color w:val="FFFFFF"/>
                <w:sz w:val="17"/>
              </w:rPr>
              <w:t>Method</w:t>
            </w:r>
          </w:p>
        </w:tc>
      </w:tr>
      <w:tr>
        <w:tc>
          <w:tcPr>
            <w:tcW w:type="dxa" w:w="1814"/>
          </w:tcPr>
          <w:p>
            <w:pPr>
              <w:spacing w:after="40" w:before="40"/>
            </w:pPr>
            <w:r/>
            <w:r>
              <w:rPr>
                <w:rFonts w:ascii="Calibri" w:hAnsi="Calibri"/>
                <w:b/>
                <w:i w:val="0"/>
                <w:color w:val="1F3A4D"/>
                <w:sz w:val="17"/>
              </w:rPr>
              <w:t>Inflexible base</w:t>
            </w:r>
          </w:p>
        </w:tc>
        <w:tc>
          <w:tcPr>
            <w:tcW w:type="dxa" w:w="1474"/>
          </w:tcPr>
          <w:p>
            <w:pPr>
              <w:spacing w:after="40" w:before="40"/>
            </w:pPr>
            <w:r/>
            <w:r>
              <w:rPr>
                <w:rFonts w:ascii="Calibri" w:hAnsi="Calibri"/>
                <w:b w:val="0"/>
                <w:i w:val="0"/>
                <w:sz w:val="17"/>
              </w:rPr>
              <w:t>604.85 TWh</w:t>
            </w:r>
          </w:p>
        </w:tc>
        <w:tc>
          <w:tcPr>
            <w:tcW w:type="dxa" w:w="6350"/>
          </w:tcPr>
          <w:p>
            <w:pPr>
              <w:spacing w:after="40" w:before="40"/>
            </w:pPr>
            <w:r/>
            <w:r>
              <w:rPr>
                <w:rFonts w:ascii="Calibri" w:hAnsi="Calibri"/>
                <w:b w:val="0"/>
                <w:i w:val="0"/>
                <w:sz w:val="17"/>
              </w:rPr>
              <w:t>Real 2023 ENTSO-E national load shape, rescaled hour-by-hour so the annual total matches the 2027 target. Keeps the real seasonal/hour-of-day pattern; day-of-week alignment between 2023 and 2027 is not preserved (a documented simplification).</w:t>
            </w:r>
          </w:p>
        </w:tc>
      </w:tr>
      <w:tr>
        <w:tc>
          <w:tcPr>
            <w:tcW w:type="dxa" w:w="1814"/>
          </w:tcPr>
          <w:p>
            <w:pPr>
              <w:spacing w:after="40" w:before="40"/>
            </w:pPr>
            <w:r/>
            <w:r>
              <w:rPr>
                <w:rFonts w:ascii="Calibri" w:hAnsi="Calibri"/>
                <w:b/>
                <w:i w:val="0"/>
                <w:color w:val="1F3A4D"/>
                <w:sz w:val="17"/>
              </w:rPr>
              <w:t>Heat pumps</w:t>
            </w:r>
          </w:p>
        </w:tc>
        <w:tc>
          <w:tcPr>
            <w:tcW w:type="dxa" w:w="1474"/>
          </w:tcPr>
          <w:p>
            <w:pPr>
              <w:spacing w:after="40" w:before="40"/>
            </w:pPr>
            <w:r/>
            <w:r>
              <w:rPr>
                <w:rFonts w:ascii="Calibri" w:hAnsi="Calibri"/>
                <w:b w:val="0"/>
                <w:i w:val="0"/>
                <w:sz w:val="17"/>
              </w:rPr>
              <w:t>18.69 TWh</w:t>
            </w:r>
          </w:p>
        </w:tc>
        <w:tc>
          <w:tcPr>
            <w:tcW w:type="dxa" w:w="6350"/>
          </w:tcPr>
          <w:p>
            <w:pPr>
              <w:spacing w:after="40" w:before="40"/>
            </w:pPr>
            <w:r/>
            <w:r>
              <w:rPr>
                <w:rFonts w:ascii="Calibri" w:hAnsi="Calibri"/>
                <w:b w:val="0"/>
                <w:i w:val="0"/>
                <w:sz w:val="17"/>
              </w:rPr>
              <w:t>demandlib's BDEW HeatBuilding profile (temperature-driven), driven by real DWD Test Reference Year climate data bundled with demandlib, averaged across all 15 German climate regions (mean 8.5C, range -3.9C to 24.9C). Simplification: assumes a constant coefficient-of-performance (COP) across the year rather than modelling the real efficiency drop in cold weather.</w:t>
            </w:r>
          </w:p>
        </w:tc>
      </w:tr>
      <w:tr>
        <w:tc>
          <w:tcPr>
            <w:tcW w:type="dxa" w:w="1814"/>
          </w:tcPr>
          <w:p>
            <w:pPr>
              <w:spacing w:after="40" w:before="40"/>
            </w:pPr>
            <w:r/>
            <w:r>
              <w:rPr>
                <w:rFonts w:ascii="Calibri" w:hAnsi="Calibri"/>
                <w:b/>
                <w:i w:val="0"/>
                <w:color w:val="1F3A4D"/>
                <w:sz w:val="17"/>
              </w:rPr>
              <w:t>Electrolysis</w:t>
            </w:r>
          </w:p>
        </w:tc>
        <w:tc>
          <w:tcPr>
            <w:tcW w:type="dxa" w:w="1474"/>
          </w:tcPr>
          <w:p>
            <w:pPr>
              <w:spacing w:after="40" w:before="40"/>
            </w:pPr>
            <w:r/>
            <w:r>
              <w:rPr>
                <w:rFonts w:ascii="Calibri" w:hAnsi="Calibri"/>
                <w:b w:val="0"/>
                <w:i w:val="0"/>
                <w:sz w:val="17"/>
              </w:rPr>
              <w:t>14.97 TWh</w:t>
            </w:r>
          </w:p>
        </w:tc>
        <w:tc>
          <w:tcPr>
            <w:tcW w:type="dxa" w:w="6350"/>
          </w:tcPr>
          <w:p>
            <w:pPr>
              <w:spacing w:after="40" w:before="40"/>
            </w:pPr>
            <w:r/>
            <w:r>
              <w:rPr>
                <w:rFonts w:ascii="Calibri" w:hAnsi="Calibri"/>
                <w:b w:val="0"/>
                <w:i w:val="0"/>
                <w:sz w:val="17"/>
              </w:rPr>
              <w:t>Flat, constant hourly profile (1,708 MW every hour) - industrial electrolysers typically run close to constant for efficiency.</w:t>
            </w:r>
          </w:p>
        </w:tc>
      </w:tr>
      <w:tr>
        <w:tc>
          <w:tcPr>
            <w:tcW w:type="dxa" w:w="1814"/>
          </w:tcPr>
          <w:p>
            <w:pPr>
              <w:spacing w:after="40" w:before="40"/>
            </w:pPr>
            <w:r/>
            <w:r>
              <w:rPr>
                <w:rFonts w:ascii="Calibri" w:hAnsi="Calibri"/>
                <w:b/>
                <w:i w:val="0"/>
                <w:color w:val="1F3A4D"/>
                <w:sz w:val="17"/>
              </w:rPr>
              <w:t>E-mobility</w:t>
            </w:r>
          </w:p>
        </w:tc>
        <w:tc>
          <w:tcPr>
            <w:tcW w:type="dxa" w:w="1474"/>
          </w:tcPr>
          <w:p>
            <w:pPr>
              <w:spacing w:after="40" w:before="40"/>
            </w:pPr>
            <w:r/>
            <w:r>
              <w:rPr>
                <w:rFonts w:ascii="Calibri" w:hAnsi="Calibri"/>
                <w:b w:val="0"/>
                <w:i w:val="0"/>
                <w:sz w:val="17"/>
              </w:rPr>
              <w:t>17.81 TWh</w:t>
            </w:r>
          </w:p>
        </w:tc>
        <w:tc>
          <w:tcPr>
            <w:tcW w:type="dxa" w:w="6350"/>
          </w:tcPr>
          <w:p>
            <w:pPr>
              <w:spacing w:after="40" w:before="40"/>
            </w:pPr>
            <w:r/>
            <w:r>
              <w:rPr>
                <w:rFonts w:ascii="Calibri" w:hAnsi="Calibri"/>
                <w:b w:val="0"/>
                <w:i w:val="0"/>
                <w:sz w:val="17"/>
              </w:rPr>
              <w:t>An assumed, documented daily charging shape - evening-peaked (peak around 18:00), repeated identically every day. No seasonal or weekday/weekend variation modelled - the least standardised of the four components.</w:t>
            </w:r>
          </w:p>
        </w:tc>
      </w:tr>
    </w:tbl>
    <w:p>
      <w:pPr>
        <w:spacing w:after="80"/>
      </w:pPr>
    </w:p>
    <w:p>
      <w:pPr>
        <w:spacing w:before="40" w:after="20"/>
      </w:pPr>
      <w:r>
        <w:rPr>
          <w:rFonts w:ascii="Calibri" w:hAnsi="Calibri"/>
          <w:b/>
          <w:i w:val="0"/>
          <w:color w:val="3A6B47"/>
          <w:sz w:val="19"/>
        </w:rPr>
        <w:t>Round-trip check:</w:t>
      </w:r>
    </w:p>
    <w:p>
      <w:pPr>
        <w:spacing w:after="160"/>
      </w:pPr>
      <w:r>
        <w:rPr>
          <w:rFonts w:ascii="Calibri" w:hAnsi="Calibri"/>
          <w:b w:val="0"/>
          <w:i/>
          <w:color w:val="555B58"/>
          <w:sz w:val="19"/>
        </w:rPr>
        <w:t>Combined total = 656.3172 TWh against a 656.3167 TWh target - matches to within rounding. Combined peak load = 106,178.7 MW, versus V1's 138,146.7 MW and Brainpool's own stated Annual Peak Load of 119,001 MW.</w:t>
      </w:r>
    </w:p>
    <w:p>
      <w:pPr>
        <w:spacing w:before="200" w:after="80"/>
      </w:pPr>
      <w:r>
        <w:rPr>
          <w:rFonts w:ascii="Calibri" w:hAnsi="Calibri"/>
          <w:b/>
          <w:i w:val="0"/>
          <w:color w:val="A5691F"/>
          <w:sz w:val="22"/>
        </w:rPr>
        <w:t>Result: V2 materially reduces V1's shortage problem</w:t>
      </w:r>
    </w:p>
    <w:tbl>
      <w:tblPr>
        <w:tblStyle w:val="TableGrid"/>
        <w:tblW w:type="auto" w:w="0"/>
        <w:jc w:val="left"/>
        <w:tblLayout w:type="fixed"/>
        <w:tblLook w:firstColumn="1" w:firstRow="1" w:lastColumn="0" w:lastRow="0" w:noHBand="0" w:noVBand="1" w:val="04A0"/>
      </w:tblPr>
      <w:tblGrid>
        <w:gridCol w:w="3175"/>
        <w:gridCol w:w="3175"/>
        <w:gridCol w:w="3288"/>
      </w:tblGrid>
      <w:tr>
        <w:tc>
          <w:tcPr>
            <w:tcW w:type="dxa" w:w="3175"/>
            <w:shd w:val="clear" w:color="auto" w:fill="1F3A4D"/>
          </w:tcPr>
          <w:p>
            <w:pPr>
              <w:spacing w:after="40" w:before="40"/>
            </w:pPr>
            <w:r/>
            <w:r>
              <w:rPr>
                <w:rFonts w:ascii="Calibri" w:hAnsi="Calibri"/>
                <w:b/>
                <w:i w:val="0"/>
                <w:color w:val="FFFFFF"/>
                <w:sz w:val="17"/>
              </w:rPr>
              <w:t>Metric</w:t>
            </w:r>
          </w:p>
        </w:tc>
        <w:tc>
          <w:tcPr>
            <w:tcW w:type="dxa" w:w="3175"/>
            <w:shd w:val="clear" w:color="auto" w:fill="1F3A4D"/>
          </w:tcPr>
          <w:p>
            <w:pPr>
              <w:spacing w:after="40" w:before="40"/>
            </w:pPr>
            <w:r/>
            <w:r>
              <w:rPr>
                <w:rFonts w:ascii="Calibri" w:hAnsi="Calibri"/>
                <w:b/>
                <w:i w:val="0"/>
                <w:color w:val="FFFFFF"/>
                <w:sz w:val="17"/>
              </w:rPr>
              <w:t>V1 (BDEW-for-everything)</w:t>
            </w:r>
          </w:p>
        </w:tc>
        <w:tc>
          <w:tcPr>
            <w:tcW w:type="dxa" w:w="3288"/>
            <w:shd w:val="clear" w:color="auto" w:fill="1F3A4D"/>
          </w:tcPr>
          <w:p>
            <w:pPr>
              <w:spacing w:after="40" w:before="40"/>
            </w:pPr>
            <w:r/>
            <w:r>
              <w:rPr>
                <w:rFonts w:ascii="Calibri" w:hAnsi="Calibri"/>
                <w:b/>
                <w:i w:val="0"/>
                <w:color w:val="FFFFFF"/>
                <w:sz w:val="17"/>
              </w:rPr>
              <w:t>V2 (component-split)</w:t>
            </w:r>
          </w:p>
        </w:tc>
      </w:tr>
      <w:tr>
        <w:tc>
          <w:tcPr>
            <w:tcW w:type="dxa" w:w="3175"/>
          </w:tcPr>
          <w:p>
            <w:pPr>
              <w:spacing w:after="40" w:before="40"/>
            </w:pPr>
            <w:r/>
            <w:r>
              <w:rPr>
                <w:rFonts w:ascii="Calibri" w:hAnsi="Calibri"/>
                <w:b/>
                <w:i w:val="0"/>
                <w:color w:val="1F3A4D"/>
                <w:sz w:val="17"/>
              </w:rPr>
              <w:t>Peak load</w:t>
            </w:r>
          </w:p>
        </w:tc>
        <w:tc>
          <w:tcPr>
            <w:tcW w:type="dxa" w:w="3175"/>
          </w:tcPr>
          <w:p>
            <w:pPr>
              <w:spacing w:after="40" w:before="40"/>
            </w:pPr>
            <w:r/>
            <w:r>
              <w:rPr>
                <w:rFonts w:ascii="Calibri" w:hAnsi="Calibri"/>
                <w:b w:val="0"/>
                <w:i w:val="0"/>
                <w:sz w:val="17"/>
              </w:rPr>
              <w:t>138,146.7 MW</w:t>
            </w:r>
          </w:p>
        </w:tc>
        <w:tc>
          <w:tcPr>
            <w:tcW w:type="dxa" w:w="3288"/>
          </w:tcPr>
          <w:p>
            <w:pPr>
              <w:spacing w:after="40" w:before="40"/>
            </w:pPr>
            <w:r/>
            <w:r>
              <w:rPr>
                <w:rFonts w:ascii="Calibri" w:hAnsi="Calibri"/>
                <w:b w:val="0"/>
                <w:i w:val="0"/>
                <w:sz w:val="17"/>
              </w:rPr>
              <w:t>106,178.7 MW</w:t>
            </w:r>
          </w:p>
        </w:tc>
      </w:tr>
      <w:tr>
        <w:tc>
          <w:tcPr>
            <w:tcW w:type="dxa" w:w="3175"/>
          </w:tcPr>
          <w:p>
            <w:pPr>
              <w:spacing w:after="40" w:before="40"/>
            </w:pPr>
            <w:r/>
            <w:r>
              <w:rPr>
                <w:rFonts w:ascii="Calibri" w:hAnsi="Calibri"/>
                <w:b/>
                <w:i w:val="0"/>
                <w:color w:val="1F3A4D"/>
                <w:sz w:val="17"/>
              </w:rPr>
              <w:t>Shortage hours (&gt;=3000 EUR/MWh)</w:t>
            </w:r>
          </w:p>
        </w:tc>
        <w:tc>
          <w:tcPr>
            <w:tcW w:type="dxa" w:w="3175"/>
          </w:tcPr>
          <w:p>
            <w:pPr>
              <w:spacing w:after="40" w:before="40"/>
            </w:pPr>
            <w:r/>
            <w:r>
              <w:rPr>
                <w:rFonts w:ascii="Calibri" w:hAnsi="Calibri"/>
                <w:b w:val="0"/>
                <w:i w:val="0"/>
                <w:sz w:val="17"/>
              </w:rPr>
              <w:t>1,391 (15.88%)</w:t>
            </w:r>
          </w:p>
        </w:tc>
        <w:tc>
          <w:tcPr>
            <w:tcW w:type="dxa" w:w="3288"/>
          </w:tcPr>
          <w:p>
            <w:pPr>
              <w:spacing w:after="40" w:before="40"/>
            </w:pPr>
            <w:r/>
            <w:r>
              <w:rPr>
                <w:rFonts w:ascii="Calibri" w:hAnsi="Calibri"/>
                <w:b w:val="0"/>
                <w:i w:val="0"/>
                <w:sz w:val="17"/>
              </w:rPr>
              <w:t>659 (7.52%)</w:t>
            </w:r>
          </w:p>
        </w:tc>
      </w:tr>
      <w:tr>
        <w:tc>
          <w:tcPr>
            <w:tcW w:type="dxa" w:w="3175"/>
          </w:tcPr>
          <w:p>
            <w:pPr>
              <w:spacing w:after="40" w:before="40"/>
            </w:pPr>
            <w:r/>
            <w:r>
              <w:rPr>
                <w:rFonts w:ascii="Calibri" w:hAnsi="Calibri"/>
                <w:b/>
                <w:i w:val="0"/>
                <w:color w:val="1F3A4D"/>
                <w:sz w:val="17"/>
              </w:rPr>
              <w:t>Negative-price hours</w:t>
            </w:r>
          </w:p>
        </w:tc>
        <w:tc>
          <w:tcPr>
            <w:tcW w:type="dxa" w:w="3175"/>
          </w:tcPr>
          <w:p>
            <w:pPr>
              <w:spacing w:after="40" w:before="40"/>
            </w:pPr>
            <w:r/>
            <w:r>
              <w:rPr>
                <w:rFonts w:ascii="Calibri" w:hAnsi="Calibri"/>
                <w:b w:val="0"/>
                <w:i w:val="0"/>
                <w:sz w:val="17"/>
              </w:rPr>
              <w:t>108 (1.23%)</w:t>
            </w:r>
          </w:p>
        </w:tc>
        <w:tc>
          <w:tcPr>
            <w:tcW w:type="dxa" w:w="3288"/>
          </w:tcPr>
          <w:p>
            <w:pPr>
              <w:spacing w:after="40" w:before="40"/>
            </w:pPr>
            <w:r/>
            <w:r>
              <w:rPr>
                <w:rFonts w:ascii="Calibri" w:hAnsi="Calibri"/>
                <w:b w:val="0"/>
                <w:i w:val="0"/>
                <w:sz w:val="17"/>
              </w:rPr>
              <w:t>884 (10.09%)</w:t>
            </w:r>
          </w:p>
        </w:tc>
      </w:tr>
      <w:tr>
        <w:tc>
          <w:tcPr>
            <w:tcW w:type="dxa" w:w="3175"/>
          </w:tcPr>
          <w:p>
            <w:pPr>
              <w:spacing w:after="40" w:before="40"/>
            </w:pPr>
            <w:r/>
            <w:r>
              <w:rPr>
                <w:rFonts w:ascii="Calibri" w:hAnsi="Calibri"/>
                <w:b/>
                <w:i w:val="0"/>
                <w:color w:val="1F3A4D"/>
                <w:sz w:val="17"/>
              </w:rPr>
              <w:t>Mean price</w:t>
            </w:r>
          </w:p>
        </w:tc>
        <w:tc>
          <w:tcPr>
            <w:tcW w:type="dxa" w:w="3175"/>
          </w:tcPr>
          <w:p>
            <w:pPr>
              <w:spacing w:after="40" w:before="40"/>
            </w:pPr>
            <w:r/>
            <w:r>
              <w:rPr>
                <w:rFonts w:ascii="Calibri" w:hAnsi="Calibri"/>
                <w:b w:val="0"/>
                <w:i w:val="0"/>
                <w:sz w:val="17"/>
              </w:rPr>
              <w:t>519.02 EUR/MWh</w:t>
            </w:r>
          </w:p>
        </w:tc>
        <w:tc>
          <w:tcPr>
            <w:tcW w:type="dxa" w:w="3288"/>
          </w:tcPr>
          <w:p>
            <w:pPr>
              <w:spacing w:after="40" w:before="40"/>
            </w:pPr>
            <w:r/>
            <w:r>
              <w:rPr>
                <w:rFonts w:ascii="Calibri" w:hAnsi="Calibri"/>
                <w:b w:val="0"/>
                <w:i w:val="0"/>
                <w:sz w:val="17"/>
              </w:rPr>
              <w:t>285.58 EUR/MWh</w:t>
            </w:r>
          </w:p>
        </w:tc>
      </w:tr>
      <w:tr>
        <w:tc>
          <w:tcPr>
            <w:tcW w:type="dxa" w:w="3175"/>
          </w:tcPr>
          <w:p>
            <w:pPr>
              <w:spacing w:after="40" w:before="40"/>
            </w:pPr>
            <w:r/>
            <w:r>
              <w:rPr>
                <w:rFonts w:ascii="Calibri" w:hAnsi="Calibri"/>
                <w:b/>
                <w:i w:val="0"/>
                <w:color w:val="1F3A4D"/>
                <w:sz w:val="17"/>
              </w:rPr>
              <w:t>Median price</w:t>
            </w:r>
          </w:p>
        </w:tc>
        <w:tc>
          <w:tcPr>
            <w:tcW w:type="dxa" w:w="3175"/>
          </w:tcPr>
          <w:p>
            <w:pPr>
              <w:spacing w:after="40" w:before="40"/>
            </w:pPr>
            <w:r/>
            <w:r>
              <w:rPr>
                <w:rFonts w:ascii="Calibri" w:hAnsi="Calibri"/>
                <w:b w:val="0"/>
                <w:i w:val="0"/>
                <w:sz w:val="17"/>
              </w:rPr>
              <w:t>67.52 EUR/MWh</w:t>
            </w:r>
          </w:p>
        </w:tc>
        <w:tc>
          <w:tcPr>
            <w:tcW w:type="dxa" w:w="3288"/>
          </w:tcPr>
          <w:p>
            <w:pPr>
              <w:spacing w:after="40" w:before="40"/>
            </w:pPr>
            <w:r/>
            <w:r>
              <w:rPr>
                <w:rFonts w:ascii="Calibri" w:hAnsi="Calibri"/>
                <w:b w:val="0"/>
                <w:i w:val="0"/>
                <w:sz w:val="17"/>
              </w:rPr>
              <w:t>77.19 EUR/MWh</w:t>
            </w:r>
          </w:p>
        </w:tc>
      </w:tr>
    </w:tbl>
    <w:p>
      <w:pPr>
        <w:spacing w:after="80"/>
      </w:pPr>
    </w:p>
    <w:p>
      <w:pPr>
        <w:spacing w:after="160"/>
      </w:pPr>
      <w:r>
        <w:rPr>
          <w:rFonts w:ascii="Calibri" w:hAnsi="Calibri"/>
          <w:b w:val="0"/>
          <w:i w:val="0"/>
          <w:color w:val="141816"/>
          <w:sz w:val="20"/>
        </w:rPr>
        <w:t>This confirms the diagnosis from Part 6: V1's shortage hours were concentrated in the 18:00-21:00 evening window because a household evening-peak shape had been applied to the whole economy's demand. Spreading the heat-pump, electrolysis, and EV components across their own, less peaky shapes removes most of that artificial peak, cutting shortage hours by more than half and mean price by 45%. New build: examples/backtest/Germany2027_DemandV2/, referencing load_v2_split.csv.</w:t>
      </w:r>
    </w:p>
    <w:p>
      <w:pPr>
        <w:spacing w:before="320" w:after="120"/>
        <w:pBdr>
          <w:bottom w:val="single" w:sz="8" w:space="4" w:color="1F3A4D"/>
        </w:pBdr>
      </w:pPr>
      <w:r>
        <w:rPr>
          <w:rFonts w:ascii="Calibri" w:hAnsi="Calibri"/>
          <w:b/>
          <w:i w:val="0"/>
          <w:color w:val="1F3A4D"/>
          <w:sz w:val="30"/>
        </w:rPr>
        <w:t>Part 8 - With-Import Cross-Border Variant (ImportTrader)</w:t>
      </w:r>
    </w:p>
    <w:p>
      <w:pPr>
        <w:spacing w:after="160"/>
      </w:pPr>
      <w:r>
        <w:rPr>
          <w:rFonts w:ascii="Calibri" w:hAnsi="Calibri"/>
          <w:b w:val="0"/>
          <w:i w:val="0"/>
          <w:color w:val="141816"/>
          <w:sz w:val="20"/>
        </w:rPr>
        <w:t>Gap #5 assumed zero cross-border trade for the first build. This variant captures it: Brainpool's Capacity sheet gives 'Net Exports' = -43.90 TWh for 2027, i.e. Germany is projected to be a NET IMPORTER of 43.90 TWh - the same direction as the real 2023 outturn, where Germany was a net importer for the first time in decades (24.4 TWh net, from real ENTSO-E cross-border flow data pulled for this build).</w:t>
      </w:r>
    </w:p>
    <w:p>
      <w:pPr>
        <w:spacing w:before="40" w:after="20"/>
      </w:pPr>
      <w:r>
        <w:rPr>
          <w:rFonts w:ascii="Calibri" w:hAnsi="Calibri"/>
          <w:b/>
          <w:i w:val="0"/>
          <w:color w:val="1F3A4D"/>
          <w:sz w:val="19"/>
        </w:rPr>
        <w:t>Scope limitation, by design:</w:t>
      </w:r>
    </w:p>
    <w:p>
      <w:pPr>
        <w:spacing w:after="160"/>
      </w:pPr>
      <w:r>
        <w:rPr>
          <w:rFonts w:ascii="Calibri" w:hAnsi="Calibri"/>
          <w:b w:val="0"/>
          <w:i/>
          <w:color w:val="555B58"/>
          <w:sz w:val="19"/>
        </w:rPr>
        <w:t>AMIRIS's ImportTrader agent type can only ADD supply to the market. There is no ExportTrader for a single, uncoupled market zone, so this variant captures only the import side of cross-border trade. Modelling Germany's real export flows would require a full multi-zone MarketCoupling setup, judged out of scope for this build.</w:t>
      </w:r>
    </w:p>
    <w:tbl>
      <w:tblPr>
        <w:tblStyle w:val="TableGrid"/>
        <w:tblW w:type="auto" w:w="0"/>
        <w:jc w:val="left"/>
        <w:tblLayout w:type="fixed"/>
        <w:tblLook w:firstColumn="1" w:firstRow="1" w:lastColumn="0" w:lastRow="0" w:noHBand="0" w:noVBand="1" w:val="04A0"/>
      </w:tblPr>
      <w:tblGrid>
        <w:gridCol w:w="2551"/>
        <w:gridCol w:w="6803"/>
      </w:tblGrid>
      <w:tr>
        <w:tc>
          <w:tcPr>
            <w:tcW w:type="dxa" w:w="2551"/>
            <w:shd w:val="clear" w:color="auto" w:fill="1F3A4D"/>
          </w:tcPr>
          <w:p>
            <w:pPr>
              <w:spacing w:after="40" w:before="40"/>
            </w:pPr>
            <w:r/>
            <w:r>
              <w:rPr>
                <w:rFonts w:ascii="Calibri" w:hAnsi="Calibri"/>
                <w:b/>
                <w:i w:val="0"/>
                <w:color w:val="FFFFFF"/>
                <w:sz w:val="17"/>
              </w:rPr>
              <w:t>Attribute</w:t>
            </w:r>
          </w:p>
        </w:tc>
        <w:tc>
          <w:tcPr>
            <w:tcW w:type="dxa" w:w="6803"/>
            <w:shd w:val="clear" w:color="auto" w:fill="1F3A4D"/>
          </w:tcPr>
          <w:p>
            <w:pPr>
              <w:spacing w:after="40" w:before="40"/>
            </w:pPr>
            <w:r/>
            <w:r>
              <w:rPr>
                <w:rFonts w:ascii="Calibri" w:hAnsi="Calibri"/>
                <w:b/>
                <w:i w:val="0"/>
                <w:color w:val="FFFFFF"/>
                <w:sz w:val="17"/>
              </w:rPr>
              <w:t>Method</w:t>
            </w:r>
          </w:p>
        </w:tc>
      </w:tr>
      <w:tr>
        <w:tc>
          <w:tcPr>
            <w:tcW w:type="dxa" w:w="2551"/>
          </w:tcPr>
          <w:p>
            <w:pPr>
              <w:spacing w:after="40" w:before="40"/>
            </w:pPr>
            <w:r/>
            <w:r>
              <w:rPr>
                <w:rFonts w:ascii="Calibri" w:hAnsi="Calibri"/>
                <w:b/>
                <w:i w:val="0"/>
                <w:color w:val="1F3A4D"/>
                <w:sz w:val="17"/>
              </w:rPr>
              <w:t>AvailableEnergyForImport</w:t>
            </w:r>
          </w:p>
        </w:tc>
        <w:tc>
          <w:tcPr>
            <w:tcW w:type="dxa" w:w="6803"/>
          </w:tcPr>
          <w:p>
            <w:pPr>
              <w:spacing w:after="40" w:before="40"/>
            </w:pPr>
            <w:r/>
            <w:r>
              <w:rPr>
                <w:rFonts w:ascii="Calibri" w:hAnsi="Calibri"/>
                <w:b w:val="0"/>
                <w:i w:val="0"/>
                <w:sz w:val="17"/>
              </w:rPr>
              <w:t>Real 2023 net cross-border flow (total physical imports minus exports, DE_LU vs all 11 neighbouring zones), clipped to zero (only the 5,014 real net-import hours are usable), rescaled to Brainpool's 43.90 TWh 2027 target. Preserves the real historical timing of import need.</w:t>
            </w:r>
          </w:p>
        </w:tc>
      </w:tr>
      <w:tr>
        <w:tc>
          <w:tcPr>
            <w:tcW w:type="dxa" w:w="2551"/>
          </w:tcPr>
          <w:p>
            <w:pPr>
              <w:spacing w:after="40" w:before="40"/>
            </w:pPr>
            <w:r/>
            <w:r>
              <w:rPr>
                <w:rFonts w:ascii="Calibri" w:hAnsi="Calibri"/>
                <w:b/>
                <w:i w:val="0"/>
                <w:color w:val="1F3A4D"/>
                <w:sz w:val="17"/>
              </w:rPr>
              <w:t>ImportCostInEURperMWH</w:t>
            </w:r>
          </w:p>
        </w:tc>
        <w:tc>
          <w:tcPr>
            <w:tcW w:type="dxa" w:w="6803"/>
          </w:tcPr>
          <w:p>
            <w:pPr>
              <w:spacing w:after="40" w:before="40"/>
            </w:pPr>
            <w:r/>
            <w:r>
              <w:rPr>
                <w:rFonts w:ascii="Calibri" w:hAnsi="Calibri"/>
                <w:b w:val="0"/>
                <w:i w:val="0"/>
                <w:sz w:val="17"/>
              </w:rPr>
              <w:t>Real 2023 French day-ahead price (mean 96.86, min -134.94, max 276.12 EUR/MWh) as an import-cost proxy - France is Germany's largest, most stable single interconnector partner.</w:t>
            </w:r>
          </w:p>
        </w:tc>
      </w:tr>
    </w:tbl>
    <w:p>
      <w:pPr>
        <w:spacing w:after="80"/>
      </w:pPr>
    </w:p>
    <w:p>
      <w:pPr>
        <w:spacing w:before="200" w:after="80"/>
      </w:pPr>
      <w:r>
        <w:rPr>
          <w:rFonts w:ascii="Calibri" w:hAnsi="Calibri"/>
          <w:b/>
          <w:i w:val="0"/>
          <w:color w:val="A5691F"/>
          <w:sz w:val="22"/>
        </w:rPr>
        <w:t>Finding: realized import volume falls well short of the offered 43.90 TWh</w:t>
      </w:r>
    </w:p>
    <w:p>
      <w:pPr>
        <w:spacing w:after="160"/>
      </w:pPr>
      <w:r>
        <w:rPr>
          <w:rFonts w:ascii="Calibri" w:hAnsi="Calibri"/>
          <w:b w:val="0"/>
          <w:i w:val="0"/>
          <w:color w:val="141816"/>
          <w:sz w:val="20"/>
        </w:rPr>
        <w:t>AMIRIS's ImportTrader is a genuine price-competing bid, not a forced quantity - it only clears in hours where the German price would otherwise exceed the French price offered that hour.</w:t>
      </w:r>
    </w:p>
    <w:tbl>
      <w:tblPr>
        <w:tblStyle w:val="TableGrid"/>
        <w:tblW w:type="auto" w:w="0"/>
        <w:jc w:val="left"/>
        <w:tblLayout w:type="fixed"/>
        <w:tblLook w:firstColumn="1" w:firstRow="1" w:lastColumn="0" w:lastRow="0" w:noHBand="0" w:noVBand="1" w:val="04A0"/>
      </w:tblPr>
      <w:tblGrid>
        <w:gridCol w:w="3175"/>
        <w:gridCol w:w="2041"/>
        <w:gridCol w:w="2608"/>
        <w:gridCol w:w="1474"/>
      </w:tblGrid>
      <w:tr>
        <w:tc>
          <w:tcPr>
            <w:tcW w:type="dxa" w:w="3175"/>
            <w:shd w:val="clear" w:color="auto" w:fill="1F3A4D"/>
          </w:tcPr>
          <w:p>
            <w:pPr>
              <w:spacing w:after="40" w:before="40"/>
            </w:pPr>
            <w:r/>
            <w:r>
              <w:rPr>
                <w:rFonts w:ascii="Calibri" w:hAnsi="Calibri"/>
                <w:b/>
                <w:i w:val="0"/>
                <w:color w:val="FFFFFF"/>
                <w:sz w:val="17"/>
              </w:rPr>
              <w:t>Build</w:t>
            </w:r>
          </w:p>
        </w:tc>
        <w:tc>
          <w:tcPr>
            <w:tcW w:type="dxa" w:w="2041"/>
            <w:shd w:val="clear" w:color="auto" w:fill="1F3A4D"/>
          </w:tcPr>
          <w:p>
            <w:pPr>
              <w:spacing w:after="40" w:before="40"/>
            </w:pPr>
            <w:r/>
            <w:r>
              <w:rPr>
                <w:rFonts w:ascii="Calibri" w:hAnsi="Calibri"/>
                <w:b/>
                <w:i w:val="0"/>
                <w:color w:val="FFFFFF"/>
                <w:sz w:val="17"/>
              </w:rPr>
              <w:t>Offered</w:t>
            </w:r>
          </w:p>
        </w:tc>
        <w:tc>
          <w:tcPr>
            <w:tcW w:type="dxa" w:w="2608"/>
            <w:shd w:val="clear" w:color="auto" w:fill="1F3A4D"/>
          </w:tcPr>
          <w:p>
            <w:pPr>
              <w:spacing w:after="40" w:before="40"/>
            </w:pPr>
            <w:r/>
            <w:r>
              <w:rPr>
                <w:rFonts w:ascii="Calibri" w:hAnsi="Calibri"/>
                <w:b/>
                <w:i w:val="0"/>
                <w:color w:val="FFFFFF"/>
                <w:sz w:val="17"/>
              </w:rPr>
              <w:t>Awarded (cleared)</w:t>
            </w:r>
          </w:p>
        </w:tc>
        <w:tc>
          <w:tcPr>
            <w:tcW w:type="dxa" w:w="1474"/>
            <w:shd w:val="clear" w:color="auto" w:fill="1F3A4D"/>
          </w:tcPr>
          <w:p>
            <w:pPr>
              <w:spacing w:after="40" w:before="40"/>
            </w:pPr>
            <w:r/>
            <w:r>
              <w:rPr>
                <w:rFonts w:ascii="Calibri" w:hAnsi="Calibri"/>
                <w:b/>
                <w:i w:val="0"/>
                <w:color w:val="FFFFFF"/>
                <w:sz w:val="17"/>
              </w:rPr>
              <w:t>Utilization</w:t>
            </w:r>
          </w:p>
        </w:tc>
      </w:tr>
      <w:tr>
        <w:tc>
          <w:tcPr>
            <w:tcW w:type="dxa" w:w="3175"/>
          </w:tcPr>
          <w:p>
            <w:pPr>
              <w:spacing w:after="40" w:before="40"/>
            </w:pPr>
            <w:r/>
            <w:r>
              <w:rPr>
                <w:rFonts w:ascii="Calibri" w:hAnsi="Calibri"/>
                <w:b w:val="0"/>
                <w:i w:val="0"/>
                <w:sz w:val="17"/>
              </w:rPr>
              <w:t>V1 demand + import</w:t>
            </w:r>
          </w:p>
        </w:tc>
        <w:tc>
          <w:tcPr>
            <w:tcW w:type="dxa" w:w="2041"/>
          </w:tcPr>
          <w:p>
            <w:pPr>
              <w:spacing w:after="40" w:before="40"/>
            </w:pPr>
            <w:r/>
            <w:r>
              <w:rPr>
                <w:rFonts w:ascii="Calibri" w:hAnsi="Calibri"/>
                <w:b w:val="0"/>
                <w:i w:val="0"/>
                <w:sz w:val="17"/>
              </w:rPr>
              <w:t>43.90 TWh</w:t>
            </w:r>
          </w:p>
        </w:tc>
        <w:tc>
          <w:tcPr>
            <w:tcW w:type="dxa" w:w="2608"/>
          </w:tcPr>
          <w:p>
            <w:pPr>
              <w:spacing w:after="40" w:before="40"/>
            </w:pPr>
            <w:r/>
            <w:r>
              <w:rPr>
                <w:rFonts w:ascii="Calibri" w:hAnsi="Calibri"/>
                <w:b w:val="0"/>
                <w:i w:val="0"/>
                <w:sz w:val="17"/>
              </w:rPr>
              <w:t>12.33 TWh</w:t>
            </w:r>
          </w:p>
        </w:tc>
        <w:tc>
          <w:tcPr>
            <w:tcW w:type="dxa" w:w="1474"/>
          </w:tcPr>
          <w:p>
            <w:pPr>
              <w:spacing w:after="40" w:before="40"/>
            </w:pPr>
            <w:r/>
            <w:r>
              <w:rPr>
                <w:rFonts w:ascii="Calibri" w:hAnsi="Calibri"/>
                <w:b w:val="0"/>
                <w:i w:val="0"/>
                <w:sz w:val="17"/>
              </w:rPr>
              <w:t>28.09%</w:t>
            </w:r>
          </w:p>
        </w:tc>
      </w:tr>
      <w:tr>
        <w:tc>
          <w:tcPr>
            <w:tcW w:type="dxa" w:w="3175"/>
          </w:tcPr>
          <w:p>
            <w:pPr>
              <w:spacing w:after="40" w:before="40"/>
            </w:pPr>
            <w:r/>
            <w:r>
              <w:rPr>
                <w:rFonts w:ascii="Calibri" w:hAnsi="Calibri"/>
                <w:b w:val="0"/>
                <w:i w:val="0"/>
                <w:sz w:val="17"/>
              </w:rPr>
              <w:t>V2 demand + import</w:t>
            </w:r>
          </w:p>
        </w:tc>
        <w:tc>
          <w:tcPr>
            <w:tcW w:type="dxa" w:w="2041"/>
          </w:tcPr>
          <w:p>
            <w:pPr>
              <w:spacing w:after="40" w:before="40"/>
            </w:pPr>
            <w:r/>
            <w:r>
              <w:rPr>
                <w:rFonts w:ascii="Calibri" w:hAnsi="Calibri"/>
                <w:b w:val="0"/>
                <w:i w:val="0"/>
                <w:sz w:val="17"/>
              </w:rPr>
              <w:t>43.90 TWh</w:t>
            </w:r>
          </w:p>
        </w:tc>
        <w:tc>
          <w:tcPr>
            <w:tcW w:type="dxa" w:w="2608"/>
          </w:tcPr>
          <w:p>
            <w:pPr>
              <w:spacing w:after="40" w:before="40"/>
            </w:pPr>
            <w:r/>
            <w:r>
              <w:rPr>
                <w:rFonts w:ascii="Calibri" w:hAnsi="Calibri"/>
                <w:b w:val="0"/>
                <w:i w:val="0"/>
                <w:sz w:val="17"/>
              </w:rPr>
              <w:t>7.40 TWh</w:t>
            </w:r>
          </w:p>
        </w:tc>
        <w:tc>
          <w:tcPr>
            <w:tcW w:type="dxa" w:w="1474"/>
          </w:tcPr>
          <w:p>
            <w:pPr>
              <w:spacing w:after="40" w:before="40"/>
            </w:pPr>
            <w:r/>
            <w:r>
              <w:rPr>
                <w:rFonts w:ascii="Calibri" w:hAnsi="Calibri"/>
                <w:b w:val="0"/>
                <w:i w:val="0"/>
                <w:sz w:val="17"/>
              </w:rPr>
              <w:t>16.87%</w:t>
            </w:r>
          </w:p>
        </w:tc>
      </w:tr>
    </w:tbl>
    <w:p>
      <w:pPr>
        <w:spacing w:after="80"/>
      </w:pPr>
    </w:p>
    <w:p>
      <w:pPr>
        <w:spacing w:before="40" w:after="20"/>
      </w:pPr>
      <w:r>
        <w:rPr>
          <w:rFonts w:ascii="Calibri" w:hAnsi="Calibri"/>
          <w:b/>
          <w:i w:val="0"/>
          <w:color w:val="3A6B47"/>
          <w:sz w:val="19"/>
        </w:rPr>
        <w:t>Reported as a finding, not a bug (explicit decision):</w:t>
      </w:r>
    </w:p>
    <w:p>
      <w:pPr>
        <w:spacing w:after="160"/>
      </w:pPr>
      <w:r>
        <w:rPr>
          <w:rFonts w:ascii="Calibri" w:hAnsi="Calibri"/>
          <w:b w:val="0"/>
          <w:i/>
          <w:color w:val="555B58"/>
          <w:sz w:val="19"/>
        </w:rPr>
        <w:t>This gap demonstrates a real divergence between Brainpool's fixed net-import ASSUMPTION and AMIRIS's endogenous, price-competitive DISPATCH of that same import capacity. V1's peakier demand shape pushes German prices above the French benchmark more often, so more of the offered import volume clears there (28.09%) than in V2 (16.87%), even though V2 is otherwise the more realistic demand build.</w:t>
      </w:r>
    </w:p>
    <w:p>
      <w:pPr>
        <w:spacing w:before="200" w:after="80"/>
      </w:pPr>
      <w:r>
        <w:rPr>
          <w:rFonts w:ascii="Calibri" w:hAnsi="Calibri"/>
          <w:b/>
          <w:i w:val="0"/>
          <w:color w:val="A5691F"/>
          <w:sz w:val="22"/>
        </w:rPr>
        <w:t>Market impact of the imports that do clear</w:t>
      </w:r>
    </w:p>
    <w:tbl>
      <w:tblPr>
        <w:tblStyle w:val="TableGrid"/>
        <w:tblW w:type="auto" w:w="0"/>
        <w:jc w:val="left"/>
        <w:tblLayout w:type="fixed"/>
        <w:tblLook w:firstColumn="1" w:firstRow="1" w:lastColumn="0" w:lastRow="0" w:noHBand="0" w:noVBand="1" w:val="04A0"/>
      </w:tblPr>
      <w:tblGrid>
        <w:gridCol w:w="2154"/>
        <w:gridCol w:w="1814"/>
        <w:gridCol w:w="1814"/>
        <w:gridCol w:w="1814"/>
        <w:gridCol w:w="1814"/>
      </w:tblGrid>
      <w:tr>
        <w:tc>
          <w:tcPr>
            <w:tcW w:type="dxa" w:w="2154"/>
            <w:shd w:val="clear" w:color="auto" w:fill="1F3A4D"/>
          </w:tcPr>
          <w:p>
            <w:pPr>
              <w:spacing w:after="40" w:before="40"/>
            </w:pPr>
            <w:r/>
            <w:r>
              <w:rPr>
                <w:rFonts w:ascii="Calibri" w:hAnsi="Calibri"/>
                <w:b/>
                <w:i w:val="0"/>
                <w:color w:val="FFFFFF"/>
                <w:sz w:val="17"/>
              </w:rPr>
              <w:t>Metric</w:t>
            </w:r>
          </w:p>
        </w:tc>
        <w:tc>
          <w:tcPr>
            <w:tcW w:type="dxa" w:w="1814"/>
            <w:shd w:val="clear" w:color="auto" w:fill="1F3A4D"/>
          </w:tcPr>
          <w:p>
            <w:pPr>
              <w:spacing w:after="40" w:before="40"/>
            </w:pPr>
            <w:r/>
            <w:r>
              <w:rPr>
                <w:rFonts w:ascii="Calibri" w:hAnsi="Calibri"/>
                <w:b/>
                <w:i w:val="0"/>
                <w:color w:val="FFFFFF"/>
                <w:sz w:val="17"/>
              </w:rPr>
              <w:t>V1 no-import</w:t>
            </w:r>
          </w:p>
        </w:tc>
        <w:tc>
          <w:tcPr>
            <w:tcW w:type="dxa" w:w="1814"/>
            <w:shd w:val="clear" w:color="auto" w:fill="1F3A4D"/>
          </w:tcPr>
          <w:p>
            <w:pPr>
              <w:spacing w:after="40" w:before="40"/>
            </w:pPr>
            <w:r/>
            <w:r>
              <w:rPr>
                <w:rFonts w:ascii="Calibri" w:hAnsi="Calibri"/>
                <w:b/>
                <w:i w:val="0"/>
                <w:color w:val="FFFFFF"/>
                <w:sz w:val="17"/>
              </w:rPr>
              <w:t>V1 with-import</w:t>
            </w:r>
          </w:p>
        </w:tc>
        <w:tc>
          <w:tcPr>
            <w:tcW w:type="dxa" w:w="1814"/>
            <w:shd w:val="clear" w:color="auto" w:fill="1F3A4D"/>
          </w:tcPr>
          <w:p>
            <w:pPr>
              <w:spacing w:after="40" w:before="40"/>
            </w:pPr>
            <w:r/>
            <w:r>
              <w:rPr>
                <w:rFonts w:ascii="Calibri" w:hAnsi="Calibri"/>
                <w:b/>
                <w:i w:val="0"/>
                <w:color w:val="FFFFFF"/>
                <w:sz w:val="17"/>
              </w:rPr>
              <w:t>V2 no-import</w:t>
            </w:r>
          </w:p>
        </w:tc>
        <w:tc>
          <w:tcPr>
            <w:tcW w:type="dxa" w:w="1814"/>
            <w:shd w:val="clear" w:color="auto" w:fill="1F3A4D"/>
          </w:tcPr>
          <w:p>
            <w:pPr>
              <w:spacing w:after="40" w:before="40"/>
            </w:pPr>
            <w:r/>
            <w:r>
              <w:rPr>
                <w:rFonts w:ascii="Calibri" w:hAnsi="Calibri"/>
                <w:b/>
                <w:i w:val="0"/>
                <w:color w:val="FFFFFF"/>
                <w:sz w:val="17"/>
              </w:rPr>
              <w:t>V2 with-import</w:t>
            </w:r>
          </w:p>
        </w:tc>
      </w:tr>
      <w:tr>
        <w:tc>
          <w:tcPr>
            <w:tcW w:type="dxa" w:w="2154"/>
          </w:tcPr>
          <w:p>
            <w:pPr>
              <w:spacing w:after="40" w:before="40"/>
            </w:pPr>
            <w:r/>
            <w:r>
              <w:rPr>
                <w:rFonts w:ascii="Calibri" w:hAnsi="Calibri"/>
                <w:b/>
                <w:i w:val="0"/>
                <w:color w:val="1F3A4D"/>
                <w:sz w:val="17"/>
              </w:rPr>
              <w:t>Shortage hours</w:t>
            </w:r>
          </w:p>
        </w:tc>
        <w:tc>
          <w:tcPr>
            <w:tcW w:type="dxa" w:w="1814"/>
          </w:tcPr>
          <w:p>
            <w:pPr>
              <w:spacing w:after="40" w:before="40"/>
            </w:pPr>
            <w:r/>
            <w:r>
              <w:rPr>
                <w:rFonts w:ascii="Calibri" w:hAnsi="Calibri"/>
                <w:b w:val="0"/>
                <w:i w:val="0"/>
                <w:sz w:val="17"/>
              </w:rPr>
              <w:t>15.88%</w:t>
            </w:r>
          </w:p>
        </w:tc>
        <w:tc>
          <w:tcPr>
            <w:tcW w:type="dxa" w:w="1814"/>
          </w:tcPr>
          <w:p>
            <w:pPr>
              <w:spacing w:after="40" w:before="40"/>
            </w:pPr>
            <w:r/>
            <w:r>
              <w:rPr>
                <w:rFonts w:ascii="Calibri" w:hAnsi="Calibri"/>
                <w:b w:val="0"/>
                <w:i w:val="0"/>
                <w:sz w:val="17"/>
              </w:rPr>
              <w:t>11.78%</w:t>
            </w:r>
          </w:p>
        </w:tc>
        <w:tc>
          <w:tcPr>
            <w:tcW w:type="dxa" w:w="1814"/>
          </w:tcPr>
          <w:p>
            <w:pPr>
              <w:spacing w:after="40" w:before="40"/>
            </w:pPr>
            <w:r/>
            <w:r>
              <w:rPr>
                <w:rFonts w:ascii="Calibri" w:hAnsi="Calibri"/>
                <w:b w:val="0"/>
                <w:i w:val="0"/>
                <w:sz w:val="17"/>
              </w:rPr>
              <w:t>7.52%</w:t>
            </w:r>
          </w:p>
        </w:tc>
        <w:tc>
          <w:tcPr>
            <w:tcW w:type="dxa" w:w="1814"/>
          </w:tcPr>
          <w:p>
            <w:pPr>
              <w:spacing w:after="40" w:before="40"/>
            </w:pPr>
            <w:r/>
            <w:r>
              <w:rPr>
                <w:rFonts w:ascii="Calibri" w:hAnsi="Calibri"/>
                <w:b w:val="0"/>
                <w:i w:val="0"/>
                <w:sz w:val="17"/>
              </w:rPr>
              <w:t>5.35%</w:t>
            </w:r>
          </w:p>
        </w:tc>
      </w:tr>
      <w:tr>
        <w:tc>
          <w:tcPr>
            <w:tcW w:type="dxa" w:w="2154"/>
          </w:tcPr>
          <w:p>
            <w:pPr>
              <w:spacing w:after="40" w:before="40"/>
            </w:pPr>
            <w:r/>
            <w:r>
              <w:rPr>
                <w:rFonts w:ascii="Calibri" w:hAnsi="Calibri"/>
                <w:b/>
                <w:i w:val="0"/>
                <w:color w:val="1F3A4D"/>
                <w:sz w:val="17"/>
              </w:rPr>
              <w:t>Negative-price hours</w:t>
            </w:r>
          </w:p>
        </w:tc>
        <w:tc>
          <w:tcPr>
            <w:tcW w:type="dxa" w:w="1814"/>
          </w:tcPr>
          <w:p>
            <w:pPr>
              <w:spacing w:after="40" w:before="40"/>
            </w:pPr>
            <w:r/>
            <w:r>
              <w:rPr>
                <w:rFonts w:ascii="Calibri" w:hAnsi="Calibri"/>
                <w:b w:val="0"/>
                <w:i w:val="0"/>
                <w:sz w:val="17"/>
              </w:rPr>
              <w:t>1.23%</w:t>
            </w:r>
          </w:p>
        </w:tc>
        <w:tc>
          <w:tcPr>
            <w:tcW w:type="dxa" w:w="1814"/>
          </w:tcPr>
          <w:p>
            <w:pPr>
              <w:spacing w:after="40" w:before="40"/>
            </w:pPr>
            <w:r/>
            <w:r>
              <w:rPr>
                <w:rFonts w:ascii="Calibri" w:hAnsi="Calibri"/>
                <w:b w:val="0"/>
                <w:i w:val="0"/>
                <w:sz w:val="17"/>
              </w:rPr>
              <w:t>1.68%</w:t>
            </w:r>
          </w:p>
        </w:tc>
        <w:tc>
          <w:tcPr>
            <w:tcW w:type="dxa" w:w="1814"/>
          </w:tcPr>
          <w:p>
            <w:pPr>
              <w:spacing w:after="40" w:before="40"/>
            </w:pPr>
            <w:r/>
            <w:r>
              <w:rPr>
                <w:rFonts w:ascii="Calibri" w:hAnsi="Calibri"/>
                <w:b w:val="0"/>
                <w:i w:val="0"/>
                <w:sz w:val="17"/>
              </w:rPr>
              <w:t>10.09%</w:t>
            </w:r>
          </w:p>
        </w:tc>
        <w:tc>
          <w:tcPr>
            <w:tcW w:type="dxa" w:w="1814"/>
          </w:tcPr>
          <w:p>
            <w:pPr>
              <w:spacing w:after="40" w:before="40"/>
            </w:pPr>
            <w:r/>
            <w:r>
              <w:rPr>
                <w:rFonts w:ascii="Calibri" w:hAnsi="Calibri"/>
                <w:b w:val="0"/>
                <w:i w:val="0"/>
                <w:sz w:val="17"/>
              </w:rPr>
              <w:t>14.60%</w:t>
            </w:r>
          </w:p>
        </w:tc>
      </w:tr>
      <w:tr>
        <w:tc>
          <w:tcPr>
            <w:tcW w:type="dxa" w:w="2154"/>
          </w:tcPr>
          <w:p>
            <w:pPr>
              <w:spacing w:after="40" w:before="40"/>
            </w:pPr>
            <w:r/>
            <w:r>
              <w:rPr>
                <w:rFonts w:ascii="Calibri" w:hAnsi="Calibri"/>
                <w:b/>
                <w:i w:val="0"/>
                <w:color w:val="1F3A4D"/>
                <w:sz w:val="17"/>
              </w:rPr>
              <w:t>Mean price (EUR/MWh)</w:t>
            </w:r>
          </w:p>
        </w:tc>
        <w:tc>
          <w:tcPr>
            <w:tcW w:type="dxa" w:w="1814"/>
          </w:tcPr>
          <w:p>
            <w:pPr>
              <w:spacing w:after="40" w:before="40"/>
            </w:pPr>
            <w:r/>
            <w:r>
              <w:rPr>
                <w:rFonts w:ascii="Calibri" w:hAnsi="Calibri"/>
                <w:b w:val="0"/>
                <w:i w:val="0"/>
                <w:sz w:val="17"/>
              </w:rPr>
              <w:t>519.02</w:t>
            </w:r>
          </w:p>
        </w:tc>
        <w:tc>
          <w:tcPr>
            <w:tcW w:type="dxa" w:w="1814"/>
          </w:tcPr>
          <w:p>
            <w:pPr>
              <w:spacing w:after="40" w:before="40"/>
            </w:pPr>
            <w:r/>
            <w:r>
              <w:rPr>
                <w:rFonts w:ascii="Calibri" w:hAnsi="Calibri"/>
                <w:b w:val="0"/>
                <w:i w:val="0"/>
                <w:sz w:val="17"/>
              </w:rPr>
              <w:t>400.04</w:t>
            </w:r>
          </w:p>
        </w:tc>
        <w:tc>
          <w:tcPr>
            <w:tcW w:type="dxa" w:w="1814"/>
          </w:tcPr>
          <w:p>
            <w:pPr>
              <w:spacing w:after="40" w:before="40"/>
            </w:pPr>
            <w:r/>
            <w:r>
              <w:rPr>
                <w:rFonts w:ascii="Calibri" w:hAnsi="Calibri"/>
                <w:b w:val="0"/>
                <w:i w:val="0"/>
                <w:sz w:val="17"/>
              </w:rPr>
              <w:t>285.58</w:t>
            </w:r>
          </w:p>
        </w:tc>
        <w:tc>
          <w:tcPr>
            <w:tcW w:type="dxa" w:w="1814"/>
          </w:tcPr>
          <w:p>
            <w:pPr>
              <w:spacing w:after="40" w:before="40"/>
            </w:pPr>
            <w:r/>
            <w:r>
              <w:rPr>
                <w:rFonts w:ascii="Calibri" w:hAnsi="Calibri"/>
                <w:b w:val="0"/>
                <w:i w:val="0"/>
                <w:sz w:val="17"/>
              </w:rPr>
              <w:t>219.81</w:t>
            </w:r>
          </w:p>
        </w:tc>
      </w:tr>
    </w:tbl>
    <w:p>
      <w:pPr>
        <w:spacing w:after="80"/>
      </w:pPr>
    </w:p>
    <w:p>
      <w:pPr>
        <w:spacing w:after="160"/>
      </w:pPr>
      <w:r>
        <w:rPr>
          <w:rFonts w:ascii="Calibri" w:hAnsi="Calibri"/>
          <w:b w:val="0"/>
          <w:i w:val="0"/>
          <w:color w:val="141816"/>
          <w:sz w:val="20"/>
        </w:rPr>
        <w:t>Even the partial import volume that clears does real work: it relieves scarcity and pulls the mean price down materially (23-32%). Negative-price hours rise slightly with imports, since the French price series itself goes negative in some hours (min -134.94 EUR/MWh). New folders: examples/backtest/Germany2027_WithImport/ (V2+import) and examples/backtest/Germany2027_V1WithImport/ (V1+import), both compiled and ran with zero errors, agent Id 112.</w:t>
      </w:r>
    </w:p>
    <w:p>
      <w:pPr>
        <w:spacing w:before="320" w:after="120"/>
        <w:pBdr>
          <w:bottom w:val="single" w:sz="8" w:space="4" w:color="1F3A4D"/>
        </w:pBdr>
      </w:pPr>
      <w:r>
        <w:rPr>
          <w:rFonts w:ascii="Calibri" w:hAnsi="Calibri"/>
          <w:b/>
          <w:i w:val="0"/>
          <w:color w:val="1F3A4D"/>
          <w:sz w:val="30"/>
        </w:rPr>
        <w:t>Part 9 - Four-Way Version Matrix: Full Comparison</w:t>
      </w:r>
    </w:p>
    <w:p>
      <w:pPr>
        <w:spacing w:after="160"/>
      </w:pPr>
      <w:r>
        <w:rPr>
          <w:rFonts w:ascii="Calibri" w:hAnsi="Calibri"/>
          <w:b w:val="0"/>
          <w:i w:val="0"/>
          <w:color w:val="141816"/>
          <w:sz w:val="20"/>
        </w:rPr>
        <w:t>All four combinations of the originally planned 2x2 build matrix (demand V1/V2 x no-import/with-import) are now built, compiled, and simulated end to end.</w:t>
      </w:r>
    </w:p>
    <w:tbl>
      <w:tblPr>
        <w:tblStyle w:val="TableGrid"/>
        <w:tblW w:type="auto" w:w="0"/>
        <w:jc w:val="left"/>
        <w:tblLayout w:type="fixed"/>
        <w:tblLook w:firstColumn="1" w:firstRow="1" w:lastColumn="0" w:lastRow="0" w:noHBand="0" w:noVBand="1" w:val="04A0"/>
      </w:tblPr>
      <w:tblGrid>
        <w:gridCol w:w="1814"/>
        <w:gridCol w:w="1587"/>
        <w:gridCol w:w="1361"/>
        <w:gridCol w:w="1361"/>
        <w:gridCol w:w="1247"/>
        <w:gridCol w:w="1814"/>
      </w:tblGrid>
      <w:tr>
        <w:tc>
          <w:tcPr>
            <w:tcW w:type="dxa" w:w="1814"/>
            <w:shd w:val="clear" w:color="auto" w:fill="1F3A4D"/>
          </w:tcPr>
          <w:p>
            <w:pPr>
              <w:spacing w:after="40" w:before="40"/>
            </w:pPr>
            <w:r/>
            <w:r>
              <w:rPr>
                <w:rFonts w:ascii="Calibri" w:hAnsi="Calibri"/>
                <w:b/>
                <w:i w:val="0"/>
                <w:color w:val="FFFFFF"/>
                <w:sz w:val="17"/>
              </w:rPr>
              <w:t>Build</w:t>
            </w:r>
          </w:p>
        </w:tc>
        <w:tc>
          <w:tcPr>
            <w:tcW w:type="dxa" w:w="1587"/>
            <w:shd w:val="clear" w:color="auto" w:fill="1F3A4D"/>
          </w:tcPr>
          <w:p>
            <w:pPr>
              <w:spacing w:after="40" w:before="40"/>
            </w:pPr>
            <w:r/>
            <w:r>
              <w:rPr>
                <w:rFonts w:ascii="Calibri" w:hAnsi="Calibri"/>
                <w:b/>
                <w:i w:val="0"/>
                <w:color w:val="FFFFFF"/>
                <w:sz w:val="17"/>
              </w:rPr>
              <w:t>Peak load</w:t>
            </w:r>
          </w:p>
        </w:tc>
        <w:tc>
          <w:tcPr>
            <w:tcW w:type="dxa" w:w="1361"/>
            <w:shd w:val="clear" w:color="auto" w:fill="1F3A4D"/>
          </w:tcPr>
          <w:p>
            <w:pPr>
              <w:spacing w:after="40" w:before="40"/>
            </w:pPr>
            <w:r/>
            <w:r>
              <w:rPr>
                <w:rFonts w:ascii="Calibri" w:hAnsi="Calibri"/>
                <w:b/>
                <w:i w:val="0"/>
                <w:color w:val="FFFFFF"/>
                <w:sz w:val="17"/>
              </w:rPr>
              <w:t>Shortage hrs</w:t>
            </w:r>
          </w:p>
        </w:tc>
        <w:tc>
          <w:tcPr>
            <w:tcW w:type="dxa" w:w="1361"/>
            <w:shd w:val="clear" w:color="auto" w:fill="1F3A4D"/>
          </w:tcPr>
          <w:p>
            <w:pPr>
              <w:spacing w:after="40" w:before="40"/>
            </w:pPr>
            <w:r/>
            <w:r>
              <w:rPr>
                <w:rFonts w:ascii="Calibri" w:hAnsi="Calibri"/>
                <w:b/>
                <w:i w:val="0"/>
                <w:color w:val="FFFFFF"/>
                <w:sz w:val="17"/>
              </w:rPr>
              <w:t>Negative hrs</w:t>
            </w:r>
          </w:p>
        </w:tc>
        <w:tc>
          <w:tcPr>
            <w:tcW w:type="dxa" w:w="1247"/>
            <w:shd w:val="clear" w:color="auto" w:fill="1F3A4D"/>
          </w:tcPr>
          <w:p>
            <w:pPr>
              <w:spacing w:after="40" w:before="40"/>
            </w:pPr>
            <w:r/>
            <w:r>
              <w:rPr>
                <w:rFonts w:ascii="Calibri" w:hAnsi="Calibri"/>
                <w:b/>
                <w:i w:val="0"/>
                <w:color w:val="FFFFFF"/>
                <w:sz w:val="17"/>
              </w:rPr>
              <w:t>Mean price</w:t>
            </w:r>
          </w:p>
        </w:tc>
        <w:tc>
          <w:tcPr>
            <w:tcW w:type="dxa" w:w="1814"/>
            <w:shd w:val="clear" w:color="auto" w:fill="1F3A4D"/>
          </w:tcPr>
          <w:p>
            <w:pPr>
              <w:spacing w:after="40" w:before="40"/>
            </w:pPr>
            <w:r/>
            <w:r>
              <w:rPr>
                <w:rFonts w:ascii="Calibri" w:hAnsi="Calibri"/>
                <w:b/>
                <w:i w:val="0"/>
                <w:color w:val="FFFFFF"/>
                <w:sz w:val="17"/>
              </w:rPr>
              <w:t>Import cleared</w:t>
            </w:r>
          </w:p>
        </w:tc>
      </w:tr>
      <w:tr>
        <w:tc>
          <w:tcPr>
            <w:tcW w:type="dxa" w:w="1814"/>
          </w:tcPr>
          <w:p>
            <w:pPr>
              <w:spacing w:after="40" w:before="40"/>
            </w:pPr>
            <w:r/>
            <w:r>
              <w:rPr>
                <w:rFonts w:ascii="Calibri" w:hAnsi="Calibri"/>
                <w:b/>
                <w:i w:val="0"/>
                <w:color w:val="1F3A4D"/>
                <w:sz w:val="17"/>
              </w:rPr>
              <w:t>V1, no-import</w:t>
            </w:r>
          </w:p>
        </w:tc>
        <w:tc>
          <w:tcPr>
            <w:tcW w:type="dxa" w:w="1587"/>
          </w:tcPr>
          <w:p>
            <w:pPr>
              <w:spacing w:after="40" w:before="40"/>
            </w:pPr>
            <w:r/>
            <w:r>
              <w:rPr>
                <w:rFonts w:ascii="Calibri" w:hAnsi="Calibri"/>
                <w:b w:val="0"/>
                <w:i w:val="0"/>
                <w:sz w:val="17"/>
              </w:rPr>
              <w:t>138,146.7 MW</w:t>
            </w:r>
          </w:p>
        </w:tc>
        <w:tc>
          <w:tcPr>
            <w:tcW w:type="dxa" w:w="1361"/>
          </w:tcPr>
          <w:p>
            <w:pPr>
              <w:spacing w:after="40" w:before="40"/>
            </w:pPr>
            <w:r/>
            <w:r>
              <w:rPr>
                <w:rFonts w:ascii="Calibri" w:hAnsi="Calibri"/>
                <w:b w:val="0"/>
                <w:i w:val="0"/>
                <w:sz w:val="17"/>
              </w:rPr>
              <w:t>15.88%</w:t>
            </w:r>
          </w:p>
        </w:tc>
        <w:tc>
          <w:tcPr>
            <w:tcW w:type="dxa" w:w="1361"/>
          </w:tcPr>
          <w:p>
            <w:pPr>
              <w:spacing w:after="40" w:before="40"/>
            </w:pPr>
            <w:r/>
            <w:r>
              <w:rPr>
                <w:rFonts w:ascii="Calibri" w:hAnsi="Calibri"/>
                <w:b w:val="0"/>
                <w:i w:val="0"/>
                <w:sz w:val="17"/>
              </w:rPr>
              <w:t>1.23%</w:t>
            </w:r>
          </w:p>
        </w:tc>
        <w:tc>
          <w:tcPr>
            <w:tcW w:type="dxa" w:w="1247"/>
          </w:tcPr>
          <w:p>
            <w:pPr>
              <w:spacing w:after="40" w:before="40"/>
            </w:pPr>
            <w:r/>
            <w:r>
              <w:rPr>
                <w:rFonts w:ascii="Calibri" w:hAnsi="Calibri"/>
                <w:b w:val="0"/>
                <w:i w:val="0"/>
                <w:sz w:val="17"/>
              </w:rPr>
              <w:t>519.02</w:t>
            </w:r>
          </w:p>
        </w:tc>
        <w:tc>
          <w:tcPr>
            <w:tcW w:type="dxa" w:w="1814"/>
          </w:tcPr>
          <w:p>
            <w:pPr>
              <w:spacing w:after="40" w:before="40"/>
            </w:pPr>
            <w:r/>
            <w:r>
              <w:rPr>
                <w:rFonts w:ascii="Calibri" w:hAnsi="Calibri"/>
                <w:b w:val="0"/>
                <w:i w:val="0"/>
                <w:sz w:val="17"/>
              </w:rPr>
              <w:t>n/a</w:t>
            </w:r>
          </w:p>
        </w:tc>
      </w:tr>
      <w:tr>
        <w:tc>
          <w:tcPr>
            <w:tcW w:type="dxa" w:w="1814"/>
          </w:tcPr>
          <w:p>
            <w:pPr>
              <w:spacing w:after="40" w:before="40"/>
            </w:pPr>
            <w:r/>
            <w:r>
              <w:rPr>
                <w:rFonts w:ascii="Calibri" w:hAnsi="Calibri"/>
                <w:b/>
                <w:i w:val="0"/>
                <w:color w:val="1F3A4D"/>
                <w:sz w:val="17"/>
              </w:rPr>
              <w:t>V1, with-import</w:t>
            </w:r>
          </w:p>
        </w:tc>
        <w:tc>
          <w:tcPr>
            <w:tcW w:type="dxa" w:w="1587"/>
          </w:tcPr>
          <w:p>
            <w:pPr>
              <w:spacing w:after="40" w:before="40"/>
            </w:pPr>
            <w:r/>
            <w:r>
              <w:rPr>
                <w:rFonts w:ascii="Calibri" w:hAnsi="Calibri"/>
                <w:b w:val="0"/>
                <w:i w:val="0"/>
                <w:sz w:val="17"/>
              </w:rPr>
              <w:t>138,146.7 MW</w:t>
            </w:r>
          </w:p>
        </w:tc>
        <w:tc>
          <w:tcPr>
            <w:tcW w:type="dxa" w:w="1361"/>
          </w:tcPr>
          <w:p>
            <w:pPr>
              <w:spacing w:after="40" w:before="40"/>
            </w:pPr>
            <w:r/>
            <w:r>
              <w:rPr>
                <w:rFonts w:ascii="Calibri" w:hAnsi="Calibri"/>
                <w:b w:val="0"/>
                <w:i w:val="0"/>
                <w:sz w:val="17"/>
              </w:rPr>
              <w:t>11.78%</w:t>
            </w:r>
          </w:p>
        </w:tc>
        <w:tc>
          <w:tcPr>
            <w:tcW w:type="dxa" w:w="1361"/>
          </w:tcPr>
          <w:p>
            <w:pPr>
              <w:spacing w:after="40" w:before="40"/>
            </w:pPr>
            <w:r/>
            <w:r>
              <w:rPr>
                <w:rFonts w:ascii="Calibri" w:hAnsi="Calibri"/>
                <w:b w:val="0"/>
                <w:i w:val="0"/>
                <w:sz w:val="17"/>
              </w:rPr>
              <w:t>1.68%</w:t>
            </w:r>
          </w:p>
        </w:tc>
        <w:tc>
          <w:tcPr>
            <w:tcW w:type="dxa" w:w="1247"/>
          </w:tcPr>
          <w:p>
            <w:pPr>
              <w:spacing w:after="40" w:before="40"/>
            </w:pPr>
            <w:r/>
            <w:r>
              <w:rPr>
                <w:rFonts w:ascii="Calibri" w:hAnsi="Calibri"/>
                <w:b w:val="0"/>
                <w:i w:val="0"/>
                <w:sz w:val="17"/>
              </w:rPr>
              <w:t>400.04</w:t>
            </w:r>
          </w:p>
        </w:tc>
        <w:tc>
          <w:tcPr>
            <w:tcW w:type="dxa" w:w="1814"/>
          </w:tcPr>
          <w:p>
            <w:pPr>
              <w:spacing w:after="40" w:before="40"/>
            </w:pPr>
            <w:r/>
            <w:r>
              <w:rPr>
                <w:rFonts w:ascii="Calibri" w:hAnsi="Calibri"/>
                <w:b w:val="0"/>
                <w:i w:val="0"/>
                <w:sz w:val="17"/>
              </w:rPr>
              <w:t>12.33 / 43.90 TWh</w:t>
            </w:r>
          </w:p>
        </w:tc>
      </w:tr>
      <w:tr>
        <w:tc>
          <w:tcPr>
            <w:tcW w:type="dxa" w:w="1814"/>
          </w:tcPr>
          <w:p>
            <w:pPr>
              <w:spacing w:after="40" w:before="40"/>
            </w:pPr>
            <w:r/>
            <w:r>
              <w:rPr>
                <w:rFonts w:ascii="Calibri" w:hAnsi="Calibri"/>
                <w:b/>
                <w:i w:val="0"/>
                <w:color w:val="1F3A4D"/>
                <w:sz w:val="17"/>
              </w:rPr>
              <w:t>V2, no-import</w:t>
            </w:r>
          </w:p>
        </w:tc>
        <w:tc>
          <w:tcPr>
            <w:tcW w:type="dxa" w:w="1587"/>
          </w:tcPr>
          <w:p>
            <w:pPr>
              <w:spacing w:after="40" w:before="40"/>
            </w:pPr>
            <w:r/>
            <w:r>
              <w:rPr>
                <w:rFonts w:ascii="Calibri" w:hAnsi="Calibri"/>
                <w:b w:val="0"/>
                <w:i w:val="0"/>
                <w:sz w:val="17"/>
              </w:rPr>
              <w:t>106,178.7 MW</w:t>
            </w:r>
          </w:p>
        </w:tc>
        <w:tc>
          <w:tcPr>
            <w:tcW w:type="dxa" w:w="1361"/>
          </w:tcPr>
          <w:p>
            <w:pPr>
              <w:spacing w:after="40" w:before="40"/>
            </w:pPr>
            <w:r/>
            <w:r>
              <w:rPr>
                <w:rFonts w:ascii="Calibri" w:hAnsi="Calibri"/>
                <w:b w:val="0"/>
                <w:i w:val="0"/>
                <w:sz w:val="17"/>
              </w:rPr>
              <w:t>7.52%</w:t>
            </w:r>
          </w:p>
        </w:tc>
        <w:tc>
          <w:tcPr>
            <w:tcW w:type="dxa" w:w="1361"/>
          </w:tcPr>
          <w:p>
            <w:pPr>
              <w:spacing w:after="40" w:before="40"/>
            </w:pPr>
            <w:r/>
            <w:r>
              <w:rPr>
                <w:rFonts w:ascii="Calibri" w:hAnsi="Calibri"/>
                <w:b w:val="0"/>
                <w:i w:val="0"/>
                <w:sz w:val="17"/>
              </w:rPr>
              <w:t>10.09%</w:t>
            </w:r>
          </w:p>
        </w:tc>
        <w:tc>
          <w:tcPr>
            <w:tcW w:type="dxa" w:w="1247"/>
          </w:tcPr>
          <w:p>
            <w:pPr>
              <w:spacing w:after="40" w:before="40"/>
            </w:pPr>
            <w:r/>
            <w:r>
              <w:rPr>
                <w:rFonts w:ascii="Calibri" w:hAnsi="Calibri"/>
                <w:b w:val="0"/>
                <w:i w:val="0"/>
                <w:sz w:val="17"/>
              </w:rPr>
              <w:t>285.58</w:t>
            </w:r>
          </w:p>
        </w:tc>
        <w:tc>
          <w:tcPr>
            <w:tcW w:type="dxa" w:w="1814"/>
          </w:tcPr>
          <w:p>
            <w:pPr>
              <w:spacing w:after="40" w:before="40"/>
            </w:pPr>
            <w:r/>
            <w:r>
              <w:rPr>
                <w:rFonts w:ascii="Calibri" w:hAnsi="Calibri"/>
                <w:b w:val="0"/>
                <w:i w:val="0"/>
                <w:sz w:val="17"/>
              </w:rPr>
              <w:t>n/a</w:t>
            </w:r>
          </w:p>
        </w:tc>
      </w:tr>
      <w:tr>
        <w:tc>
          <w:tcPr>
            <w:tcW w:type="dxa" w:w="1814"/>
          </w:tcPr>
          <w:p>
            <w:pPr>
              <w:spacing w:after="40" w:before="40"/>
            </w:pPr>
            <w:r/>
            <w:r>
              <w:rPr>
                <w:rFonts w:ascii="Calibri" w:hAnsi="Calibri"/>
                <w:b/>
                <w:i w:val="0"/>
                <w:color w:val="1F3A4D"/>
                <w:sz w:val="17"/>
              </w:rPr>
              <w:t>V2, with-import</w:t>
            </w:r>
          </w:p>
        </w:tc>
        <w:tc>
          <w:tcPr>
            <w:tcW w:type="dxa" w:w="1587"/>
          </w:tcPr>
          <w:p>
            <w:pPr>
              <w:spacing w:after="40" w:before="40"/>
            </w:pPr>
            <w:r/>
            <w:r>
              <w:rPr>
                <w:rFonts w:ascii="Calibri" w:hAnsi="Calibri"/>
                <w:b w:val="0"/>
                <w:i w:val="0"/>
                <w:sz w:val="17"/>
              </w:rPr>
              <w:t>106,178.7 MW</w:t>
            </w:r>
          </w:p>
        </w:tc>
        <w:tc>
          <w:tcPr>
            <w:tcW w:type="dxa" w:w="1361"/>
          </w:tcPr>
          <w:p>
            <w:pPr>
              <w:spacing w:after="40" w:before="40"/>
            </w:pPr>
            <w:r/>
            <w:r>
              <w:rPr>
                <w:rFonts w:ascii="Calibri" w:hAnsi="Calibri"/>
                <w:b w:val="0"/>
                <w:i w:val="0"/>
                <w:sz w:val="17"/>
              </w:rPr>
              <w:t>5.35%</w:t>
            </w:r>
          </w:p>
        </w:tc>
        <w:tc>
          <w:tcPr>
            <w:tcW w:type="dxa" w:w="1361"/>
          </w:tcPr>
          <w:p>
            <w:pPr>
              <w:spacing w:after="40" w:before="40"/>
            </w:pPr>
            <w:r/>
            <w:r>
              <w:rPr>
                <w:rFonts w:ascii="Calibri" w:hAnsi="Calibri"/>
                <w:b w:val="0"/>
                <w:i w:val="0"/>
                <w:sz w:val="17"/>
              </w:rPr>
              <w:t>14.60%</w:t>
            </w:r>
          </w:p>
        </w:tc>
        <w:tc>
          <w:tcPr>
            <w:tcW w:type="dxa" w:w="1247"/>
          </w:tcPr>
          <w:p>
            <w:pPr>
              <w:spacing w:after="40" w:before="40"/>
            </w:pPr>
            <w:r/>
            <w:r>
              <w:rPr>
                <w:rFonts w:ascii="Calibri" w:hAnsi="Calibri"/>
                <w:b w:val="0"/>
                <w:i w:val="0"/>
                <w:sz w:val="17"/>
              </w:rPr>
              <w:t>219.81</w:t>
            </w:r>
          </w:p>
        </w:tc>
        <w:tc>
          <w:tcPr>
            <w:tcW w:type="dxa" w:w="1814"/>
          </w:tcPr>
          <w:p>
            <w:pPr>
              <w:spacing w:after="40" w:before="40"/>
            </w:pPr>
            <w:r/>
            <w:r>
              <w:rPr>
                <w:rFonts w:ascii="Calibri" w:hAnsi="Calibri"/>
                <w:b w:val="0"/>
                <w:i w:val="0"/>
                <w:sz w:val="17"/>
              </w:rPr>
              <w:t>7.40 / 43.90 TWh</w:t>
            </w:r>
          </w:p>
        </w:tc>
      </w:tr>
    </w:tbl>
    <w:p>
      <w:pPr>
        <w:spacing w:after="80"/>
      </w:pPr>
    </w:p>
    <w:p>
      <w:pPr>
        <w:spacing w:after="160"/>
      </w:pPr>
      <w:r>
        <w:rPr>
          <w:rFonts w:ascii="Calibri" w:hAnsi="Calibri"/>
          <w:b w:val="0"/>
          <w:i w:val="0"/>
          <w:color w:val="141816"/>
          <w:sz w:val="20"/>
        </w:rPr>
        <w:t>Demand shape (V1 vs V2) is the dominant driver of shortage relief - moving from V1 to V2 alone cuts shortage hours from 15.88% to 7.52% (no-import) and from 11.78% to 5.35% (with-import). Cross-border imports are a smaller, second-order effect on top of that, but still meaningfully reduce both shortage frequency and mean price within either demand version.</w:t>
      </w:r>
    </w:p>
    <w:p>
      <w:pPr>
        <w:spacing w:before="320" w:after="120"/>
        <w:pBdr>
          <w:bottom w:val="single" w:sz="8" w:space="4" w:color="1F3A4D"/>
        </w:pBdr>
      </w:pPr>
      <w:r>
        <w:rPr>
          <w:rFonts w:ascii="Calibri" w:hAnsi="Calibri"/>
          <w:b/>
          <w:i w:val="0"/>
          <w:color w:val="1F3A4D"/>
          <w:sz w:val="30"/>
        </w:rPr>
        <w:t>Part 10 - Complete List of Open Flags Across All Builds</w:t>
      </w:r>
    </w:p>
    <w:tbl>
      <w:tblPr>
        <w:tblStyle w:val="TableGrid"/>
        <w:tblW w:type="auto" w:w="0"/>
        <w:jc w:val="left"/>
        <w:tblLayout w:type="fixed"/>
        <w:tblLook w:firstColumn="1" w:firstRow="1" w:lastColumn="0" w:lastRow="0" w:noHBand="0" w:noVBand="1" w:val="04A0"/>
      </w:tblPr>
      <w:tblGrid>
        <w:gridCol w:w="567"/>
        <w:gridCol w:w="8957"/>
      </w:tblGrid>
      <w:tr>
        <w:tc>
          <w:tcPr>
            <w:tcW w:type="dxa" w:w="567"/>
            <w:shd w:val="clear" w:color="auto" w:fill="1F3A4D"/>
          </w:tcPr>
          <w:p>
            <w:pPr>
              <w:spacing w:after="40" w:before="40"/>
            </w:pPr>
            <w:r/>
            <w:r>
              <w:rPr>
                <w:rFonts w:ascii="Calibri" w:hAnsi="Calibri"/>
                <w:b/>
                <w:i w:val="0"/>
                <w:color w:val="FFFFFF"/>
                <w:sz w:val="17"/>
              </w:rPr>
              <w:t>#</w:t>
            </w:r>
          </w:p>
        </w:tc>
        <w:tc>
          <w:tcPr>
            <w:tcW w:type="dxa" w:w="8957"/>
            <w:shd w:val="clear" w:color="auto" w:fill="1F3A4D"/>
          </w:tcPr>
          <w:p>
            <w:pPr>
              <w:spacing w:after="40" w:before="40"/>
            </w:pPr>
            <w:r/>
            <w:r>
              <w:rPr>
                <w:rFonts w:ascii="Calibri" w:hAnsi="Calibri"/>
                <w:b/>
                <w:i w:val="0"/>
                <w:color w:val="FFFFFF"/>
                <w:sz w:val="17"/>
              </w:rPr>
              <w:t>Flag</w:t>
            </w:r>
          </w:p>
        </w:tc>
      </w:tr>
      <w:tr>
        <w:tc>
          <w:tcPr>
            <w:tcW w:type="dxa" w:w="567"/>
          </w:tcPr>
          <w:p>
            <w:pPr>
              <w:spacing w:after="40" w:before="40"/>
            </w:pPr>
            <w:r/>
            <w:r>
              <w:rPr>
                <w:rFonts w:ascii="Calibri" w:hAnsi="Calibri"/>
                <w:b w:val="0"/>
                <w:i w:val="0"/>
                <w:sz w:val="17"/>
              </w:rPr>
              <w:t>1</w:t>
            </w:r>
          </w:p>
        </w:tc>
        <w:tc>
          <w:tcPr>
            <w:tcW w:type="dxa" w:w="8957"/>
          </w:tcPr>
          <w:p>
            <w:pPr>
              <w:spacing w:after="40" w:before="40"/>
            </w:pPr>
            <w:r/>
            <w:r>
              <w:rPr>
                <w:rFonts w:ascii="Calibri" w:hAnsi="Calibri"/>
                <w:b w:val="0"/>
                <w:i w:val="0"/>
                <w:sz w:val="17"/>
              </w:rPr>
              <w:t>Wind offshore subsidy (187 EUR/MWh) is a placeholder - no real 2027 figure exists anywhere.</w:t>
            </w:r>
          </w:p>
        </w:tc>
      </w:tr>
      <w:tr>
        <w:tc>
          <w:tcPr>
            <w:tcW w:type="dxa" w:w="567"/>
          </w:tcPr>
          <w:p>
            <w:pPr>
              <w:spacing w:after="40" w:before="40"/>
            </w:pPr>
            <w:r/>
            <w:r>
              <w:rPr>
                <w:rFonts w:ascii="Calibri" w:hAnsi="Calibri"/>
                <w:b w:val="0"/>
                <w:i w:val="0"/>
                <w:sz w:val="17"/>
              </w:rPr>
              <w:t>2</w:t>
            </w:r>
          </w:p>
        </w:tc>
        <w:tc>
          <w:tcPr>
            <w:tcW w:type="dxa" w:w="8957"/>
          </w:tcPr>
          <w:p>
            <w:pPr>
              <w:spacing w:after="40" w:before="40"/>
            </w:pPr>
            <w:r/>
            <w:r>
              <w:rPr>
                <w:rFonts w:ascii="Calibri" w:hAnsi="Calibri"/>
                <w:b w:val="0"/>
                <w:i w:val="0"/>
                <w:sz w:val="17"/>
              </w:rPr>
              <w:t>Solar rooftop FIT (75 EUR/MWh) assumes current EEG law continues; draft 2026 reform may end it.</w:t>
            </w:r>
          </w:p>
        </w:tc>
      </w:tr>
      <w:tr>
        <w:tc>
          <w:tcPr>
            <w:tcW w:type="dxa" w:w="567"/>
          </w:tcPr>
          <w:p>
            <w:pPr>
              <w:spacing w:after="40" w:before="40"/>
            </w:pPr>
            <w:r/>
            <w:r>
              <w:rPr>
                <w:rFonts w:ascii="Calibri" w:hAnsi="Calibri"/>
                <w:b w:val="0"/>
                <w:i w:val="0"/>
                <w:sz w:val="17"/>
              </w:rPr>
              <w:t>3</w:t>
            </w:r>
          </w:p>
        </w:tc>
        <w:tc>
          <w:tcPr>
            <w:tcW w:type="dxa" w:w="8957"/>
          </w:tcPr>
          <w:p>
            <w:pPr>
              <w:spacing w:after="40" w:before="40"/>
            </w:pPr>
            <w:r/>
            <w:r>
              <w:rPr>
                <w:rFonts w:ascii="Calibri" w:hAnsi="Calibri"/>
                <w:b w:val="0"/>
                <w:i w:val="0"/>
                <w:sz w:val="17"/>
              </w:rPr>
              <w:t>Natural gas modelled as one combined CCGT+OCGT block.</w:t>
            </w:r>
          </w:p>
        </w:tc>
      </w:tr>
      <w:tr>
        <w:tc>
          <w:tcPr>
            <w:tcW w:type="dxa" w:w="567"/>
          </w:tcPr>
          <w:p>
            <w:pPr>
              <w:spacing w:after="40" w:before="40"/>
            </w:pPr>
            <w:r/>
            <w:r>
              <w:rPr>
                <w:rFonts w:ascii="Calibri" w:hAnsi="Calibri"/>
                <w:b w:val="0"/>
                <w:i w:val="0"/>
                <w:sz w:val="17"/>
              </w:rPr>
              <w:t>4</w:t>
            </w:r>
          </w:p>
        </w:tc>
        <w:tc>
          <w:tcPr>
            <w:tcW w:type="dxa" w:w="8957"/>
          </w:tcPr>
          <w:p>
            <w:pPr>
              <w:spacing w:after="40" w:before="40"/>
            </w:pPr>
            <w:r/>
            <w:r>
              <w:rPr>
                <w:rFonts w:ascii="Calibri" w:hAnsi="Calibri"/>
                <w:b w:val="0"/>
                <w:i w:val="0"/>
                <w:sz w:val="17"/>
              </w:rPr>
              <w:t>Oil and Other Fossil merged; CO2 factor uses Oil's own value as proxy.</w:t>
            </w:r>
          </w:p>
        </w:tc>
      </w:tr>
      <w:tr>
        <w:tc>
          <w:tcPr>
            <w:tcW w:type="dxa" w:w="567"/>
          </w:tcPr>
          <w:p>
            <w:pPr>
              <w:spacing w:after="40" w:before="40"/>
            </w:pPr>
            <w:r/>
            <w:r>
              <w:rPr>
                <w:rFonts w:ascii="Calibri" w:hAnsi="Calibri"/>
                <w:b w:val="0"/>
                <w:i w:val="0"/>
                <w:sz w:val="17"/>
              </w:rPr>
              <w:t>5</w:t>
            </w:r>
          </w:p>
        </w:tc>
        <w:tc>
          <w:tcPr>
            <w:tcW w:type="dxa" w:w="8957"/>
          </w:tcPr>
          <w:p>
            <w:pPr>
              <w:spacing w:after="40" w:before="40"/>
            </w:pPr>
            <w:r/>
            <w:r>
              <w:rPr>
                <w:rFonts w:ascii="Calibri" w:hAnsi="Calibri"/>
                <w:b w:val="0"/>
                <w:i w:val="0"/>
                <w:sz w:val="17"/>
              </w:rPr>
              <w:t>Variable opex uses AMIRIS's own values for all four conventional categories.</w:t>
            </w:r>
          </w:p>
        </w:tc>
      </w:tr>
      <w:tr>
        <w:tc>
          <w:tcPr>
            <w:tcW w:type="dxa" w:w="567"/>
          </w:tcPr>
          <w:p>
            <w:pPr>
              <w:spacing w:after="40" w:before="40"/>
            </w:pPr>
            <w:r/>
            <w:r>
              <w:rPr>
                <w:rFonts w:ascii="Calibri" w:hAnsi="Calibri"/>
                <w:b w:val="0"/>
                <w:i w:val="0"/>
                <w:sz w:val="17"/>
              </w:rPr>
              <w:t>6</w:t>
            </w:r>
          </w:p>
        </w:tc>
        <w:tc>
          <w:tcPr>
            <w:tcW w:type="dxa" w:w="8957"/>
          </w:tcPr>
          <w:p>
            <w:pPr>
              <w:spacing w:after="40" w:before="40"/>
            </w:pPr>
            <w:r/>
            <w:r>
              <w:rPr>
                <w:rFonts w:ascii="Calibri" w:hAnsi="Calibri"/>
                <w:b w:val="0"/>
                <w:i w:val="0"/>
                <w:sz w:val="17"/>
              </w:rPr>
              <w:t>Battery efficiency (95%/95%) is a standard Li-ion assumption, not researched.</w:t>
            </w:r>
          </w:p>
        </w:tc>
      </w:tr>
      <w:tr>
        <w:tc>
          <w:tcPr>
            <w:tcW w:type="dxa" w:w="567"/>
          </w:tcPr>
          <w:p>
            <w:pPr>
              <w:spacing w:after="40" w:before="40"/>
            </w:pPr>
            <w:r/>
            <w:r>
              <w:rPr>
                <w:rFonts w:ascii="Calibri" w:hAnsi="Calibri"/>
                <w:b w:val="0"/>
                <w:i w:val="0"/>
                <w:sz w:val="17"/>
              </w:rPr>
              <w:t>7</w:t>
            </w:r>
          </w:p>
        </w:tc>
        <w:tc>
          <w:tcPr>
            <w:tcW w:type="dxa" w:w="8957"/>
          </w:tcPr>
          <w:p>
            <w:pPr>
              <w:spacing w:after="40" w:before="40"/>
            </w:pPr>
            <w:r/>
            <w:r>
              <w:rPr>
                <w:rFonts w:ascii="Calibri" w:hAnsi="Calibri"/>
                <w:b w:val="0"/>
                <w:i w:val="0"/>
                <w:sz w:val="17"/>
              </w:rPr>
              <w:t>'Other Renewables' assumed entirely biomass, no split for minor geothermal component.</w:t>
            </w:r>
          </w:p>
        </w:tc>
      </w:tr>
      <w:tr>
        <w:tc>
          <w:tcPr>
            <w:tcW w:type="dxa" w:w="567"/>
          </w:tcPr>
          <w:p>
            <w:pPr>
              <w:spacing w:after="40" w:before="40"/>
            </w:pPr>
            <w:r/>
            <w:r>
              <w:rPr>
                <w:rFonts w:ascii="Calibri" w:hAnsi="Calibri"/>
                <w:b w:val="0"/>
                <w:i w:val="0"/>
                <w:sz w:val="17"/>
              </w:rPr>
              <w:t>8</w:t>
            </w:r>
          </w:p>
        </w:tc>
        <w:tc>
          <w:tcPr>
            <w:tcW w:type="dxa" w:w="8957"/>
          </w:tcPr>
          <w:p>
            <w:pPr>
              <w:spacing w:after="40" w:before="40"/>
            </w:pPr>
            <w:r/>
            <w:r>
              <w:rPr>
                <w:rFonts w:ascii="Calibri" w:hAnsi="Calibri"/>
                <w:b w:val="0"/>
                <w:i w:val="0"/>
                <w:sz w:val="17"/>
              </w:rPr>
              <w:t>RESOLVED by V2: V1's peak (138.1 GW) exceeded Brainpool's stated peak (119.0 GW); V2 closes most of this gap (106.2 GW) - confirmed by simulation.</w:t>
            </w:r>
          </w:p>
        </w:tc>
      </w:tr>
      <w:tr>
        <w:tc>
          <w:tcPr>
            <w:tcW w:type="dxa" w:w="567"/>
          </w:tcPr>
          <w:p>
            <w:pPr>
              <w:spacing w:after="40" w:before="40"/>
            </w:pPr>
            <w:r/>
            <w:r>
              <w:rPr>
                <w:rFonts w:ascii="Calibri" w:hAnsi="Calibri"/>
                <w:b w:val="0"/>
                <w:i w:val="0"/>
                <w:sz w:val="17"/>
              </w:rPr>
              <w:t>9</w:t>
            </w:r>
          </w:p>
        </w:tc>
        <w:tc>
          <w:tcPr>
            <w:tcW w:type="dxa" w:w="8957"/>
          </w:tcPr>
          <w:p>
            <w:pPr>
              <w:spacing w:after="40" w:before="40"/>
            </w:pPr>
            <w:r/>
            <w:r>
              <w:rPr>
                <w:rFonts w:ascii="Calibri" w:hAnsi="Calibri"/>
                <w:b w:val="0"/>
                <w:i w:val="0"/>
                <w:sz w:val="17"/>
              </w:rPr>
              <w:t>Heat-pump profile (V2) assumes constant COP across the year - does not model the real efficiency drop in cold weather.</w:t>
            </w:r>
          </w:p>
        </w:tc>
      </w:tr>
      <w:tr>
        <w:tc>
          <w:tcPr>
            <w:tcW w:type="dxa" w:w="567"/>
          </w:tcPr>
          <w:p>
            <w:pPr>
              <w:spacing w:after="40" w:before="40"/>
            </w:pPr>
            <w:r/>
            <w:r>
              <w:rPr>
                <w:rFonts w:ascii="Calibri" w:hAnsi="Calibri"/>
                <w:b w:val="0"/>
                <w:i w:val="0"/>
                <w:sz w:val="17"/>
              </w:rPr>
              <w:t>10</w:t>
            </w:r>
          </w:p>
        </w:tc>
        <w:tc>
          <w:tcPr>
            <w:tcW w:type="dxa" w:w="8957"/>
          </w:tcPr>
          <w:p>
            <w:pPr>
              <w:spacing w:after="40" w:before="40"/>
            </w:pPr>
            <w:r/>
            <w:r>
              <w:rPr>
                <w:rFonts w:ascii="Calibri" w:hAnsi="Calibri"/>
                <w:b w:val="0"/>
                <w:i w:val="0"/>
                <w:sz w:val="17"/>
              </w:rPr>
              <w:t>E-mobility profile (V2) is an assumed daily shape, not sourced from real data, no seasonal/weekday variation.</w:t>
            </w:r>
          </w:p>
        </w:tc>
      </w:tr>
      <w:tr>
        <w:tc>
          <w:tcPr>
            <w:tcW w:type="dxa" w:w="567"/>
          </w:tcPr>
          <w:p>
            <w:pPr>
              <w:spacing w:after="40" w:before="40"/>
            </w:pPr>
            <w:r/>
            <w:r>
              <w:rPr>
                <w:rFonts w:ascii="Calibri" w:hAnsi="Calibri"/>
                <w:b w:val="0"/>
                <w:i w:val="0"/>
                <w:sz w:val="17"/>
              </w:rPr>
              <w:t>11</w:t>
            </w:r>
          </w:p>
        </w:tc>
        <w:tc>
          <w:tcPr>
            <w:tcW w:type="dxa" w:w="8957"/>
          </w:tcPr>
          <w:p>
            <w:pPr>
              <w:spacing w:after="40" w:before="40"/>
            </w:pPr>
            <w:r/>
            <w:r>
              <w:rPr>
                <w:rFonts w:ascii="Calibri" w:hAnsi="Calibri"/>
                <w:b w:val="0"/>
                <w:i w:val="0"/>
                <w:sz w:val="17"/>
              </w:rPr>
              <w:t>Import cost uses a single-neighbour proxy (real French price), not a flow-weighted mix of all 11 neighbouring zones.</w:t>
            </w:r>
          </w:p>
        </w:tc>
      </w:tr>
      <w:tr>
        <w:tc>
          <w:tcPr>
            <w:tcW w:type="dxa" w:w="567"/>
          </w:tcPr>
          <w:p>
            <w:pPr>
              <w:spacing w:after="40" w:before="40"/>
            </w:pPr>
            <w:r/>
            <w:r>
              <w:rPr>
                <w:rFonts w:ascii="Calibri" w:hAnsi="Calibri"/>
                <w:b w:val="0"/>
                <w:i w:val="0"/>
                <w:sz w:val="17"/>
              </w:rPr>
              <w:t>12</w:t>
            </w:r>
          </w:p>
        </w:tc>
        <w:tc>
          <w:tcPr>
            <w:tcW w:type="dxa" w:w="8957"/>
          </w:tcPr>
          <w:p>
            <w:pPr>
              <w:spacing w:after="40" w:before="40"/>
            </w:pPr>
            <w:r/>
            <w:r>
              <w:rPr>
                <w:rFonts w:ascii="Calibri" w:hAnsi="Calibri"/>
                <w:b w:val="0"/>
                <w:i w:val="0"/>
                <w:sz w:val="17"/>
              </w:rPr>
              <w:t>With-import builds model only the import side of cross-border trade - no ExportTrader for a single, uncoupled zone.</w:t>
            </w:r>
          </w:p>
        </w:tc>
      </w:tr>
      <w:tr>
        <w:tc>
          <w:tcPr>
            <w:tcW w:type="dxa" w:w="567"/>
          </w:tcPr>
          <w:p>
            <w:pPr>
              <w:spacing w:after="40" w:before="40"/>
            </w:pPr>
            <w:r/>
            <w:r>
              <w:rPr>
                <w:rFonts w:ascii="Calibri" w:hAnsi="Calibri"/>
                <w:b w:val="0"/>
                <w:i w:val="0"/>
                <w:sz w:val="17"/>
              </w:rPr>
              <w:t>13</w:t>
            </w:r>
          </w:p>
        </w:tc>
        <w:tc>
          <w:tcPr>
            <w:tcW w:type="dxa" w:w="8957"/>
          </w:tcPr>
          <w:p>
            <w:pPr>
              <w:spacing w:after="40" w:before="40"/>
            </w:pPr>
            <w:r/>
            <w:r>
              <w:rPr>
                <w:rFonts w:ascii="Calibri" w:hAnsi="Calibri"/>
                <w:b w:val="0"/>
                <w:i w:val="0"/>
                <w:sz w:val="17"/>
              </w:rPr>
              <w:t>Realized import volume (7.40-12.33 TWh) falls well short of the offered/Brainpool-target 43.90 TWh - a deliberate methodological finding, not forced to full dispatch.</w:t>
            </w:r>
          </w:p>
        </w:tc>
      </w:tr>
    </w:tbl>
    <w:p>
      <w:pPr>
        <w:spacing w:after="8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