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left"/>
      </w:pPr>
      <w:r>
        <w:rPr>
          <w:rFonts w:ascii="Times New Roman" w:hAnsi="Times New Roman"/>
          <w:b/>
          <w:sz w:val="36"/>
        </w:rPr>
        <w:t>Chapter 1: Introduction</w:t>
      </w:r>
    </w:p>
    <w:p>
      <w:pPr>
        <w:spacing w:before="320" w:after="160"/>
        <w:jc w:val="left"/>
      </w:pPr>
      <w:r>
        <w:rPr>
          <w:rFonts w:ascii="Times New Roman" w:hAnsi="Times New Roman"/>
          <w:b/>
          <w:sz w:val="29"/>
        </w:rPr>
        <w:t>1.1 Motivation and problem statement</w:t>
      </w:r>
    </w:p>
    <w:p>
      <w:pPr>
        <w:spacing w:after="200"/>
        <w:ind w:firstLine="0"/>
      </w:pPr>
      <w:r>
        <w:rPr>
          <w:rFonts w:ascii="Times New Roman" w:hAnsi="Times New Roman"/>
          <w:i w:val="0"/>
          <w:sz w:val="24"/>
        </w:rPr>
        <w:t>Electricity price forecasts inform decisions that are expensive to get wrong. A transmission operator sizing storage procurement, a utility hedging its supply position, or a policy department assessing the price impact of a further wave of renewable buildout all depend, at some point, on a model that turns assumptions about demand, generation capacity, and fuel costs into a projected market price. In Germany, one of the standard commercial sources for such projections is Energy Brainpool, whose price forecasts the department behind this thesis has purchased and relied on for planning purposes. Commercial forecasts of this kind function largely as black boxes from the buyer's side: the price series is delivered, but the market logic that produced it is not disclosed in a form that permits independent scrutiny.</w:t>
      </w:r>
    </w:p>
    <w:p>
      <w:pPr>
        <w:spacing w:after="200"/>
        <w:ind w:firstLine="0"/>
      </w:pPr>
      <w:r>
        <w:rPr>
          <w:rFonts w:ascii="Times New Roman" w:hAnsi="Times New Roman"/>
          <w:i w:val="0"/>
          <w:sz w:val="24"/>
        </w:rPr>
        <w:t>An alternative exists in the form of open-source, agent-based electricity market models, which simulate the market mechanism explicitly rather than fitting a statistical or reduced-form model to historical data. AMIRIS, developed by the Deutsches Zentrum für Luft- und Raumfahrt (DLR), is one such model: it represents each category of market participant as a software agent that bids into a simulated day-ahead auction according to transparent, inspectable rules (Schimeczek et al., 2023). Because its logic is open, every price it produces can in principle be traced back to a specific assumption or agent behaviour. The practical question this raises for the department is whether that transparency comes at the cost of accuracy relative to a commercial alternative it already trusts and has paid for. If AMIRIS can reproduce Brainpool's results closely enough under comparable conditions, the department gains a free, auditable tool for exploring scenarios Brainpool was never asked to model; if it cannot, the size and cause of the gap are themselves useful information for deciding how far AMIRIS's outputs can be trusted at all.</w:t>
      </w:r>
    </w:p>
    <w:p>
      <w:pPr>
        <w:spacing w:after="200"/>
        <w:ind w:firstLine="0"/>
      </w:pPr>
      <w:r>
        <w:rPr>
          <w:rFonts w:ascii="Times New Roman" w:hAnsi="Times New Roman"/>
          <w:i w:val="0"/>
          <w:sz w:val="24"/>
        </w:rPr>
        <w:t>Answering that question is not straightforward, because a naïve comparison confounds two very different sources of disagreement. If AMIRIS is run on its own independently sourced input data and its output price differs from Brainpool's, that difference could arise because AMIRIS's internal market logic behaves differently from Brainpool's, or simply because the two models were fed different assumptions about, say, installed wind capacity or the CO2 price path. A forecasting exercise that cannot distinguish these two explanations cannot tell the department anything actionable: a data problem and a model problem call for entirely different responses. Isolating model-logic differences from input-data differences therefore has to be the organising principle of any comparison that is meant to produce a defensible conclusion.</w:t>
      </w:r>
    </w:p>
    <w:p>
      <w:pPr>
        <w:spacing w:before="320" w:after="160"/>
        <w:jc w:val="left"/>
      </w:pPr>
      <w:r>
        <w:rPr>
          <w:rFonts w:ascii="Times New Roman" w:hAnsi="Times New Roman"/>
          <w:b/>
          <w:sz w:val="29"/>
        </w:rPr>
        <w:t>1.2 Research task and objectives</w:t>
      </w:r>
    </w:p>
    <w:p>
      <w:pPr>
        <w:spacing w:after="200"/>
        <w:ind w:firstLine="0"/>
      </w:pPr>
      <w:r>
        <w:rPr>
          <w:rFonts w:ascii="Times New Roman" w:hAnsi="Times New Roman"/>
          <w:i w:val="0"/>
          <w:sz w:val="24"/>
        </w:rPr>
        <w:t>The task addressed in this thesis is a controlled model inter-comparison of AMIRIS against Energy Brainpool for a future planning year, 2027, in which both models are supplied with the same input assumptions wherever the department's Brainpool data package makes those assumptions available, with any remaining gaps filled from AMIRIS's own independently sourced data and documented explicitly as such. Harmonising inputs in this way, rather than letting each model draw on its own separately sourced data, is the standard technique in the energy-systems modelling literature for isolating structural or methodological differences between models; a large multi-model electricity-system intercomparison exercise notes plainly that without harmonised inputs, it is not possible to determine whether divergent results between models stem from differing input data or from differing model formulation (Schivley et al., 2024). This thesis adopts that same logic at a smaller scale, comparing a single open-source model against a single commercial one rather than a panel of models against each other, but the underlying justification is the same.</w:t>
      </w:r>
    </w:p>
    <w:p>
      <w:pPr>
        <w:spacing w:after="200"/>
        <w:ind w:firstLine="0"/>
      </w:pPr>
      <w:r>
        <w:rPr>
          <w:rFonts w:ascii="Times New Roman" w:hAnsi="Times New Roman"/>
          <w:i w:val="0"/>
          <w:sz w:val="24"/>
        </w:rPr>
        <w:t>This comparison did not begin from a blank slate, and its design rests on two pieces of prior work carried out earlier in the same project. The first is a validation exercise: before AMIRIS's output could be trusted as a basis for judging Brainpool, it needed to be checked, on its own terms, against a case where the right answer was already known. The second is a demonstration that AMIRIS can be extended beyond the scenarios DLR distributes as examples, using only genuinely current, independently sourced data, which was a necessary precondition for building a defensible 2027 scenario later. Both are summarised in the overview below and described in full in the chapters that follow.</w:t>
      </w:r>
    </w:p>
    <w:p>
      <w:pPr>
        <w:spacing w:before="320" w:after="160"/>
        <w:jc w:val="left"/>
      </w:pPr>
      <w:r>
        <w:rPr>
          <w:rFonts w:ascii="Times New Roman" w:hAnsi="Times New Roman"/>
          <w:b/>
          <w:sz w:val="29"/>
        </w:rPr>
        <w:t>1.3 Thesis overview and structure</w:t>
      </w:r>
    </w:p>
    <w:p>
      <w:pPr>
        <w:spacing w:after="200"/>
        <w:ind w:firstLine="0"/>
      </w:pPr>
      <w:r>
        <w:rPr>
          <w:rFonts w:ascii="Times New Roman" w:hAnsi="Times New Roman"/>
          <w:i w:val="0"/>
          <w:sz w:val="24"/>
        </w:rPr>
        <w:t>The starting point for this work was a backtest of AMIRIS against real historical German day-ahead prices for the years 2015 to 2019, run using DLR's own example scenario configurations for those years without modification. Backtesting an agent-based market model against observed historical prices is itself an established validation technique; Nitsch and Schimeczek (2021) applied essentially the same method to AMIRIS's simulation of the Austrian day-ahead market and reported that the model tracked the average price level and the overall price-duration curve well, but tended to overestimate lower prices and underestimate higher ones. The backtest carried out for this thesis, focused on Germany rather than Austria, arrived at a closely related finding independently: comparing AMIRIS's simulated price against the real 2018 German day-ahead price produced a mean absolute error of 8.84 EUR/MWh and a correlation of 0.773 across the full year, with the fit improving to a correlation of 0.847 once the comparison was restricted to the period after October 2018, when Germany traded as a standalone price zone rather than jointly with Austria. Examining the hours with the largest simulation errors traced the remaining mismatch to two specific, mechanistically distinct causes rather than to generic model noise. On public holidays with high renewable output and low demand, AMIRIS's renewable and no-support trader agents were found to bid at exactly zero EUR/MWh rather than below it, which floors the simulated price at zero even in hours where the real German market cleared as low as minus 76 EUR/MWh; this happens because these agent types are configured with a variable operating cost of zero and no mechanism for bidding negative, unlike the conventional generator agents, which are permitted markup ranges that extend below zero. Separately, during a February 2018 cold-weather demand spike of roughly 14 per cent above the annual average, the simulated price overshot the real price by a wide margin despite fuel and carbon costs that were, if anything, below their annual average that week; the most plausible explanation is that AMIRIS's example scenarios model Germany as an electrically isolated market, so a domestic demand spike has to be absorbed entirely by domestic generation, whereas the real market could and did import from neighbouring countries to soften the same spike. Notably, AMIRIS's own configuration schema already defines an ImportTrader agent type capable of injecting an exogenous cross-border supply curve into the market, so this second limitation reflects an unused feature of the example scenarios rather than an inherent constraint of the software itself.</w:t>
      </w:r>
    </w:p>
    <w:p>
      <w:pPr>
        <w:spacing w:after="200"/>
        <w:ind w:firstLine="0"/>
      </w:pPr>
      <w:r>
        <w:rPr>
          <w:rFonts w:ascii="Times New Roman" w:hAnsi="Times New Roman"/>
          <w:i w:val="0"/>
          <w:sz w:val="24"/>
        </w:rPr>
        <w:t>With those two findings established as concrete, reproducible limitations rather than open questions, the project moved from backtesting existing scenarios to building a new one from scratch: a Germany 2023 scenario assembled entirely from independently sourced public data, since DLR's bundled examples stop at 2019. Hourly load, generation, and plant-outage data were pulled from the ENTSO-E Transparency Platform; fuel and carbon price series were sourced from FRED, with a currency conversion applied where the underlying series were denominated in US dollars. This exercise surfaced a set of practical obstacles worth noting for what they imply about extending any such model to a genuinely current year: ENTSO-E's load and generation data is published at fifteen-minute rather than hourly resolution and had to be resampled; the March 2023 daylight-saving transition produces a genuine one-hour gap in the reported data that had to be filled by interpolation; and Germany's final nuclear plant closures on 15 April 2023 do not appear at all in the standard "unavailability" datasets, which record only temporary outages rather than permanent shutdowns, and had to be applied as an explicit manual correction.</w:t>
      </w:r>
    </w:p>
    <w:p>
      <w:pPr>
        <w:spacing w:after="200"/>
        <w:ind w:firstLine="0"/>
      </w:pPr>
      <w:r>
        <w:rPr>
          <w:rFonts w:ascii="Times New Roman" w:hAnsi="Times New Roman"/>
          <w:i w:val="0"/>
          <w:sz w:val="24"/>
        </w:rPr>
        <w:t>Building on both of these results, the department subsequently proposed the comparison against Energy Brainpool that forms the substantive contribution of this thesis. Chapter 2 sets out the technical and market background needed to follow that comparison: how agent-based electricity market models work in general, how AMIRIS specifically represents generators, renewables, and the market itself, and the German market-specific institutional detail, such as renewable support schemes, negative prices, and the 2018 bidding-zone split, that the backtest findings above depend on. Later chapters describe the methodology for constructing the harmonised 2027 scenario, the process of identifying which of Brainpool's supplied assumptions map onto AMIRIS's required inputs and where independently sourced data has had to fill a gap, the resulting three-way comparison between AMIRIS's simulated price, Brainpool's price, and the real historical price for the comparison year, and a discussion of what any resulting agreement or divergence implies for the department's ongoing reliance on commercial forecasting data.</w:t>
      </w:r>
    </w:p>
    <w:p>
      <w:r>
        <w:br w:type="page"/>
      </w:r>
    </w:p>
    <w:p>
      <w:pPr>
        <w:spacing w:before="0" w:after="360"/>
        <w:jc w:val="left"/>
      </w:pPr>
      <w:r>
        <w:rPr>
          <w:rFonts w:ascii="Times New Roman" w:hAnsi="Times New Roman"/>
          <w:b/>
          <w:sz w:val="36"/>
        </w:rPr>
        <w:t>Chapter 2: Basics</w:t>
      </w:r>
    </w:p>
    <w:p>
      <w:pPr>
        <w:spacing w:before="320" w:after="160"/>
        <w:jc w:val="left"/>
      </w:pPr>
      <w:r>
        <w:rPr>
          <w:rFonts w:ascii="Times New Roman" w:hAnsi="Times New Roman"/>
          <w:b/>
          <w:sz w:val="29"/>
        </w:rPr>
        <w:t>2.1 Agent-based modelling of electricity markets</w:t>
      </w:r>
    </w:p>
    <w:p>
      <w:pPr>
        <w:spacing w:after="200"/>
        <w:ind w:firstLine="0"/>
      </w:pPr>
      <w:r>
        <w:rPr>
          <w:rFonts w:ascii="Times New Roman" w:hAnsi="Times New Roman"/>
          <w:i w:val="0"/>
          <w:sz w:val="24"/>
        </w:rPr>
        <w:t>Electricity markets can be modelled in several fundamentally different ways. A reduced-form or statistical model treats the market price as a function to be fitted directly to historical drivers such as load, weather, and fuel costs, without representing the market's internal clearing mechanism at all. An optimisation-based model, common in system-planning contexts, finds the generation dispatch that minimises total system cost subject to technical constraints, implicitly assuming that the market outcome equals the cost-minimal one. An agent-based model takes a third approach: rather than solving for an aggregate optimum or fitting a statistical relationship, it represents each category of market participant as a separate, explicitly programmed decision-making entity, each following its own bidding rule, and derives the market price as the emergent outcome of those individual agents' bids being cleared against one another.</w:t>
      </w:r>
    </w:p>
    <w:p>
      <w:pPr>
        <w:spacing w:after="200"/>
        <w:ind w:firstLine="0"/>
      </w:pPr>
      <w:r>
        <w:rPr>
          <w:rFonts w:ascii="Times New Roman" w:hAnsi="Times New Roman"/>
          <w:i w:val="0"/>
          <w:sz w:val="24"/>
        </w:rPr>
        <w:t>Weidlich and Veit (2008), in an early and still widely cited survey of agent-based wholesale electricity market models, set out the case for this approach on the grounds that real electricity markets are not populated by a single optimising planner but by numerous participants with heterogeneous costs, risk preferences, and strategic behaviour, and that a model built from the bottom up around individual agent decisions can, in principle, capture market dynamics such as strategic bidding and imperfect competition that a top-down cost-minimisation model assumes away by construction. Their survey also catalogues the trade-off this approach carries: an agent-based model's realism and transparency come at the cost of its behaviour depending heavily on how each agent type's bidding rule is specified, which means that two agent-based models built on the same underlying market data can produce materially different results if their agents are configured to behave differently. This is precisely the distinction that motivates the identical-input comparison design adopted in this thesis, since the same dependency on agent-level configuration choices is what makes it necessary to control the input data before any observed difference between two models can be attributed to their internal logic with confidence.</w:t>
      </w:r>
    </w:p>
    <w:p>
      <w:pPr>
        <w:spacing w:before="320" w:after="160"/>
        <w:jc w:val="left"/>
      </w:pPr>
      <w:r>
        <w:rPr>
          <w:rFonts w:ascii="Times New Roman" w:hAnsi="Times New Roman"/>
          <w:b/>
          <w:sz w:val="29"/>
        </w:rPr>
        <w:t>2.2 Day-ahead market mechanics: merit order and uniform pricing</w:t>
      </w:r>
    </w:p>
    <w:p>
      <w:pPr>
        <w:spacing w:after="200"/>
        <w:ind w:firstLine="0"/>
      </w:pPr>
      <w:r>
        <w:rPr>
          <w:rFonts w:ascii="Times New Roman" w:hAnsi="Times New Roman"/>
          <w:i w:val="0"/>
          <w:sz w:val="24"/>
        </w:rPr>
        <w:t>The day-ahead market is the auction in which most European wholesale electricity is traded, one day before physical delivery, for each hour of the following day separately. Generators submit offers stating a quantity of energy and a minimum price at which they are willing to sell it; buyers submit bids stating a quantity and a maximum price they are willing to pay. The exchange operator ranks all accepted generator offers from cheapest to most expensive, a sequence generally referred to as the merit order, and accepts offers in that order until the accumulated quantity matches demand for that hour (EPEX SPOT, no date). The price of the last, most expensive offer needed to meet demand becomes the single clearing price for that hour, and, critically, every accepted offer is paid this same clearing price regardless of how cheaply it was actually willing to sell, a convention known as uniform pricing or pay-as-cleared pricing. A generator that bid well below the clearing price is not paid its own bid; it receives the higher clearing price, which is what gives low-cost, price-inelastic generators such as nuclear and renewable plants an incentive to bid very low, since doing so all but guarantees dispatch while the settlement price is nonetheless set by whichever plant happens to be marginal.</w:t>
      </w:r>
    </w:p>
    <w:p>
      <w:pPr>
        <w:spacing w:after="200"/>
        <w:ind w:firstLine="0"/>
      </w:pPr>
      <w:r>
        <w:rPr>
          <w:rFonts w:ascii="Times New Roman" w:hAnsi="Times New Roman"/>
          <w:i w:val="0"/>
          <w:sz w:val="24"/>
        </w:rPr>
        <w:t>The merit order is not fixed; it shifts hour to hour as fuel and carbon prices move and as renewable output varies, and a generation technology's position within it is what determines whether it dispatches in a given hour at all. This is also the mechanism through which fuel and carbon price movements translate into price volatility, since a rise in the marginal fuel's cost shifts the entire merit order upward for exactly those hours in which that fuel sets the price (FfE, no date). An agent-based model such as AMIRIS reproduces this mechanism directly rather than approximating it: each agent submits a bid computed from its own cost structure, and the simulated exchange performs the same rank-and-accept clearing procedure a real exchange would.</w:t>
      </w:r>
    </w:p>
    <w:p>
      <w:pPr>
        <w:spacing w:before="320" w:after="160"/>
        <w:jc w:val="left"/>
      </w:pPr>
      <w:r>
        <w:rPr>
          <w:rFonts w:ascii="Times New Roman" w:hAnsi="Times New Roman"/>
          <w:b/>
          <w:sz w:val="29"/>
        </w:rPr>
        <w:t>2.3 The AMIRIS model</w:t>
      </w:r>
    </w:p>
    <w:p>
      <w:pPr>
        <w:spacing w:before="280" w:after="120"/>
        <w:jc w:val="left"/>
      </w:pPr>
      <w:r>
        <w:rPr>
          <w:rFonts w:ascii="Times New Roman" w:hAnsi="Times New Roman"/>
          <w:b/>
          <w:sz w:val="26"/>
        </w:rPr>
        <w:t>2.3.1 Model architecture and agent types</w:t>
      </w:r>
    </w:p>
    <w:p>
      <w:pPr>
        <w:spacing w:after="200"/>
        <w:ind w:firstLine="0"/>
      </w:pPr>
      <w:r>
        <w:rPr>
          <w:rFonts w:ascii="Times New Roman" w:hAnsi="Times New Roman"/>
          <w:i w:val="0"/>
          <w:sz w:val="24"/>
        </w:rPr>
        <w:t>AMIRIS (Agent-based Market model for the Investigation of Renewable and Integrated energy Systems) is an open-source simulation model developed at DLR for representing the German day-ahead electricity market at hourly resolution over a full simulated year (Schimeczek et al., 2023; DLR, no date). Its architecture separates market participants into distinct agent types by function rather than modelling the market as a single aggregate supply-and-demand curve. Conventional generation (nuclear, lignite, hard coal, natural gas, and oil) is represented through a PredefinedPlantBuilder agent per fuel type, which takes a fleet-level installed capacity, an efficiency range, and a representative individual plant size, and constructs a portfolio of individual simulated plant blocks from those three numbers, each block assigned a slightly different efficiency drawn across the given range so that the fleet does not bid as a single undifferentiated unit. A ConventionalTrader agent then bids that fuel type's plants into the market at a marginal cost calculated from fuel price, plant efficiency, carbon price, and a specific emissions factor, plus a markup drawn from a configured range that differs by fuel type and can be negative for technologies such as nuclear, reflecting the real-world fact that shutting down and restarting an inflexible plant is often more expensive than continuing to run it at a loss for a few hours.</w:t>
      </w:r>
    </w:p>
    <w:p>
      <w:pPr>
        <w:spacing w:after="200"/>
        <w:ind w:firstLine="0"/>
      </w:pPr>
      <w:r>
        <w:rPr>
          <w:rFonts w:ascii="Times New Roman" w:hAnsi="Times New Roman"/>
          <w:i w:val="0"/>
          <w:sz w:val="24"/>
        </w:rPr>
        <w:t>Renewable generation is represented differently, through VariableRenewableOperator and related agent types (RenewableTrader, NoSupportTrader, SystemOperatorTrader depending on how the plant is marketed), each linked to an hourly capacity-factor time series specific to its technology that determines how much of its nameplate capacity is actually available to produce in a given hour, since a wind or solar plant's true output is weather-dependent rather than a matter of choice. A separate SupportPolicy agent administers whichever subsidy scheme applies to a given renewable cluster, most commonly either a feed-in tariff, under which the plant receives a fixed guaranteed price per MWh regardless of the market price it happened to clear at, or a variable market premium, under which the plant sells at the market price and separately receives a top-up calculated against a reference cost figure. Storage is represented through GenericFlexibilityTrader agents, each with its own charging and discharging power limits, round-trip efficiency, and energy capacity, dispatched according to a configurable strategy that can target either minimum system cost or the storage operator's own profit, using a forecast over a rolling scheduling horizon rather than perfect foresight of the full simulated year.</w:t>
      </w:r>
    </w:p>
    <w:p>
      <w:pPr>
        <w:spacing w:before="280" w:after="120"/>
        <w:jc w:val="left"/>
      </w:pPr>
      <w:r>
        <w:rPr>
          <w:rFonts w:ascii="Times New Roman" w:hAnsi="Times New Roman"/>
          <w:b/>
          <w:sz w:val="26"/>
        </w:rPr>
        <w:t>2.3.2 Bid formation and market clearing in AMIRIS</w:t>
      </w:r>
    </w:p>
    <w:p>
      <w:pPr>
        <w:spacing w:after="200"/>
        <w:ind w:firstLine="0"/>
      </w:pPr>
      <w:r>
        <w:rPr>
          <w:rFonts w:ascii="Times New Roman" w:hAnsi="Times New Roman"/>
          <w:i w:val="0"/>
          <w:sz w:val="24"/>
        </w:rPr>
        <w:t>The bid a conventional generation agent submits in AMIRIS follows directly from its underlying cost structure. Marginal cost per MWh of electricity produced is calculated as the fuel price divided by the plant's efficiency, plus the carbon price multiplied by the plant's specific emissions factor, plus a fixed variable operating cost:</w:t>
      </w:r>
    </w:p>
    <w:p>
      <w:pPr>
        <w:spacing w:before="120" w:after="120"/>
        <w:jc w:val="center"/>
      </w:pPr>
      <w:r>
        <w:rPr>
          <w:rFonts w:ascii="Courier New" w:hAnsi="Courier New"/>
          <w:i/>
          <w:sz w:val="22"/>
        </w:rPr>
        <w:t>marginal cost = (fuel price / efficiency) + (carbon price × emissions factor) + variable operating cost</w:t>
      </w:r>
    </w:p>
    <w:p>
      <w:pPr>
        <w:spacing w:after="200"/>
        <w:ind w:firstLine="0"/>
      </w:pPr>
      <w:r>
        <w:rPr>
          <w:rFonts w:ascii="Times New Roman" w:hAnsi="Times New Roman"/>
          <w:i w:val="0"/>
          <w:sz w:val="24"/>
        </w:rPr>
        <w:t>A trader agent then adds a markup drawn from a configured range specific to that fuel type to arrive at the actual bid submitted to the exchange. Renewable agents typically bid at or near their variable operating cost, commonly configured as zero, since their subsidy arrangement decouples their real earnings from the market price they help to set. Once all agents have submitted bids for a given hour, AMIRIS's DayAheadMarketSingleZone agent performs the same rank-and-accept clearing procedure described in Section 2.2: bids are accepted from cheapest to most expensive until accumulated supply meets demand, the price of the last accepted bid becomes that hour's clearing price, and every accepted agent, whatever its own bid, is paid that single price. This is also the specific mechanism behind the first structural finding summarised in Chapter 1: because renewable and no-support trader agents in AMIRIS's example scenarios are configured to bid at exactly zero rather than being permitted a negative markup range, the simulated price cannot fall below zero even in hours where enough zero-cost supply is available to force a real market into negative territory, a behaviour the conventional generator agents are structurally capable of but the renewable agents, as configured, are not.</w:t>
      </w:r>
    </w:p>
    <w:p>
      <w:pPr>
        <w:spacing w:after="200"/>
        <w:ind w:firstLine="0"/>
      </w:pPr>
      <w:r>
        <w:rPr>
          <w:rFonts w:ascii="Times New Roman" w:hAnsi="Times New Roman"/>
          <w:i w:val="0"/>
          <w:sz w:val="24"/>
        </w:rPr>
        <w:t>AMIRIS's schema additionally defines agent types for representing cross-border electricity trade (an ImportTrader agent that injects an exogenous import supply curve at a specified cost, and a fuller MarketCoupling mechanism for simulating multiple linked market zones), but neither is used in the example Germany scenarios distributed with the model, which instead treat Germany as an electrically isolated market. This is the configuration choice underlying the second structural finding summarised in Chapter 1, and it is a choice made by the specific scenario files rather than a limitation inherent to the software.</w:t>
      </w:r>
    </w:p>
    <w:p>
      <w:pPr>
        <w:spacing w:before="320" w:after="160"/>
        <w:jc w:val="left"/>
      </w:pPr>
      <w:r>
        <w:rPr>
          <w:rFonts w:ascii="Times New Roman" w:hAnsi="Times New Roman"/>
          <w:b/>
          <w:sz w:val="29"/>
        </w:rPr>
        <w:t>2.4 The German electricity market context</w:t>
      </w:r>
    </w:p>
    <w:p>
      <w:pPr>
        <w:spacing w:before="280" w:after="120"/>
        <w:jc w:val="left"/>
      </w:pPr>
      <w:r>
        <w:rPr>
          <w:rFonts w:ascii="Times New Roman" w:hAnsi="Times New Roman"/>
          <w:b/>
          <w:sz w:val="26"/>
        </w:rPr>
        <w:t>2.4.1 Renewable support schemes: feed-in tariffs and market premiums</w:t>
      </w:r>
    </w:p>
    <w:p>
      <w:pPr>
        <w:spacing w:after="200"/>
        <w:ind w:firstLine="0"/>
      </w:pPr>
      <w:r>
        <w:rPr>
          <w:rFonts w:ascii="Times New Roman" w:hAnsi="Times New Roman"/>
          <w:i w:val="0"/>
          <w:sz w:val="24"/>
        </w:rPr>
        <w:t>Germany's principal legal instrument for subsidising renewable electricity generation is the Erneuerbare-Energien-Gesetz (Renewable Energy Sources Act, EEG), which has historically supported plant operators through two main mechanisms that coexist for different plants depending on size, technology, and commissioning date. Under a feed-in tariff, the operator receives a fixed price per MWh for every unit of electricity fed into the grid, entirely independent of the market price obtained for it; this arrangement removes any commercial incentive for the operator to withhold production even when the market price is very low or negative, since income is guaranteed regardless. Under the market premium scheme that has progressively replaced fixed feed-in tariffs for larger installations, the operator instead sells directly into the market at the prevailing price and separately receives a variable top-up payment intended to bring total revenue up toward a reference cost level, a design intended to give operators at least some incentive to respond to market price signals rather than none at all. Both mechanisms appear directly in AMIRIS's own scenario configuration through the SupportPolicy agent described in Section 2.3.1, which administers whichever scheme applies to each renewable technology and subsidy vintage.</w:t>
      </w:r>
    </w:p>
    <w:p>
      <w:pPr>
        <w:spacing w:before="280" w:after="120"/>
        <w:jc w:val="left"/>
      </w:pPr>
      <w:r>
        <w:rPr>
          <w:rFonts w:ascii="Times New Roman" w:hAnsi="Times New Roman"/>
          <w:b/>
          <w:sz w:val="26"/>
        </w:rPr>
        <w:t>2.4.2 Negative electricity prices</w:t>
      </w:r>
    </w:p>
    <w:p>
      <w:pPr>
        <w:spacing w:after="200"/>
        <w:ind w:firstLine="0"/>
      </w:pPr>
      <w:r>
        <w:rPr>
          <w:rFonts w:ascii="Times New Roman" w:hAnsi="Times New Roman"/>
          <w:i w:val="0"/>
          <w:sz w:val="24"/>
        </w:rPr>
        <w:t>Negative day-ahead prices are an observed, recurring feature of the German market rather than an anomaly, arising in hours where available zero-marginal-cost or subsidised supply exceeds demand and some portion of that supply is nonetheless willing to pay to keep producing rather than shut down. Subsidised renewable operators under a feed-in tariff have no financial reason to curtail even at a negative market price, since their income is fixed regardless; certain conventional plants, particularly nuclear and some lignite units, can also find it cheaper to bid negative and keep running than to shut down and restart later, given the technical and financial costs that cycling a large thermal plant incurs. The clearest documented instances in the years covered by this thesis's backtest occurred on public holidays such as New Year's Day and Labour Day, when low industrial demand coincided with strong renewable output; real German day-ahead prices on those dates fell as low as minus 76 EUR/MWh, a level AMIRIS's example scenarios cannot reproduce for the specific reason described in Section 2.3.2.</w:t>
      </w:r>
    </w:p>
    <w:p>
      <w:pPr>
        <w:spacing w:before="280" w:after="120"/>
        <w:jc w:val="left"/>
      </w:pPr>
      <w:r>
        <w:rPr>
          <w:rFonts w:ascii="Times New Roman" w:hAnsi="Times New Roman"/>
          <w:b/>
          <w:sz w:val="26"/>
        </w:rPr>
        <w:t>2.4.3 The October 2018 Germany-Austria bidding zone split</w:t>
      </w:r>
    </w:p>
    <w:p>
      <w:pPr>
        <w:spacing w:after="200"/>
        <w:ind w:firstLine="0"/>
      </w:pPr>
      <w:r>
        <w:rPr>
          <w:rFonts w:ascii="Times New Roman" w:hAnsi="Times New Roman"/>
          <w:i w:val="0"/>
          <w:sz w:val="24"/>
        </w:rPr>
        <w:t>Until October 2018, Germany and Austria traded electricity within a single joint day-ahead price zone, meaning both countries received the same day-ahead clearing price for almost every hour despite being separate national grids. Persistent unplanned physical flows between the two countries, driven by the combined zone's price signal not reflecting the actual transmission capacity available between them, led European regulators to require a formal separation, implemented on 1 October 2018, after which the two countries have cleared as distinct price zones with their own separate prices reflecting their own local supply-demand balance and available cross-border capacity (EPEX SPOT, 2018; Bundesnetzagentur, 2018). The split has a direct methodological consequence for this thesis's own 2018 backtest, since the historical price series conventionally reported for Germany prior to October 2018 is technically the joint German-Austrian price rather than a Germany-only price, and AMIRIS's example scenario simulates Germany as a standalone zone for the entire year regardless of the real-world zone configuration in force at the time. This mismatch was found to account for part, though not all, of the pre-October 2018 simulation error identified during the backtest: restricting the comparison to the post-split period, where both the real and simulated prices are genuinely Germany-only, improved the correlation between them from 0.747 to 0.847.</w:t>
      </w:r>
    </w:p>
    <w:p>
      <w:pPr>
        <w:spacing w:before="280" w:after="120"/>
        <w:jc w:val="left"/>
      </w:pPr>
      <w:r>
        <w:rPr>
          <w:rFonts w:ascii="Times New Roman" w:hAnsi="Times New Roman"/>
          <w:b/>
          <w:sz w:val="26"/>
        </w:rPr>
        <w:t>2.4.4 The 2023 nuclear phase-out</w:t>
      </w:r>
    </w:p>
    <w:p>
      <w:pPr>
        <w:spacing w:after="200"/>
        <w:ind w:firstLine="0"/>
      </w:pPr>
      <w:r>
        <w:rPr>
          <w:rFonts w:ascii="Times New Roman" w:hAnsi="Times New Roman"/>
          <w:i w:val="0"/>
          <w:sz w:val="24"/>
        </w:rPr>
        <w:t>Germany's last three operating nuclear power plants (Isar 2, Emsland, and Neckarwestheim 2) were permanently shut down on 15 April 2023, completing a phase-out process that had been underway since the early 2000s and was briefly extended by a few months in response to the 2022 European energy crisis (Glynos and Scharf, 2024). This closure removed a substantial block of low-marginal-cost, highly inflexible baseload capacity from the German generation fleet within a single year, which is directly relevant to constructing an accurate 2023 AMIRIS scenario, since the standard ENTSO-E datasets used to derive plant availability record only temporary, unplanned outages and do not capture a permanent capacity retirement of this kind; the closure has to be applied to the scenario as an explicit manual adjustment rather than something the raw outage data reflects on its own, as noted in Chapter 1's account of building the Germany 2023 scenario. Independent retrospective assessments of the phase-out's market impact do not agree on its overall price effect, and the specific magnitude of any such effect is beyond the scope of what this thesis needs to establish; what matters for the scenario-construction work described in later chapters is only that the closure is a discrete, dateable structural change to the generation fleet that must be represented correctly in any Germany scenario covering 2023 or later.</w:t>
      </w:r>
    </w:p>
    <w:p>
      <w:pPr>
        <w:spacing w:before="320" w:after="160"/>
        <w:jc w:val="left"/>
      </w:pPr>
      <w:r>
        <w:rPr>
          <w:rFonts w:ascii="Times New Roman" w:hAnsi="Times New Roman"/>
          <w:b/>
          <w:sz w:val="29"/>
        </w:rPr>
        <w:t>2.5 Validating energy system models against historical data</w:t>
      </w:r>
    </w:p>
    <w:p>
      <w:pPr>
        <w:spacing w:after="200"/>
        <w:ind w:firstLine="0"/>
      </w:pPr>
      <w:r>
        <w:rPr>
          <w:rFonts w:ascii="Times New Roman" w:hAnsi="Times New Roman"/>
          <w:i w:val="0"/>
          <w:sz w:val="24"/>
        </w:rPr>
        <w:t>Backtesting, running a model over a historical period for which the real outcome is already known and comparing the model's output against that known outcome, is a standard validation technique for energy system models generally, not a method specific to AMIRIS or to this thesis. A recent retrospective study using PyPSA-Eur, an open European electricity system model unrelated to AMIRIS, backtested hourly day-ahead prices across thirty-five European countries between 2020 and 2024 against real observed prices, and found that model accuracy depended heavily on how detailed and time-resolved the fuel and carbon price inputs supplied to the model were, with a high-resolution, limited-foresight configuration achieving a mean symmetric percentage error of roughly 21 per cent for daily load-weighted average prices across Europe (Karkossa et al., 2026). The same study also reported systematic disagreement in 2022 specifically, where the model predicted a different mix of gas and coal generation than actually occurred, attributed to policy interventions and operational constraints that the model's optimisation logic does not represent, a finding structurally analogous to this thesis's own conclusion that AMIRIS's simulation errors trace back to specific, nameable gaps in what the model's example configuration represents, rather than to an unspecified general inaccuracy.</w:t>
      </w:r>
    </w:p>
    <w:p>
      <w:pPr>
        <w:spacing w:after="200"/>
        <w:ind w:firstLine="0"/>
      </w:pPr>
      <w:r>
        <w:rPr>
          <w:rFonts w:ascii="Times New Roman" w:hAnsi="Times New Roman"/>
          <w:i w:val="0"/>
          <w:sz w:val="24"/>
        </w:rPr>
        <w:t>Comparing a model's simulated price against the corresponding real historical price using error metrics such as mean absolute error, root mean square error, and correlation, exactly the metrics already used in this thesis's own 2015–2019 backtest, is the most direct form this validation takes for electricity price models specifically, since the day-ahead price is both the model's principal output and a quantity that is fully and publicly observed after the fact for any past year. Two structural qualifications apply to any such comparison, both of which are directly relevant to the work in this thesis. First, a strong aggregate fit does not by itself indicate where a model succeeds and where it fails; identifying the largest individual-hour errors and examining what was structurally different about those specific hours, as done for the 2018 Germany backtest in Chapter 1, is necessary to convert a validation exercise from a single summary number into an actionable diagnosis. Second, backtesting validates a model only against a period for which the true input data is fully known and can be supplied to the model with confidence; it says nothing directly about how the same model will perform on a genuinely future year, where the input assumptions are themselves projections rather than observations. This second qualification is precisely why the Energy Brainpool comparison central to this thesis is designed as an identical-input inter-comparison against another model's projection, described in Section 1.2, rather than as a further backtest against a known historical outcome.</w:t>
      </w:r>
    </w:p>
    <w:p>
      <w:r>
        <w:br w:type="page"/>
      </w:r>
    </w:p>
    <w:p>
      <w:pPr>
        <w:spacing w:before="0" w:after="360"/>
        <w:jc w:val="left"/>
      </w:pPr>
      <w:r>
        <w:rPr>
          <w:rFonts w:ascii="Times New Roman" w:hAnsi="Times New Roman"/>
          <w:b/>
          <w:sz w:val="36"/>
        </w:rPr>
        <w:t>References</w:t>
      </w:r>
    </w:p>
    <w:p>
      <w:pPr>
        <w:spacing w:after="200"/>
        <w:ind w:hanging="567" w:left="567"/>
        <w:jc w:val="left"/>
      </w:pPr>
      <w:r>
        <w:rPr>
          <w:rFonts w:ascii="Times New Roman" w:hAnsi="Times New Roman"/>
          <w:i w:val="0"/>
          <w:sz w:val="22"/>
        </w:rPr>
        <w:t xml:space="preserve">Bundesnetzagentur (2018) </w:t>
      </w:r>
      <w:r>
        <w:rPr>
          <w:rFonts w:ascii="Times New Roman" w:hAnsi="Times New Roman"/>
          <w:i/>
          <w:sz w:val="22"/>
        </w:rPr>
        <w:t>Study on the German-Austrian bidding zone</w:t>
      </w:r>
      <w:r>
        <w:rPr>
          <w:rFonts w:ascii="Times New Roman" w:hAnsi="Times New Roman"/>
          <w:i w:val="0"/>
          <w:sz w:val="22"/>
        </w:rPr>
        <w:t>. Bonn: Bundesnetzagentur. Available at: https://www.bundesnetzagentur.de/SharedDocs/Downloads/EN/Areas/ElectricityGas/Special%20Topics/StudyPriceZone/StudyPriceZoneLong.pdf (Accessed: 6 August 2026).</w:t>
      </w:r>
    </w:p>
    <w:p>
      <w:pPr>
        <w:spacing w:after="200"/>
        <w:ind w:hanging="567" w:left="567"/>
        <w:jc w:val="left"/>
      </w:pPr>
      <w:r>
        <w:rPr>
          <w:rFonts w:ascii="Times New Roman" w:hAnsi="Times New Roman"/>
          <w:i w:val="0"/>
          <w:sz w:val="22"/>
        </w:rPr>
        <w:t xml:space="preserve">DLR (Deutsches Zentrum für Luft- und Raumfahrt) (no date) </w:t>
      </w:r>
      <w:r>
        <w:rPr>
          <w:rFonts w:ascii="Times New Roman" w:hAnsi="Times New Roman"/>
          <w:i/>
          <w:sz w:val="22"/>
        </w:rPr>
        <w:t>AMIRIS</w:t>
      </w:r>
      <w:r>
        <w:rPr>
          <w:rFonts w:ascii="Times New Roman" w:hAnsi="Times New Roman"/>
          <w:i w:val="0"/>
          <w:sz w:val="22"/>
        </w:rPr>
        <w:t>. Available at: https://www.dlr.de/en/ve/research-and-transfer/research-infrastructure/modelling-tools/amiris (Accessed: 6 August 2026).</w:t>
      </w:r>
    </w:p>
    <w:p>
      <w:pPr>
        <w:spacing w:after="200"/>
        <w:ind w:hanging="567" w:left="567"/>
        <w:jc w:val="left"/>
      </w:pPr>
      <w:r>
        <w:rPr>
          <w:rFonts w:ascii="Times New Roman" w:hAnsi="Times New Roman"/>
          <w:i w:val="0"/>
          <w:sz w:val="22"/>
        </w:rPr>
        <w:t xml:space="preserve">EPEX SPOT (no date) </w:t>
      </w:r>
      <w:r>
        <w:rPr>
          <w:rFonts w:ascii="Times New Roman" w:hAnsi="Times New Roman"/>
          <w:i/>
          <w:sz w:val="22"/>
        </w:rPr>
        <w:t>Basics of the power market</w:t>
      </w:r>
      <w:r>
        <w:rPr>
          <w:rFonts w:ascii="Times New Roman" w:hAnsi="Times New Roman"/>
          <w:i w:val="0"/>
          <w:sz w:val="22"/>
        </w:rPr>
        <w:t>. Available at: https://www.epexspot.com/en/basicspowermarket (Accessed: 6 August 2026).</w:t>
      </w:r>
    </w:p>
    <w:p>
      <w:pPr>
        <w:spacing w:after="200"/>
        <w:ind w:hanging="567" w:left="567"/>
        <w:jc w:val="left"/>
      </w:pPr>
      <w:r>
        <w:rPr>
          <w:rFonts w:ascii="Times New Roman" w:hAnsi="Times New Roman"/>
          <w:i w:val="0"/>
          <w:sz w:val="22"/>
        </w:rPr>
        <w:t xml:space="preserve">EPEX SPOT (2018) </w:t>
      </w:r>
      <w:r>
        <w:rPr>
          <w:rFonts w:ascii="Times New Roman" w:hAnsi="Times New Roman"/>
          <w:i/>
          <w:sz w:val="22"/>
        </w:rPr>
        <w:t>EPEX SPOT to publish separate prices and volumes for the Austrian and German day-ahead markets</w:t>
      </w:r>
      <w:r>
        <w:rPr>
          <w:rFonts w:ascii="Times New Roman" w:hAnsi="Times New Roman"/>
          <w:i w:val="0"/>
          <w:sz w:val="22"/>
        </w:rPr>
        <w:t>. Available at: https://www.epexspot.com/en/news/epex-spot-publish-separate-prices-and-volumes-austrian-and-german-day-ahead-markets (Accessed: 6 August 2026).</w:t>
      </w:r>
    </w:p>
    <w:p>
      <w:pPr>
        <w:spacing w:after="200"/>
        <w:ind w:hanging="567" w:left="567"/>
        <w:jc w:val="left"/>
      </w:pPr>
      <w:r>
        <w:rPr>
          <w:rFonts w:ascii="Times New Roman" w:hAnsi="Times New Roman"/>
          <w:i w:val="0"/>
          <w:sz w:val="22"/>
        </w:rPr>
        <w:t xml:space="preserve">FfE (Forschungsstelle für Energiewirtschaft) (no date) </w:t>
      </w:r>
      <w:r>
        <w:rPr>
          <w:rFonts w:ascii="Times New Roman" w:hAnsi="Times New Roman"/>
          <w:i/>
          <w:sz w:val="22"/>
        </w:rPr>
        <w:t>Merit order shifts and their impact on the electricity price</w:t>
      </w:r>
      <w:r>
        <w:rPr>
          <w:rFonts w:ascii="Times New Roman" w:hAnsi="Times New Roman"/>
          <w:i w:val="0"/>
          <w:sz w:val="22"/>
        </w:rPr>
        <w:t>. Available at: https://www.ffe.de/en/publications/merit-order-shifts-and-their-impact-on-the-electricity-price/ (Accessed: 6 August 2026).</w:t>
      </w:r>
    </w:p>
    <w:p>
      <w:pPr>
        <w:spacing w:after="200"/>
        <w:ind w:hanging="567" w:left="567"/>
        <w:jc w:val="left"/>
      </w:pPr>
      <w:r>
        <w:rPr>
          <w:rFonts w:ascii="Times New Roman" w:hAnsi="Times New Roman"/>
          <w:i w:val="0"/>
          <w:sz w:val="22"/>
        </w:rPr>
        <w:t xml:space="preserve">Glynos, D. and Scharf, H. (2024) 'Postponing Germany's nuclear phase-out: A smart move in the European energy crisis?', </w:t>
      </w:r>
      <w:r>
        <w:rPr>
          <w:rFonts w:ascii="Times New Roman" w:hAnsi="Times New Roman"/>
          <w:i/>
          <w:sz w:val="22"/>
        </w:rPr>
        <w:t>Energy Policy</w:t>
      </w:r>
      <w:r>
        <w:rPr>
          <w:rFonts w:ascii="Times New Roman" w:hAnsi="Times New Roman"/>
          <w:i w:val="0"/>
          <w:sz w:val="22"/>
        </w:rPr>
        <w:t>, 192, 114208. doi: 10.1016/j.enpol.2024.114208.</w:t>
      </w:r>
    </w:p>
    <w:p>
      <w:pPr>
        <w:spacing w:after="200"/>
        <w:ind w:hanging="567" w:left="567"/>
        <w:jc w:val="left"/>
      </w:pPr>
      <w:r>
        <w:rPr>
          <w:rFonts w:ascii="Times New Roman" w:hAnsi="Times New Roman"/>
          <w:i w:val="0"/>
          <w:sz w:val="22"/>
        </w:rPr>
        <w:t>Karkossa, L., Saretta, M., Gullach, F.E. and Victoria, M. (2026) 'Can optimal dispatch models recreate reality? A retrospective analysis of Europe's 2022 energy crisis using PyPSA-Eur'. arXiv:2606.16486. Available at: https://arxiv.org/abs/2606.16486 (Accessed: 6 August 2026).</w:t>
      </w:r>
    </w:p>
    <w:p>
      <w:pPr>
        <w:spacing w:after="200"/>
        <w:ind w:hanging="567" w:left="567"/>
        <w:jc w:val="left"/>
      </w:pPr>
      <w:r>
        <w:rPr>
          <w:rFonts w:ascii="Times New Roman" w:hAnsi="Times New Roman"/>
          <w:i w:val="0"/>
          <w:sz w:val="22"/>
        </w:rPr>
        <w:t>Nitsch, F. and Schimeczek, C. (2021) 'Backtesting the open source electricity market model AMIRIS by simulating the Austrian day-ahead market'. Graz: TU Graz. Available at: https://elib.dlr.de/185381/ (Accessed: 6 August 2026).</w:t>
      </w:r>
    </w:p>
    <w:p>
      <w:pPr>
        <w:spacing w:after="200"/>
        <w:ind w:hanging="567" w:left="567"/>
        <w:jc w:val="left"/>
      </w:pPr>
      <w:r>
        <w:rPr>
          <w:rFonts w:ascii="Times New Roman" w:hAnsi="Times New Roman"/>
          <w:i w:val="0"/>
          <w:sz w:val="22"/>
        </w:rPr>
        <w:t xml:space="preserve">Schimeczek, C., Nienhaus, K., Frey, U., Sperber, E., Sarfarazi, S., Nitsch, F., Kochems, J. and El Ghazi, A.A. (2023) 'AMIRIS: Agent-based Market model for the Investigation of Renewable and Integrated energy Systems', </w:t>
      </w:r>
      <w:r>
        <w:rPr>
          <w:rFonts w:ascii="Times New Roman" w:hAnsi="Times New Roman"/>
          <w:i/>
          <w:sz w:val="22"/>
        </w:rPr>
        <w:t>Journal of Open Source Software</w:t>
      </w:r>
      <w:r>
        <w:rPr>
          <w:rFonts w:ascii="Times New Roman" w:hAnsi="Times New Roman"/>
          <w:i w:val="0"/>
          <w:sz w:val="22"/>
        </w:rPr>
        <w:t>, 8(84), 5041. doi: 10.21105/joss.05041.</w:t>
      </w:r>
    </w:p>
    <w:p>
      <w:pPr>
        <w:spacing w:after="200"/>
        <w:ind w:hanging="567" w:left="567"/>
        <w:jc w:val="left"/>
      </w:pPr>
      <w:r>
        <w:rPr>
          <w:rFonts w:ascii="Times New Roman" w:hAnsi="Times New Roman"/>
          <w:i w:val="0"/>
          <w:sz w:val="22"/>
        </w:rPr>
        <w:t>Schivley, G., Barone, A., Blackhurst, M., Hidalgo-Gonzalez, P., Jenkins, J., Lugovoy, O., Luo, Q., Roberts, M., Zheng, R., Wade, C. and Fripp, M. (2024) 'Process and policy insights from an intercomparison of open electricity system capacity expansion models'. arXiv:2411.13783. Available at: https://arxiv.org/abs/2411.13783 (Accessed: 6 August 2026).</w:t>
      </w:r>
    </w:p>
    <w:p>
      <w:pPr>
        <w:spacing w:after="200"/>
        <w:ind w:hanging="567" w:left="567"/>
        <w:jc w:val="left"/>
      </w:pPr>
      <w:r>
        <w:rPr>
          <w:rFonts w:ascii="Times New Roman" w:hAnsi="Times New Roman"/>
          <w:i w:val="0"/>
          <w:sz w:val="22"/>
        </w:rPr>
        <w:t xml:space="preserve">Weidlich, A. and Veit, D. (2008) 'A critical survey of agent-based wholesale electricity market models', </w:t>
      </w:r>
      <w:r>
        <w:rPr>
          <w:rFonts w:ascii="Times New Roman" w:hAnsi="Times New Roman"/>
          <w:i/>
          <w:sz w:val="22"/>
        </w:rPr>
        <w:t>Energy Economics</w:t>
      </w:r>
      <w:r>
        <w:rPr>
          <w:rFonts w:ascii="Times New Roman" w:hAnsi="Times New Roman"/>
          <w:i w:val="0"/>
          <w:sz w:val="22"/>
        </w:rPr>
        <w:t>, 30(4), pp. 1728–1759. doi: 10.1016/j.eneco.2008.01.003.</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