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is the thesis's single, unified List of References, positioned once at the end per the HSN template rather than repeated per chapter. The original 17 entries are sourced only from Chapter 2 (Basics), the one chapter with external citations, and were independently re-verified against live web sources during drafting on 18 September 2026 (see Chapter 2's own Verification Notes section for what was checked and corrected). A further 12 entries were added on 7 October 2026, researched and independently verified live to fill specific literature gaps identified at the student's request (electricity price forecasting methodology, value of lost load, negative pricing, the FAME framework underlying AMIRIS, flexibility/storage modelling by the AMIRIS development team, and weather-year sensitivity). These 12 are not yet cited in the body text of any chapter; they should be woven into Chapter 2 (or elsewhere, as appropriate) before submission, or removed from this list if ultimately not used, so the reference list and the chapters' in-text citations stay consistent. One existing in-text citation (Schimeczek et al., 2023) was updated to (2023a) in Chapter 2, since a second Schimeczek et al. (2023) source (FAME-Core) is now in the list and needs the matching (2023b) disambiguator. No Wikipedia sources were used, per Hochschule Nordhausen's Scientific Practice guidance. Per the formal layout rules, archive a PDF copy of each web/institutional source cited by URL before submission, since URLs decay over time.</w:t>
      </w:r>
    </w:p>
    <w:p/>
    <w:p>
      <w:pPr>
        <w:pStyle w:val="Heading1"/>
      </w:pPr>
      <w:r>
        <w:t>List of References</w:t>
      </w:r>
    </w:p>
    <w:p>
      <w:pPr>
        <w:ind w:left="567" w:hanging="567"/>
        <w:jc w:val="both"/>
      </w:pPr>
      <w:r>
        <w:t>ACER (Agency for the Cooperation of Energy Regulators) (2023) Decision No 01/2023 on the Nominated Electricity Market Operators' Proposal for the Harmonised Maximum and Minimum Clearing Price Methodology in accordance with Article 41(1) of the Commission Regulation (EU) 2015/1222. Ljubljana: ACER. Available at: https://www.nemo-committee.eu/assets/files/ACER%20Decision%2001-2023%20on%20HMMCP%20SDAC%20-%20Annex%201-ac8ad8689e50f1338ecbef2cb1239bb2.pdf (Accessed: 7 October 2026).</w:t>
      </w:r>
    </w:p>
    <w:p>
      <w:pPr>
        <w:ind w:left="567" w:hanging="567"/>
        <w:jc w:val="both"/>
      </w:pPr>
      <w:r>
        <w:t>Biber, A., Tuncinan, M., Wieland, C. and Spliethoff, H. (2022) 'Negative price spiral caused by renewables? Electricity price prediction on the German market for 2030', The Electricity Journal, 35(8), 107188. doi: 10.1016/j.tej.2022.107188.</w:t>
      </w:r>
    </w:p>
    <w:p>
      <w:pPr>
        <w:ind w:left="567" w:hanging="567"/>
        <w:jc w:val="both"/>
      </w:pPr>
      <w:r>
        <w:t>Bundesnetzagentur (2018) Study on the German-Austrian bidding zone. Bonn: Bundesnetzagentur. Available at: https://www.bundesnetzagentur.de/SharedDocs/Downloads/EN/Areas/ElectricityGas/Special%20Topics/StudyPriceZone/StudyPriceZoneLong.pdf (Accessed: 18 September 2026).</w:t>
      </w:r>
    </w:p>
    <w:p>
      <w:pPr>
        <w:ind w:left="567" w:hanging="567"/>
        <w:jc w:val="both"/>
      </w:pPr>
      <w:r>
        <w:t>De Lagarde, C.M. and Lantz, F. (2018) 'How renewable production depresses electricity prices: Evidence from the German market', Energy Policy, 117, pp. 263-277. doi: 10.1016/j.enpol.2018.02.048.</w:t>
      </w:r>
    </w:p>
    <w:p>
      <w:pPr>
        <w:ind w:left="567" w:hanging="567"/>
        <w:jc w:val="both"/>
      </w:pPr>
      <w:r>
        <w:t>DLR (Deutsches Zentrum fur Luft- und Raumfahrt) (no date) AMIRIS. Available at: https://www.dlr.de/en/ve/research-and-transfer/research-infrastructure/modelling-tools/amiris (Accessed: 18 September 2026).</w:t>
      </w:r>
    </w:p>
    <w:p>
      <w:pPr>
        <w:ind w:left="567" w:hanging="567"/>
        <w:jc w:val="both"/>
      </w:pPr>
      <w:r>
        <w:t>ENTSO-E (2023) European Resource Adequacy Assessment 2023 Edition, Annex 2: Methodology. Available at: https://www.entsoe.eu/eraa/2023/report/ERAA_2023_Annex_2_Methodology.pdf (Accessed: 18 September 2026).</w:t>
      </w:r>
    </w:p>
    <w:p>
      <w:pPr>
        <w:ind w:left="567" w:hanging="567"/>
        <w:jc w:val="both"/>
      </w:pPr>
      <w:r>
        <w:t>ENTSO-E (no date b) Single Day-ahead Coupling (SDAC). Available at: https://www.entsoe.eu/network_codes/cacm/implementation/sdac/ (Accessed: 18 September 2026).</w:t>
      </w:r>
    </w:p>
    <w:p>
      <w:pPr>
        <w:ind w:left="567" w:hanging="567"/>
        <w:jc w:val="both"/>
      </w:pPr>
      <w:r>
        <w:t>EPEX SPOT (2018) EPEX SPOT to publish separate prices and volumes for the Austrian and German day-ahead markets. Available at: https://www.epexspot.com/en/news/epex-spot-publish-separate-prices-and-volumes-austrian-and-german-day-ahead-markets (Accessed: 18 September 2026).</w:t>
      </w:r>
    </w:p>
    <w:p>
      <w:pPr>
        <w:ind w:left="567" w:hanging="567"/>
        <w:jc w:val="both"/>
      </w:pPr>
      <w:r>
        <w:t>EPEX SPOT (no date a) Basics of the power market. Available at: https://www.epexspot.com/en/basicspowermarket (Accessed: 18 September 2026).</w:t>
      </w:r>
    </w:p>
    <w:p>
      <w:pPr>
        <w:ind w:left="567" w:hanging="567"/>
        <w:jc w:val="both"/>
      </w:pPr>
      <w:r>
        <w:t>FfE (Forschungsstelle fur Energiewirtschaft) (no date) Merit order shifts and their impact on the electricity price. Available at: https://www.ffe.de/en/publications/merit-order-shifts-and-their-impact-on-the-electricity-price/ (Accessed: 18 September 2026).</w:t>
      </w:r>
    </w:p>
    <w:p>
      <w:pPr>
        <w:ind w:left="567" w:hanging="567"/>
        <w:jc w:val="both"/>
      </w:pPr>
      <w:r>
        <w:t>Glynos, D. and Scharf, H. (2024) 'Postponing Germany's nuclear phase-out: A smart move in the European energy crisis?', Energy Policy, 192, 114208. doi: 10.1016/j.enpol.2024.114208.</w:t>
      </w:r>
    </w:p>
    <w:p>
      <w:pPr>
        <w:ind w:left="567" w:hanging="567"/>
        <w:jc w:val="both"/>
      </w:pPr>
      <w:r>
        <w:t>Gorman, W. (2022) 'The quest to quantify the value of lost load: A critical review of the economics of power outages', The Electricity Journal, 35(8), 107187. doi: 10.1016/j.tej.2022.107187.</w:t>
      </w:r>
    </w:p>
    <w:p>
      <w:pPr>
        <w:ind w:left="567" w:hanging="567"/>
        <w:jc w:val="both"/>
      </w:pPr>
      <w:r>
        <w:t>Gotske, E.K., Andresen, G.B., Neumann, F. and Victoria, M. (2024) 'Designing a sector-coupled European energy system robust to 60 years of historical weather data', Nature Communications, 15, 10680. doi: 10.1038/s41467-024-54853-3.</w:t>
      </w:r>
    </w:p>
    <w:p>
      <w:pPr>
        <w:ind w:left="567" w:hanging="567"/>
        <w:jc w:val="both"/>
      </w:pPr>
      <w:r>
        <w:t>Karkossa, L., Saretta, M., Gullach, F.E. and Victoria, M. (2026) 'Can optimal dispatch models recreate reality? A retrospective analysis of Europe's 2022 energy crisis using PyPSA-Eur'. arXiv:2606.16486. Available at: https://arxiv.org/abs/2606.16486 (Accessed: 18 September 2026).</w:t>
      </w:r>
    </w:p>
    <w:p>
      <w:pPr>
        <w:ind w:left="567" w:hanging="567"/>
        <w:jc w:val="both"/>
      </w:pPr>
      <w:r>
        <w:t>Lago, J., Marcjasz, G., De Schutter, B. and Weron, R. (2021) 'Forecasting day-ahead electricity prices: A review of state-of-the-art algorithms, best practices and an open-access benchmark', Applied Energy, 293, 116983. doi: 10.1016/j.apenergy.2021.116983.</w:t>
      </w:r>
    </w:p>
    <w:p>
      <w:pPr>
        <w:ind w:left="567" w:hanging="567"/>
        <w:jc w:val="both"/>
      </w:pPr>
      <w:r>
        <w:t>NEMO Committee (2025) EUPHEMIA Public Description: Single Price Coupling Algorithm, 18 December 2025 edition. Available at: https://www.nemo-committee.eu/assets/files/euphemia-public-description.pdf (Accessed: 18 September 2026).</w:t>
      </w:r>
    </w:p>
    <w:p>
      <w:pPr>
        <w:ind w:left="567" w:hanging="567"/>
        <w:jc w:val="both"/>
      </w:pPr>
      <w:r>
        <w:t>Nitsch, F. (2025) Flexibility options in electricity markets with high shares of renewable energies: An agent-based analysis of economic viability and system impacts. PhD thesis. Ruhr University Bochum. doi: 10.13154/294-13594.</w:t>
      </w:r>
    </w:p>
    <w:p>
      <w:pPr>
        <w:ind w:left="567" w:hanging="567"/>
        <w:jc w:val="both"/>
      </w:pPr>
      <w:r>
        <w:t>Nitsch, F. and Schimeczek, C. (2022) 'Backtesting the open source electricity market model AMIRIS by simulating the Austrian day-ahead market'. Paper presented at the 17th Symposium Energieinnovation (EnInnov), Graz, February 2022. Available at: https://elib.dlr.de/185381/ (Accessed: 18 September 2026).</w:t>
      </w:r>
    </w:p>
    <w:p>
      <w:pPr>
        <w:ind w:left="567" w:hanging="567"/>
        <w:jc w:val="both"/>
      </w:pPr>
      <w:r>
        <w:t>Nitsch, F. and Schimeczek, C. (2025) 'Assessing flexibility option potential by combining electricity price forecasting and agent-based electricity market modelling'. Paper presented at the International Ruhr Energy Conference (INREC), Essen, 2025. doi: 10.5281/zenodo.15517828.</w:t>
      </w:r>
    </w:p>
    <w:p>
      <w:pPr>
        <w:ind w:left="567" w:hanging="567"/>
        <w:jc w:val="both"/>
      </w:pPr>
      <w:r>
        <w:t>Nordic RCC (Nordic Regional Coordination Centre) (no date) Flow-based basic information. Available at: https://nordic-rcc.net/flow-based/flow-based-basic-information/ (Accessed: 18 September 2026).</w:t>
      </w:r>
    </w:p>
    <w:p>
      <w:pPr>
        <w:ind w:left="567" w:hanging="567"/>
        <w:jc w:val="both"/>
      </w:pPr>
      <w:r>
        <w:t>Pecora, B., Rhodes, J.D. and Webber, M.E. (2025) 'Quantifying the impacts of weather year selection on power sector capacity expansion models', Energy, 340, 138979. doi: 10.1016/j.energy.2025.138979.</w:t>
      </w:r>
    </w:p>
    <w:p>
      <w:pPr>
        <w:ind w:left="567" w:hanging="567"/>
        <w:jc w:val="both"/>
      </w:pPr>
      <w:r>
        <w:t>Praktiknjo, A. (2016) 'The Value of Lost Load for Sectoral Load Shedding Measures: The German Case with 51 Sectors', Energies, 9(2), 116. doi: 10.3390/en9020116.</w:t>
      </w:r>
    </w:p>
    <w:p>
      <w:pPr>
        <w:ind w:left="567" w:hanging="567"/>
        <w:jc w:val="both"/>
      </w:pPr>
      <w:r>
        <w:t>Schimeczek, C., Nienhaus, K., Frey, U., Sperber, E., Sarfarazi, S., Nitsch, F., Kochems, J. and El Ghazi, A.A. (2023a) 'AMIRIS: Agent-based Market model for the Investigation of Renewable and Integrated energy Systems', Journal of Open Source Software, 8(84), 5041. doi: 10.21105/joss.05041.</w:t>
      </w:r>
    </w:p>
    <w:p>
      <w:pPr>
        <w:ind w:left="567" w:hanging="567"/>
        <w:jc w:val="both"/>
      </w:pPr>
      <w:r>
        <w:t>Schimeczek, C., Deissenroth-Uhrig, M., Frey, U., Fuchs, B., El Ghazi, A.A., Wetzel, M. and Nienhaus, K. (2023b) 'FAME-Core: An open Framework for distributed Agent-based Modelling of Energy systems', Journal of Open Source Software, 8(84), 5087. doi: 10.21105/joss.05087.</w:t>
      </w:r>
    </w:p>
    <w:p>
      <w:pPr>
        <w:ind w:left="567" w:hanging="567"/>
        <w:jc w:val="both"/>
      </w:pPr>
      <w:r>
        <w:t>Schivley, G., Barone, A. et al. (2025) 'Process and policy insights from an intercomparison of open electricity system capacity expansion models', Environmental Research: Energy. doi: 10.1088/2753-3751/ade548. (Preprint: arXiv:2411.13783, 2024.)</w:t>
      </w:r>
    </w:p>
    <w:p>
      <w:pPr>
        <w:ind w:left="567" w:hanging="567"/>
        <w:jc w:val="both"/>
      </w:pPr>
      <w:r>
        <w:t>Vale, Z., Pinto, T., Praca, I. and Morais, H. (2011) 'MASCEM - Electricity markets simulation with strategic players', IEEE Intelligent Systems, 26(2), pp. 54-60.</w:t>
      </w:r>
    </w:p>
    <w:p>
      <w:pPr>
        <w:ind w:left="567" w:hanging="567"/>
        <w:jc w:val="both"/>
      </w:pPr>
      <w:r>
        <w:t>Watermeyer, M., Mobius, T., Grothe, O. and Musgens, F. (2023) 'A hybrid model for day-ahead electricity price forecasting: Combining fundamental and stochastic modelling'. arXiv:2304.09336. Available at: https://arxiv.org/abs/2304.09336 (Accessed: 7 October 2026).</w:t>
      </w:r>
    </w:p>
    <w:p>
      <w:pPr>
        <w:ind w:left="567" w:hanging="567"/>
        <w:jc w:val="both"/>
      </w:pPr>
      <w:r>
        <w:t>Weidlich, A. and Veit, D. (2008) 'A critical survey of agent-based wholesale electricity market models', Energy Economics, 30(4), pp. 1728-1759. doi: 10.1016/j.eneco.2008.01.003.</w:t>
      </w:r>
    </w:p>
    <w:p>
      <w:pPr>
        <w:ind w:left="567" w:hanging="567"/>
        <w:jc w:val="both"/>
      </w:pPr>
      <w:r>
        <w:t>Weinhold, R. and Mieth, R. (2020) 'Power Market Tool (POMATO) for the Analysis of Zonal Electricity Markets'. arXiv:2011.11594. Available at: https://arxiv.org/abs/2011.11594 (Accessed: 18 September 2026).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