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i/>
          <w:sz w:val="20"/>
        </w:rPr>
        <w:t>EDITORIAL NOTE (remove before submission): Drafted by Claude (Anthropic) per the student's explicit authorization, synthesising the student's own real project work (documented across AMIRIS_Germany2027_Progress_Report.pdf and this thesis's own Chapters 2-6) rather than external literature -- falls under the AI-usage policy's 'create texts, citation of prompt necessary' category. Prompt citation: Claude Sonnet 5 (Anthropic), output generated 18 September 2026, session https://claude.ai/code/session_01VmiP7rpUwBmA2YjSGWGxHo. The student should review and substantially rewrite before submission, and confirm the submission deadline and examiner names against the actual registered Anmeldung zur Masterarbeit form before this chapter is finalised -- neither was available to fill in accurately at drafting time.</w:t>
      </w:r>
    </w:p>
    <w:p/>
    <w:p>
      <w:pPr>
        <w:pStyle w:val="Heading1"/>
      </w:pPr>
      <w:r>
        <w:t>Chapter 1: Introduction</w:t>
      </w:r>
    </w:p>
    <w:p>
      <w:pPr>
        <w:pStyle w:val="Heading2"/>
      </w:pPr>
      <w:r>
        <w:t>1.1 Motivation and problem statement</w:t>
      </w:r>
    </w:p>
    <w:p>
      <w:pPr>
        <w:jc w:val="both"/>
      </w:pPr>
      <w:r>
        <w:rPr>
          <w:b w:val="0"/>
          <w:i w:val="0"/>
        </w:rPr>
        <w:t>Electricity price forecasts inform decisions that are expensive to get wrong. A transmission operator sizing storage procurement, a utility hedging its supply position, or a policy department assessing the price impact of a further wave of renewable buildout all depend, at some point, on a model that turns assumptions about demand, generation capacity, and fuel costs into a projected market price. In Germany, one of the standard commercial sources for such projections is Energy Brainpool, whose price forecasts the department behind this thesis has purchased and relied on for planning purposes. Commercial forecasts of this kind function largely as black boxes from the buyer's side: the price series is delivered, but the market logic that produced it is not disclosed in a form that permits independent scrutiny.</w:t>
      </w:r>
    </w:p>
    <w:p>
      <w:pPr>
        <w:jc w:val="both"/>
      </w:pPr>
      <w:r>
        <w:rPr>
          <w:b w:val="0"/>
          <w:i w:val="0"/>
        </w:rPr>
        <w:t>An alternative exists in the form of open-source, agent-based electricity market models, which simulate the market mechanism explicitly rather than fitting a statistical or reduced-form model to historical data. AMIRIS, developed by the German Aerospace Center (DLR), is one such model: it represents each category of market participant as a software agent that bids into a simulated day-ahead auction according to transparent, inspectable rules (Section 2.3). Because its logic is open, every price it produces can in principle be traced back to a specific assumption or agent behaviour. The practical question this raises for the department is whether that transparency comes at the cost of accuracy relative to a commercial alternative it already trusts and has paid for. If AMIRIS can reproduce Brainpool's results closely enough under comparable conditions, the department gains a free, auditable tool for exploring scenarios Brainpool was never asked to model; if it cannot, the size and cause of the gap are themselves useful information for deciding how far AMIRIS's outputs can be trusted at all.</w:t>
      </w:r>
    </w:p>
    <w:p>
      <w:pPr>
        <w:jc w:val="both"/>
      </w:pPr>
      <w:r>
        <w:rPr>
          <w:b w:val="0"/>
          <w:i w:val="0"/>
        </w:rPr>
        <w:t>Answering that question is not straightforward, because a naive comparison confounds two very different sources of disagreement. If AMIRIS is run on its own independently sourced input data and its output price differs from Brainpool's, that difference could arise because AMIRIS's internal market logic behaves differently from Brainpool's, or simply because the two models were fed different assumptions about, say, installed wind capacity or the CO2 price path. A forecasting exercise that cannot distinguish these two explanations cannot tell the department anything actionable: a data problem and a model problem call for entirely different responses. Isolating model-logic differences from input-data differences therefore has to be the organising principle of any comparison that is meant to produce a defensible conclusion, and it is the principle this thesis's own comparison design (Section 3.1) is built around.</w:t>
      </w:r>
    </w:p>
    <w:p>
      <w:pPr>
        <w:pStyle w:val="Heading2"/>
      </w:pPr>
      <w:r>
        <w:t>1.2 Research task and objectives</w:t>
      </w:r>
    </w:p>
    <w:p>
      <w:pPr>
        <w:jc w:val="both"/>
      </w:pPr>
      <w:r>
        <w:rPr>
          <w:b w:val="0"/>
          <w:i w:val="0"/>
        </w:rPr>
        <w:t>The task addressed in this thesis is a controlled model inter-comparison of AMIRIS against Energy Brainpool for Germany's day-ahead electricity market across three planning years, 2027, 2028, and 2029, in which both models are supplied with the same input assumptions wherever the department's Brainpool data package makes those assumptions available, with any remaining gap filled from independently sourced, real public data and documented explicitly as such. Harmonising inputs in this way, rather than letting each model draw on its own separately sourced data, is the standard technique in the energy-systems modelling literature for isolating structural or methodological differences between models (Section 2.7). This thesis adopts that same logic at a smaller scale, comparing a single open-source model against a single commercial one rather than a panel of models against each other, but the underlying justification is the same.</w:t>
      </w:r>
    </w:p>
    <w:p>
      <w:pPr>
        <w:jc w:val="both"/>
      </w:pPr>
      <w:r>
        <w:rPr>
          <w:b w:val="0"/>
          <w:i w:val="0"/>
        </w:rPr>
        <w:t>This comparison did not begin from a blank slate, and its design rests on two pieces of prior work carried out earlier in the same project. The first is a validation exercise: before AMIRIS's output could be trusted as a basis for judging Brainpool, it needed to be checked, on its own terms, against a case where the right answer was already known -- a backtest against real historical German day-ahead prices, summarised in Section 1.3 below. The second is a demonstration that AMIRIS can be extended beyond the scenarios DLR distributes as examples, using only genuinely current, independently sourced data, which was a necessary precondition for building a defensible 2027-2029 scenario later. The substantive empirical contribution of this thesis, reported in Chapters 3 to 5, goes further than either of these two precursors: it is a systematic, multi-year, multi-zone investigation of whether and how AMIRIS can be extended to represent Germany's real cross-border electricity trade with the rest of Europe, including several genuine engine-level findings, one root-cause diagnosis of AMIRIS's own forecasting architecture, and a direct empirical test of whether disaggregating Germany's neighbours into individually modelled countries improves or worsens the resulting comparison against Brainpool.</w:t>
      </w:r>
    </w:p>
    <w:p>
      <w:pPr>
        <w:pStyle w:val="Heading2"/>
      </w:pPr>
      <w:r>
        <w:t>1.3 Thesis overview and structure</w:t>
      </w:r>
    </w:p>
    <w:p>
      <w:pPr>
        <w:jc w:val="both"/>
      </w:pPr>
      <w:r>
        <w:rPr>
          <w:b w:val="0"/>
          <w:i w:val="0"/>
        </w:rPr>
        <w:t>The starting point for this work was a backtest of AMIRIS against real historical German day-ahead prices for the years 2015 to 2019, run using DLR's own example scenario configurations for those years without modification. Backtesting an agent-based market model against observed historical prices is itself an established validation technique (Section 2.7); the backtest carried out for this thesis, focused on Germany, found that comparing AMIRIS's simulated price against the real 2018 German day-ahead price produced a mean absolute error of 8.84 EUR/MWh and a correlation of 0.773 across the full year, improving to 0.847 once the comparison was restricted to the period after October 2018, when Germany traded as a standalone price zone rather than jointly with Austria (Section 2.5.3). Examining the hours with the largest simulation errors traced the remaining mismatch to two specific, mechanistically distinct causes: AMIRIS's example scenarios configure renewable generation agents to bid at exactly zero rather than a permitted negative markup, which floors the simulated price at zero even in hours where the real market cleared negative (Section 2.5.2); and the example scenarios model Germany as an electrically isolated market, so a domestic demand spike has to be absorbed entirely by domestic generation, whereas the real market could and did import from neighbouring countries. This second limitation, an unused feature of the example scenarios rather than a constraint of the software itself, is directly what this thesis's own empirical work addresses at scale.</w:t>
      </w:r>
    </w:p>
    <w:p>
      <w:pPr>
        <w:jc w:val="both"/>
      </w:pPr>
      <w:r>
        <w:rPr>
          <w:b w:val="0"/>
          <w:i w:val="0"/>
        </w:rPr>
        <w:t>With those two findings established, the project moved from backtesting existing scenarios to building a new one from scratch: a Germany 2023 scenario assembled entirely from independently sourced public data (ENTSO-E Transparency Platform, FRED), since DLR's bundled examples stop at 2019. This exercise surfaced practical obstacles worth noting for what they imply about extending any such model to a genuinely current year: fifteen-minute rather than hourly data resolution requiring resampling, a genuine one-hour data gap from the March 2023 daylight-saving transition, and Germany's final nuclear plant closures on 15 April 2023 (Section 2.5.4) not appearing at all in standard outage datasets, which record only temporary unavailability rather than permanent shutdowns.</w:t>
      </w:r>
    </w:p>
    <w:p>
      <w:pPr>
        <w:jc w:val="both"/>
      </w:pPr>
      <w:r>
        <w:rPr>
          <w:b w:val="0"/>
          <w:i w:val="0"/>
        </w:rPr>
        <w:t>Building on both of these results, the department subsequently proposed the comparison against Energy Brainpool that forms the substantive contribution of this thesis. Chapter 2 sets out the technical and market background needed to follow that comparison: how agent-based electricity market models work in general, how AMIRIS specifically represents generators, renewables, storage, and the market itself, how European day-ahead markets are coupled across borders in reality, the German market-specific institutional detail the backtest findings above depend on, and how energy system models are validated against historical data and against each other. Chapter 3 describes the methodology and scenario-construction work behind this thesis's own comparison: the identical-input design, the German 2027-2029 baseline scenarios, and the construction of a Rest-of-Europe market-coupling zone from real, independently sourced data. Chapter 4 reports a systematic investigation of whether disaggregating that Rest-of-Europe zone into individually modelled countries improves the comparison, including a genuine AMIRIS engine limitation discovered and resolved along the way and a source-level diagnosis of why a naive disaggregation underperforms. Chapter 5 reports the resulting comparison's headline results across all three years, a series of robustness checks, and a detailed root-cause diagnosis of the comparison's main remaining limitation. Chapter 6 discusses what these results establish about AMIRIS relative to Energy Brainpool for the department's purposes, what would be required to close the limitations identified, and the limitations of this thesis's own approach. Chapter 7 summarises the thesis's findings and outlines the further work they point to.</w:t>
      </w:r>
    </w:p>
    <w:sectPr w:rsidR="00FC693F" w:rsidRPr="0006063C" w:rsidSect="00034616">
      <w:pgSz w:w="11906" w:h="16838"/>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line="360" w:lineRule="auto"/>
      <w:outlineLvl w:val="0"/>
    </w:pPr>
    <w:rPr>
      <w:rFonts w:asciiTheme="majorHAnsi" w:eastAsiaTheme="majorEastAsia" w:hAnsiTheme="majorHAnsi" w:cstheme="majorBidi" w:ascii="Times New Roman" w:hAnsi="Times New Roman"/>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360" w:after="120" w:line="360" w:lineRule="auto"/>
      <w:outlineLvl w:val="1"/>
    </w:pPr>
    <w:rPr>
      <w:rFonts w:asciiTheme="majorHAnsi" w:eastAsiaTheme="majorEastAsia" w:hAnsiTheme="majorHAnsi" w:cstheme="majorBidi" w:ascii="Times New Roman" w:hAnsi="Times New Roman"/>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360" w:after="120" w:line="360" w:lineRule="auto"/>
      <w:outlineLvl w:val="2"/>
    </w:pPr>
    <w:rPr>
      <w:rFonts w:asciiTheme="majorHAnsi" w:eastAsiaTheme="majorEastAsia" w:hAnsiTheme="majorHAnsi" w:cstheme="majorBidi" w:ascii="Times New Roman" w:hAnsi="Times New Roman"/>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