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Drafted by Claude (Anthropic) per the student's explicit authorization, synthesising the student's own real project work (documented across AMIRIS_Germany2027_Progress_Report.pdf and this thesis's own Chapters 2-6) rather than external literature -- falls under the AI-usage policy's 'create texts, citation of prompt necessary' category. Prompt citation: Claude Sonnet 5 (Anthropic), output generated 18 September 2026, session https://claude.ai/code/session_01VmiP7rpUwBmA2YjSGWGxHo. The student should review and substantially rewrite before submission, and confirm the submission deadline and examiner names against the actual registered Anmeldung zur Masterarbeit form before this chapter is finalised -- neither was available to fill in accurately at drafting time.</w:t>
      </w:r>
    </w:p>
    <w:p/>
    <w:p>
      <w:pPr>
        <w:pStyle w:val="Heading1"/>
      </w:pPr>
      <w:r>
        <w:t>Chapter 7: Summary and Outlook</w:t>
      </w:r>
    </w:p>
    <w:p>
      <w:pPr>
        <w:pStyle w:val="Heading2"/>
      </w:pPr>
      <w:r>
        <w:t>7.1 Summary</w:t>
      </w:r>
    </w:p>
    <w:p>
      <w:pPr>
        <w:jc w:val="both"/>
      </w:pPr>
      <w:r>
        <w:rPr>
          <w:b w:val="0"/>
          <w:i w:val="0"/>
        </w:rPr>
        <w:t>This thesis set out to answer a specific, practically motivated question for the department behind it: whether AMIRIS, an open, transparent, agent-based electricity market model, can substitute for or usefully supplement Energy Brainpool's commercial day-ahead price forecast for Germany, and, if not fully, where specifically the two diverge and why. Answering it required first validating AMIRIS on its own terms against a known historical outcome, then constructing a genuinely current, independently sourced scenario, and finally building and testing a Germany-plus-Rest-of-Europe market-coupling scenario against Brainpool's own 2027, 2028, and 2029 forecasts under a harmonised-input design intended to isolate model-logic differences from input-data differences.</w:t>
      </w:r>
    </w:p>
    <w:p>
      <w:pPr>
        <w:jc w:val="both"/>
      </w:pPr>
      <w:r>
        <w:rPr>
          <w:b w:val="0"/>
          <w:i w:val="0"/>
        </w:rPr>
        <w:t>The resulting comparison establishes a qualified but specific answer. Once given a genuinely flexible, realistically subsidised representation of Germany's Rest-of-Europe trading environment (Chapter 3), AMIRIS reproduces Brainpool's ordinary-hour price level closely: a mean price within 0.6 EUR/MWh of Brainpool's own figure in the 2027 calibration year, an excl-shortage mean absolute error around 17-19 EUR/MWh, and an excl-shortage correlation around 0.72, all holding with similar strength in both out-of-sample years without re-tuning (Chapter 5). This ordinary-hour agreement is not the whole picture. Every build produced in this thesis generates more shortage hours and more negative-price hours than Brainpool's forecast, and Chapter 5's root-cause diagnosis traced this gap to specific, individually verified causes rather than leaving it unexplained: real transmission and Rest-of-Europe supply constraints account for the majority of shortage hours, while a smaller residual traces to a genuine structural property of AMIRIS's own architecture -- its per-zone price forecaster has no visibility into shortage conditions occurring in a different simulated zone, even within the same hour, which no combination of the scheduling-horizon or forecast-noise parameters available in the current model can work around.</w:t>
      </w:r>
    </w:p>
    <w:p>
      <w:pPr>
        <w:jc w:val="both"/>
      </w:pPr>
      <w:r>
        <w:rPr>
          <w:b w:val="0"/>
          <w:i w:val="0"/>
        </w:rPr>
        <w:t>A second, independently important finding emerged from Chapter 4's investigation of whether modelling Germany's neighbours as individually real countries, rather than one pooled aggregate, improves the comparison. It does not, on the metrics this thesis treats as most important, and the reason is well evidenced rather than speculative: a partial, star-shaped disaggregation (each new country trading only with Germany, not with its own real neighbours) strands cheap surplus behind narrow bilateral links and removes the pooling effect that made the aggregate representation work well in the first place. A mesh-topology rebuild using real bilateral transmission data for twelve country pairs confirmed this mechanism directly, easing but not eliminating the problem, and still did not outperform the simpler aggregate approach. For this thesis's specific purposes, the aggregate representation of Rest-of-Europe, refined with genuine storage flexibility and realistic subsidy levels, remains the most defensible choice.</w:t>
      </w:r>
    </w:p>
    <w:p>
      <w:pPr>
        <w:jc w:val="both"/>
      </w:pPr>
      <w:r>
        <w:rPr>
          <w:b w:val="0"/>
          <w:i w:val="0"/>
        </w:rPr>
        <w:t>Taken together, these findings give the department a specific, evidenced basis for deciding how to use AMIRIS going forward: as a trustworthy source of ordinary-hour price-level analysis under the configuration this thesis established, but not, in its present configuration, as a calibrated source of scarcity-event frequency, without the caveats set out in Chapter 6.</w:t>
      </w:r>
    </w:p>
    <w:p>
      <w:pPr>
        <w:pStyle w:val="Heading2"/>
      </w:pPr>
      <w:r>
        <w:t>7.2 Outlook</w:t>
      </w:r>
    </w:p>
    <w:p>
      <w:pPr>
        <w:jc w:val="both"/>
      </w:pPr>
      <w:r>
        <w:rPr>
          <w:b w:val="0"/>
          <w:i w:val="0"/>
        </w:rPr>
        <w:t>Three directions follow directly from the limitations identified in this thesis and would materially extend its findings if pursued. First, and most consequential: making AMIRIS's per-zone price forecaster aware of cross-zone shortage conditions, the source-level change identified in Section 5.4 as the only remaining lever capable of closing the residual shortage-hour gap that six independently tested configuration-level mechanisms could not close. This would require modifying and rebuilding AMIRIS's own forecaster component rather than adjusting a scenario configuration, and was judged to be beyond this thesis's scope, but the diagnosis in Section 5.4 provides a precise starting point for anyone undertaking it.</w:t>
      </w:r>
    </w:p>
    <w:p>
      <w:pPr>
        <w:jc w:val="both"/>
      </w:pPr>
      <w:r>
        <w:rPr>
          <w:b w:val="0"/>
          <w:i w:val="0"/>
        </w:rPr>
        <w:t>Second, extending the mesh-topology work of Section 4.5 to cover the bilateral country pairs still unconnected in this thesis's own rebuild (for example direct links among the Baltic and Nordic countries not yet sourced) would test whether a more complete mesh closes the remaining gap to the aggregate approach that a partial, twelve-pair mesh did not. Given that even this partial mesh produced a measurable, real improvement in shortage-hour count and mean price, a materially more complete real bilateral dataset may yet change this thesis's topology conclusion, though it would also substantially increase the data-sourcing effort required.</w:t>
      </w:r>
    </w:p>
    <w:p>
      <w:pPr>
        <w:jc w:val="both"/>
      </w:pPr>
      <w:r>
        <w:rPr>
          <w:b w:val="0"/>
          <w:i w:val="0"/>
        </w:rPr>
        <w:t>Third, the frozen-versus-growth-projected choice for Rest-of-Europe's future-year economic size (Sections 3.4 and 5.3) remains genuinely unresolved: the real ERAA-sourced growth trajectory improved some metrics and worsened others relative to the simpler frozen-snapshot assumption, and the underlying real-world resource-adequacy effect it surfaced (Rest-of-Europe's own dispatchable capacity falling even as demand and renewable capacity grow) is itself a genuine, unresolved feature of Europe's ongoing energy transition, not an artefact of this thesis's own modelling choices. Revisiting this choice as better future-year projections become available, and extending the same real-data-sourcing discipline to a per-country rather than Germany-reused subsidy model for Rest-of-Europe, would both further strengthen the defensibility of any future extension of this comparison beyond 2029.</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