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6: Discussion</w:t>
      </w:r>
    </w:p>
    <w:p>
      <w:pPr>
        <w:pStyle w:val="Heading2"/>
      </w:pPr>
      <w:r>
        <w:t>6.1 What this comparison establishes about AMIRIS relative to Energy Brainpool</w:t>
      </w:r>
    </w:p>
    <w:p>
      <w:pPr>
        <w:jc w:val="both"/>
      </w:pPr>
      <w:r>
        <w:rPr>
          <w:b w:val="0"/>
          <w:i w:val="0"/>
        </w:rPr>
        <w:t>The headline result reported in Section 5.1 shows that AMIRIS, once given a genuinely flexible and realistically subsidised representation of Germany's wider European trading environment, can reproduce Energy Brainpool's own 2027 German day-ahead price forecast closely on ordinary hours: a mean price within 0.6 EUR/MWh of Brainpool's own figure, an excl-shortage mean absolute error of 18.99 EUR/MWh, and an excl-shortage correlation around 0.72. Section 5.2 shows this level of ordinary-hour agreement is not specific to the calibration year: it holds, with similar or better correlation, in both out-of-sample years (2028 and 2029), using no re-tuning beyond redating each year's own real input shapes. For the department this thesis was undertaken for, this is a genuinely useful finding on its own terms, independent of the caveats that follow: on the specific question posed in Chapter 1, whether AMIRIS's transparent, auditable market logic can substitute for or supplement a commercial forecast the department already purchases, the answer for ordinary-hour price levels is a qualified yes.</w:t>
      </w:r>
    </w:p>
    <w:p>
      <w:pPr>
        <w:pStyle w:val="Heading2"/>
      </w:pPr>
      <w:r>
        <w:t>6.2 Structural limitations and what would be required to close them</w:t>
      </w:r>
    </w:p>
    <w:p>
      <w:pPr>
        <w:jc w:val="both"/>
      </w:pPr>
      <w:r>
        <w:rPr>
          <w:b w:val="0"/>
          <w:i w:val="0"/>
        </w:rPr>
        <w:t>The qualification is specific and well evidenced, not vague. Every build in this thesis, however configured, produces more shortage hours and more negative-price hours than Brainpool's own forecast, which reports close to neither. Chapter 5 traced this gap to real, distinct, individually verified causes rather than leaving it as an unexplained residual. A majority of shortage hours in the out-of-sample years, and a defined subset in the calibration year, are genuinely transmission-ceiling-bound or Rest-of-Europe-supply-bound: real physical or data constraints that cannot be relaxed without either inflating a transmission figure beyond anything ever actually observed, or sourcing a materially better future-year Rest-of-Europe projection than the real ERAA-based one already used in Section 3.4.1. A smaller, residual set of shortage hours, diagnosed in Section 5.4, has a different and in some ways more informative cause: AMIRIS's per-zone price forecaster is structurally blind to shortage conditions occurring in a different zone, even within the same simulated hour, so no combination of scheduling-horizon or forecast-noise parameters available in the current model configuration can resolve it. Closing this specific gap would require a change to AMIRIS's forecaster component at the source-code level, making it explicitly aware of cross-zone conditions rather than only its own zone's local price dynamics -- a substantially larger undertaking than anything attempted within this thesis's scope, and one this thesis does not claim to have carried out.</w:t>
      </w:r>
    </w:p>
    <w:p>
      <w:pPr>
        <w:jc w:val="both"/>
      </w:pPr>
      <w:r>
        <w:rPr>
          <w:b w:val="0"/>
          <w:i w:val="0"/>
        </w:rPr>
        <w:t>Section 5.5 shows that one part of this limitation's practical consequence, the distortion of an aggregate all-hours correlation figure by a handful of extreme-value outliers, has a real, low-cost mitigation already available within AMIRIS's own configuration options: adopting the LastSupplyPrice shortage-pricing convention in place of the model's default ValueOfLostLoad convention removes the distortion without changing which hours are classified as shortage hours, and is independently justified by Brainpool's own observed price ceiling rather than chosen to fit this comparison. This thesis recommends this specific change be considered for adoption in any future use of this project's scenarios, while noting explicitly that it changes how a shortage hour's price is displayed, not the underlying physical shortage itself.</w:t>
      </w:r>
    </w:p>
    <w:p>
      <w:pPr>
        <w:pStyle w:val="Heading2"/>
      </w:pPr>
      <w:r>
        <w:t>6.3 Topology: why aggregation outperforms disaggregation here</w:t>
      </w:r>
    </w:p>
    <w:p>
      <w:pPr>
        <w:jc w:val="both"/>
      </w:pPr>
      <w:r>
        <w:rPr>
          <w:b w:val="0"/>
          <w:i w:val="0"/>
        </w:rPr>
        <w:t>Chapter 4's investigation produced a finding that runs somewhat against the intuition that more granular, individually real country data should produce a more accurate model. Disaggregating Germany's neighbours into individually modelled countries, whether as a single pilot country, a full ten-zone star topology, or a ten-zone mesh topology connected by real bilateral transmission data, did not outperform the simpler aggregate treatment of Rest-of-Europe as one pooled market on the metrics this thesis treats as primary (excl-shortage bias and MAE), even though the star topology did, unexpectedly, produce a marginally higher excl-shortage correlation than the aggregate. The mechanism is well evidenced rather than speculative: an aggregate zone pools a large cheap generator, such as France's nuclear fleet, together with every other country's demand, smoothing local scarcity that would otherwise be visible once that generator sits in its own separately cleared market reachable only through a comparatively narrow bilateral link. The mesh-topology rebuild in Section 4.5 confirms this mechanism directly: adding real bilateral connections between disaggregated countries measurably eased the stranded-surplus problem the star topology created, without fully closing the gap to the aggregate's own performance.</w:t>
      </w:r>
    </w:p>
    <w:p>
      <w:pPr>
        <w:jc w:val="both"/>
      </w:pPr>
      <w:r>
        <w:rPr>
          <w:b w:val="0"/>
          <w:i w:val="0"/>
        </w:rPr>
        <w:t>The practical implication for this project, and plausibly for similarly scoped modelling exercises elsewhere, is that the value of disaggregating a wider trading area into individually real countries depends on whether the disaggregation can be done with a genuinely complete, mesh-connected representation of how those countries actually trade with each other, not only with the country of primary interest. A partial, star-shaped disaggregation, however well each individual zone's own data is sourced, can perform worse than not disaggregating at all, because it removes the pooling effect the aggregate relied on without fully replacing it. Given that even this thesis's own mesh rebuild, using genuinely real bilateral data for twelve country pairs, did not close the gap to the aggregate, a materially larger data-sourcing effort covering the remaining unconnected pairs would be required before disaggregation could be expected to outperform the aggregate approach for this specific comparison.</w:t>
      </w:r>
    </w:p>
    <w:p>
      <w:pPr>
        <w:pStyle w:val="Heading2"/>
      </w:pPr>
      <w:r>
        <w:t>6.4 Practical implications for the department</w:t>
      </w:r>
    </w:p>
    <w:p>
      <w:pPr>
        <w:jc w:val="both"/>
      </w:pPr>
      <w:r>
        <w:rPr>
          <w:b w:val="0"/>
          <w:i w:val="0"/>
        </w:rPr>
        <w:t>Returning to the motivating question in Chapter 1: whether AMIRIS's transparency comes at the cost of accuracy relative to a commercial alternative the department already trusts and has paid for. On ordinary-hour price levels, the answer is that it does not, provided AMIRIS is configured with the specific real-data-grounded mechanisms this thesis's own work established (genuine Rest-of-Europe storage flexibility, realistic subsidy levels, real transmission and market-coupling capacity, and, on the recommendation in Section 6.2, the LastSupplyPrice shortage convention). This gives the department a free, auditable tool for exploring scenarios Brainpool was never asked to model, with a documented, defensible expectation of ordinary-hour accuracy against Brainpool's own forecast. On tail-risk and scarcity representation specifically, shortage-hour frequency and negative-price-hour frequency, AMIRIS's current configuration should not be relied upon as a substitute for Brainpool's forecast without the caveats established in Section 6.2, and any department use case that depends specifically on scarcity-event frequency, rather than on ordinary-hour price levels, should treat AMIRIS's shortage-hour output as indicative of where scarcity risk exists rather than as a calibrated estimate of how often it occurs.</w:t>
      </w:r>
    </w:p>
    <w:p>
      <w:pPr>
        <w:pStyle w:val="Heading2"/>
      </w:pPr>
      <w:r>
        <w:t>6.5 Limitations of this thesis's own approach</w:t>
      </w:r>
    </w:p>
    <w:p>
      <w:pPr>
        <w:jc w:val="both"/>
      </w:pPr>
      <w:r>
        <w:rPr>
          <w:b w:val="0"/>
          <w:i w:val="0"/>
        </w:rPr>
        <w:t>Several simplifications made across this thesis's own scenario-construction work, stated explicitly in Chapters 3 and 4 as they were introduced, are collected here for completeness. Transmission capacity throughout this project is derived from a percentile of real observed physical flow or real ERAA-sourced NTC data, a defensible but imperfect proxy for the capacity a real transmission system operator would actually make available under the flow-based or NTC-based capacity-calculation methods described in Section 2.4.2; this thesis's single-value-per-border representation does not attempt to reproduce flow-based allocation for the borders where it applies in reality. Subsidy reference values are held static across all three comparison years and, for the Rest-of-Europe zone, reused from Germany's own real figures rather than sourced per country, a documented simplification rather than a per-country subsidy model. The frozen-versus-growth-projected choice for Rest-of-Europe's 2028/2029 economic size, discussed in Sections 3.4 and 5.3, remains an open methodological question rather than a settled one: neither variant clearly and consistently outperforms the other, and the choice between them should be revisited if better future-year projections become available. Finally, this thesis's own comparison design, an identical-input inter-comparison between a single open agent-based model and a single commercial forecaster, has limited precedent in the published literature to draw on for expected outcomes, as Section 2.7 notes; its results should be read as a case study specific to this department's own modelling context, not as a general finding about agent-based models relative to commercial forecasters.</w:t>
      </w:r>
    </w:p>
    <w:p>
      <w:pPr>
        <w:pStyle w:val="Heading2"/>
      </w:pPr>
      <w:r>
        <w:t>6.6 A necessary caveat on what "matching Brainpool" actually establishes</w:t>
      </w:r>
    </w:p>
    <w:p>
      <w:pPr>
        <w:jc w:val="both"/>
      </w:pPr>
      <w:r>
        <w:rPr>
          <w:b w:val="0"/>
          <w:i w:val="0"/>
        </w:rPr>
        <w:t>Every result in Chapters 5 and 6 is framed as agreement or disagreement between AMIRIS and Energy Brainpool. This framing should not be read as equivalent to a claim about accuracy against the real future market, and it is worth stating why explicitly rather than leaving it implicit. The 2015-2019 backtest summarised in Section 1.3 validates AMIRIS against a real, already-observed outcome: the true 2018 German day-ahead price is a known, public fact, so a close match there is genuine evidence of accuracy. No equivalent ground truth exists for 2027, 2028, or 2029 at the time of writing; both AMIRIS and Brainpool are producing projections of a future that has not yet happened. When this thesis reports that AMIRIS's ordinary-hour price closely matches Brainpool's, the honest interpretation is that two independently constructed models agree under harmonised inputs, not that either has been confirmed accurate against reality. It remains entirely possible that both models share a common blind spot that only a real future outcome could expose, or, more specifically to this thesis's own findings, that AMIRIS's higher shortage-hour and negative-price-hour counts reflect a more literal physical representation of scarcity risk that Brainpool's own commercial methodology, whose internal logic this thesis has no access to, may smooth over rather than represent more accurately. This thesis cannot adjudicate that possibility with the data available to it, and does not claim to. What Chapters 5 and 6 establish is narrower and still useful to the department: where and how closely two independently built models agree, and a well-evidenced account of why they diverge where they do. Whether AMIRIS or Brainpool is closer to whatever Germany's real 2027-2029 prices turn out to be is a question this thesis's design cannot answer, and will only be answerable in hindsight.</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