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pPr>
        <w:jc w:val="both"/>
      </w:pPr>
      <w:r>
        <w:rPr>
          <w:b w:val="0"/>
          <w:i w:val="0"/>
        </w:rPr>
        <w:t>This thesis presents a controlled inter-comparison between AMIRIS, the German Aerospace Center's (DLR) open-source agent-based electricity market model, and Energy Brainpool's commercial day-ahead price forecast for the German electricity market, across three planning years: 2027, 2028, and 2029. The comparison follows an identical-input design, harmonising German-side inputs with Energy Brainpool's own data package wherever available and filling remaining gaps from independently sourced, real public data, so that any divergence between the two models can be attributed to differences in market logic rather than to differences in input assumptions.</w:t>
      </w:r>
    </w:p>
    <w:p>
      <w:pPr>
        <w:jc w:val="both"/>
      </w:pPr>
      <w:r>
        <w:rPr>
          <w:b w:val="0"/>
          <w:i w:val="0"/>
        </w:rPr>
        <w:t>The German day-ahead market cannot be modelled in isolation from cross-border trade, so the central empirical contribution of this thesis is the construction and systematic testing of a Rest-of-Europe market-coupling scenario: an aggregate zone with genuine storage flexibility and realistic renewable subsidy, extended across all three comparison years, and stress-tested against disaggregation into individually modelled countries under both star and mesh network topologies. The resulting headline build reproduces Energy Brainpool's ordinary-hour price level closely (mean price within 0.6 EUR/MWh of Brainpool's own figure; excl-shortage correlation around 0.72), holding with similar strength in both out-of-sample years without re-tuning. Every build, however, generates more shortage hours and negative-price hours than Brainpool's forecast; a source-level diagnosis traces this gap to AMIRIS's per-zone price forecaster having no visibility into shortage conditions occurring in a different simulated zone, a structural property of the model's architecture rather than a miscalibrated parameter. A separate investigation finds that disaggregating the Rest-of-Europe zone into individually modelled countries, even under a real bilateral mesh topology, does not outperform the simpler aggregate representation.</w:t>
      </w:r>
    </w:p>
    <w:p>
      <w:pPr>
        <w:jc w:val="both"/>
      </w:pPr>
      <w:r>
        <w:rPr>
          <w:b w:val="0"/>
          <w:i w:val="0"/>
        </w:rPr>
        <w:t>These findings give the department a specific, evidenced basis for using AMIRIS: as a trustworthy source of ordinary-hour price-level analysis under the configuration this thesis establishes, but not, in its present form, as a calibrated source of scarcity-event frequency.</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