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 of Symbols</w:t>
      </w:r>
    </w:p>
    <w:p>
      <w:pPr>
        <w:jc w:val="both"/>
      </w:pPr>
      <w:r>
        <w:rPr>
          <w:b w:val="0"/>
          <w:i w:val="0"/>
        </w:rPr>
        <w:t>This thesis does not use compact single-letter mathematical symbol notation; every quantity (fuel price, efficiency, carbon price, emissions factor, marginal cost, and so on) is named in full in the text and in the one formula given in Section 2.3.2. No separate symbol glossary is therefore required beyond the List of Abbreviations that follows.</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